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000" w:right="1220" w:hanging="2772"/>
        <w:spacing w:after="0" w:line="407" w:lineRule="auto"/>
        <w:tabs>
          <w:tab w:leader="none" w:pos="15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March 31, 2019</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TRANSITION REPORT PURSUANT TO SECTION 13 OR 15(d) OF THE SECURITIES EXCHANGE ACT OF 1934</w:t>
      </w:r>
    </w:p>
    <w:p>
      <w:pPr>
        <w:spacing w:after="0" w:line="144" w:lineRule="exact"/>
        <w:rPr>
          <w:sz w:val="24"/>
          <w:szCs w:val="24"/>
          <w:color w:val="auto"/>
        </w:rPr>
      </w:pPr>
    </w:p>
    <w:tbl>
      <w:tblPr>
        <w:tblLayout w:type="fixed"/>
        <w:tblInd w:w="406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w:t>
            </w:r>
          </w:p>
        </w:tc>
      </w:tr>
      <w:tr>
        <w:trPr>
          <w:trHeight w:val="311"/>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001-34949</w:t>
            </w:r>
          </w:p>
        </w:tc>
      </w:tr>
      <w:tr>
        <w:trPr>
          <w:trHeight w:val="20"/>
        </w:trPr>
        <w:tc>
          <w:tcPr>
            <w:tcW w:w="2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1"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6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2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6860" w:type="dxa"/>
            <w:vAlign w:val="bottom"/>
            <w:gridSpan w:val="7"/>
          </w:tcPr>
          <w:p>
            <w:pPr>
              <w:jc w:val="center"/>
              <w:ind w:left="5410"/>
              <w:spacing w:after="0"/>
              <w:rPr>
                <w:sz w:val="20"/>
                <w:szCs w:val="20"/>
                <w:color w:val="auto"/>
              </w:rPr>
            </w:pPr>
            <w:r>
              <w:rPr>
                <w:rFonts w:ascii="Times New Roman" w:cs="Times New Roman" w:eastAsia="Times New Roman" w:hAnsi="Times New Roman"/>
                <w:sz w:val="18"/>
                <w:szCs w:val="18"/>
                <w:b w:val="1"/>
                <w:bCs w:val="1"/>
                <w:color w:val="auto"/>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2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4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701 Veterans Circle, Warminster, PA 18974</w:t>
            </w:r>
          </w:p>
        </w:tc>
        <w:tc>
          <w:tcPr>
            <w:tcW w:w="2840" w:type="dxa"/>
            <w:vAlign w:val="bottom"/>
            <w:gridSpan w:val="3"/>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2"/>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604-419-3200</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requirements for the past 90 days. Yes [X]</w:t>
      </w:r>
      <w:r>
        <w:rPr>
          <w:sz w:val="20"/>
          <w:szCs w:val="20"/>
          <w:color w:val="auto"/>
        </w:rPr>
        <w:tab/>
      </w:r>
      <w:r>
        <w:rPr>
          <w:rFonts w:ascii="Times New Roman" w:cs="Times New Roman" w:eastAsia="Times New Roman" w:hAnsi="Times New Roman"/>
          <w:sz w:val="18"/>
          <w:szCs w:val="18"/>
          <w:color w:val="auto"/>
        </w:rPr>
        <w:t>No [  ]</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7" w:lineRule="exact"/>
        <w:rPr>
          <w:sz w:val="24"/>
          <w:szCs w:val="24"/>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Regulation S-T during the preceding 12 months (or for such shorter period that the registrant was required to submit such files). Yes [X]</w:t>
      </w:r>
      <w:r>
        <w:rPr>
          <w:sz w:val="20"/>
          <w:szCs w:val="20"/>
          <w:color w:val="auto"/>
        </w:rPr>
        <w:tab/>
      </w:r>
      <w:r>
        <w:rPr>
          <w:rFonts w:ascii="Times New Roman" w:cs="Times New Roman" w:eastAsia="Times New Roman" w:hAnsi="Times New Roman"/>
          <w:sz w:val="18"/>
          <w:szCs w:val="18"/>
          <w:color w:val="auto"/>
        </w:rPr>
        <w:t>No [  ]</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p>
      <w:pPr>
        <w:ind w:left="40"/>
        <w:spacing w:after="0"/>
        <w:tabs>
          <w:tab w:leader="none" w:pos="4040" w:val="left"/>
          <w:tab w:leader="none" w:pos="8160" w:val="left"/>
        </w:tabs>
        <w:rPr>
          <w:sz w:val="20"/>
          <w:szCs w:val="20"/>
          <w:color w:val="auto"/>
        </w:rPr>
      </w:pPr>
      <w:r>
        <w:rPr>
          <w:rFonts w:ascii="Times New Roman" w:cs="Times New Roman" w:eastAsia="Times New Roman" w:hAnsi="Times New Roman"/>
          <w:sz w:val="18"/>
          <w:szCs w:val="18"/>
          <w:color w:val="auto"/>
        </w:rPr>
        <w:t>Large accelerated filer [  ] Accelerated filer [X]</w:t>
      </w:r>
      <w:r>
        <w:rPr>
          <w:sz w:val="20"/>
          <w:szCs w:val="20"/>
          <w:color w:val="auto"/>
        </w:rPr>
        <w:tab/>
      </w:r>
      <w:r>
        <w:rPr>
          <w:rFonts w:ascii="Times New Roman" w:cs="Times New Roman" w:eastAsia="Times New Roman" w:hAnsi="Times New Roman"/>
          <w:sz w:val="18"/>
          <w:szCs w:val="18"/>
          <w:color w:val="auto"/>
        </w:rPr>
        <w:t>Non-accelerated filer [  ] Smaller reporting company</w:t>
        <w:tab/>
        <w:t>Emerging growth company [  ]</w:t>
      </w:r>
    </w:p>
    <w:p>
      <w:pPr>
        <w:spacing w:after="0" w:line="27"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[X]</w:t>
      </w:r>
    </w:p>
    <w:p>
      <w:pPr>
        <w:spacing w:after="0" w:line="23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[X]</w:t>
      </w:r>
    </w:p>
    <w:p>
      <w:pPr>
        <w:sectPr>
          <w:pgSz w:w="11900" w:h="16838" w:orient="portrait"/>
          <w:cols w:equalWidth="0" w:num="1">
            <w:col w:w="11420"/>
          </w:cols>
          <w:pgMar w:left="240" w:top="91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1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0219"/>
          </w:cols>
          <w:pgMar w:left="240" w:top="76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Common Shares, no par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Trading Symbol(s)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ABUS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Name of each exchange on which</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registered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0"/>
          <w:szCs w:val="20"/>
          <w:color w:val="auto"/>
        </w:rPr>
      </w:pPr>
    </w:p>
    <w:p>
      <w:pPr>
        <w:sectPr>
          <w:pgSz w:w="11900" w:h="16838" w:orient="portrait"/>
          <w:cols w:equalWidth="0" w:num="3">
            <w:col w:w="4280" w:space="720"/>
            <w:col w:w="1360" w:space="460"/>
            <w:col w:w="3399"/>
          </w:cols>
          <w:pgMar w:left="240" w:top="769" w:right="1440"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2019, the registrant had 56,850,172 common shares, no par value, outstanding.</w:t>
      </w: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769"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34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4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17</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bottom w:val="single" w:sz="8" w:color="CCEEFF"/>
            </w:tcBorders>
            <w:gridSpan w:val="10"/>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QUANTITATIVE AND QUALITATIVE DISCLOSURES ABOUT MARKET RISK</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w:t>
              </w:r>
            </w:hyperlink>
          </w:p>
        </w:tc>
        <w:tc>
          <w:tcPr>
            <w:tcW w:w="260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CONTROLS AND PROCEDURES</w:t>
              </w:r>
            </w:hyperlink>
          </w:p>
        </w:tc>
        <w:tc>
          <w:tcPr>
            <w:tcW w:w="5860" w:type="dxa"/>
            <w:vAlign w:val="bottom"/>
            <w:gridSpan w:val="6"/>
            <w:shd w:val="clear" w:color="auto" w:fill="CCEEFF"/>
          </w:tcPr>
          <w:p>
            <w:pPr>
              <w:spacing w:after="0"/>
              <w:rPr>
                <w:sz w:val="21"/>
                <w:szCs w:val="21"/>
                <w:color w:val="auto"/>
              </w:rPr>
            </w:pPr>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27</w:t>
              </w:r>
            </w:hyperlink>
          </w:p>
        </w:tc>
      </w:tr>
      <w:tr>
        <w:trPr>
          <w:trHeight w:val="270"/>
        </w:trPr>
        <w:tc>
          <w:tcPr>
            <w:tcW w:w="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7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2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1034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PART II. OTHER INFORMATION</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1A.</w:t>
              </w:r>
            </w:hyperlink>
          </w:p>
        </w:tc>
        <w:tc>
          <w:tcPr>
            <w:tcW w:w="84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RISK FACTORS</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2.</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UNREGISTERED SALES OF EQUITY SECURITIES AND USE OF PROCEEDS</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w:t>
              </w:r>
            </w:hyperlink>
          </w:p>
        </w:tc>
        <w:tc>
          <w:tcPr>
            <w:tcW w:w="318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DEFAULTS UPON SENIOR SECURITIES</w:t>
              </w:r>
            </w:hyperlink>
          </w:p>
        </w:tc>
        <w:tc>
          <w:tcPr>
            <w:tcW w:w="5280" w:type="dxa"/>
            <w:vAlign w:val="bottom"/>
            <w:gridSpan w:val="5"/>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4.</w:t>
              </w:r>
            </w:hyperlink>
          </w:p>
        </w:tc>
        <w:tc>
          <w:tcPr>
            <w:tcW w:w="3180" w:type="dxa"/>
            <w:vAlign w:val="bottom"/>
            <w:gridSpan w:val="10"/>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5280" w:type="dxa"/>
            <w:vAlign w:val="bottom"/>
            <w:gridSpan w:val="5"/>
          </w:tcPr>
          <w:p>
            <w:pPr>
              <w:spacing w:after="0"/>
              <w:rPr>
                <w:sz w:val="17"/>
                <w:szCs w:val="17"/>
                <w:color w:val="auto"/>
              </w:rPr>
            </w:pPr>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5.</w:t>
              </w:r>
            </w:hyperlink>
          </w:p>
        </w:tc>
        <w:tc>
          <w:tcPr>
            <w:tcW w:w="18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OTHER INFORMATION</w:t>
              </w:r>
            </w:hyperlink>
          </w:p>
        </w:tc>
        <w:tc>
          <w:tcPr>
            <w:tcW w:w="6580" w:type="dxa"/>
            <w:vAlign w:val="bottom"/>
            <w:gridSpan w:val="8"/>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6.</w:t>
              </w:r>
            </w:hyperlink>
          </w:p>
        </w:tc>
        <w:tc>
          <w:tcPr>
            <w:tcW w:w="820" w:type="dxa"/>
            <w:vAlign w:val="bottom"/>
            <w:gridSpan w:val="2"/>
          </w:tcPr>
          <w:p>
            <w:pPr>
              <w:spacing w:after="0" w:line="202"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EXHIBITS</w:t>
              </w:r>
            </w:hyperlink>
          </w:p>
        </w:tc>
        <w:tc>
          <w:tcPr>
            <w:tcW w:w="1060" w:type="dxa"/>
            <w:vAlign w:val="bottom"/>
            <w:gridSpan w:val="5"/>
          </w:tcPr>
          <w:p>
            <w:pPr>
              <w:spacing w:after="0"/>
              <w:rPr>
                <w:sz w:val="17"/>
                <w:szCs w:val="17"/>
                <w:color w:val="auto"/>
              </w:rPr>
            </w:pPr>
          </w:p>
        </w:tc>
        <w:tc>
          <w:tcPr>
            <w:tcW w:w="6580" w:type="dxa"/>
            <w:vAlign w:val="bottom"/>
            <w:gridSpan w:val="8"/>
          </w:tcPr>
          <w:p>
            <w:pPr>
              <w:spacing w:after="0"/>
              <w:rPr>
                <w:sz w:val="17"/>
                <w:szCs w:val="17"/>
                <w:color w:val="auto"/>
              </w:rPr>
            </w:pPr>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939"/>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5240" w:type="dxa"/>
            <w:vAlign w:val="bottom"/>
            <w:gridSpan w:val="10"/>
          </w:tcPr>
          <w:p>
            <w:pPr>
              <w:jc w:val="right"/>
              <w:ind w:right="2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(Prepared in accordance with US GAAP)</w:t>
            </w: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84"/>
        </w:trPr>
        <w:tc>
          <w:tcPr>
            <w:tcW w:w="7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70"/>
        </w:trPr>
        <w:tc>
          <w:tcPr>
            <w:tcW w:w="70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 (note 3)</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83,969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36,942</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investments (note 3)</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26,621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87,675</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112,486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129,229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Genevant (note 4)</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17,675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22,224</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($7,405) (2018-($6,896))</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9,667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of use asset (note 8)</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3,081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(note 5)</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43,836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(note 5)</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22,471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22,471</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209,216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227,905</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9,429</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Site consolidation accrual (note 7)</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Liability-classified options (note 3)</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liability, current (note 8)</w:t>
            </w:r>
          </w:p>
        </w:tc>
        <w:tc>
          <w:tcPr>
            <w:tcW w:w="1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599</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8,823</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11,239</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rent and inducements, non-current</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(notes 3 and 11)</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3,251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3,126</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liability, non-current (note 8)</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3,272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12,661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12,661</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28,007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(note 9)</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- 1,164,000 with no par value</w:t>
            </w:r>
          </w:p>
        </w:tc>
        <w:tc>
          <w:tcPr>
            <w:tcW w:w="1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 and outstanding: 1,164,000 (December 31, 2018 - 1,164,000)</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128,851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126,136</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1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Authorized - unlimited number with no par value</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56,255,816 (December 31, 2018 - 55,518,800)</w:t>
            </w:r>
          </w:p>
        </w:tc>
        <w:tc>
          <w:tcPr>
            <w:tcW w:w="13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882,143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879,405</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49,594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48,084</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Deficit</w:t>
            </w:r>
          </w:p>
        </w:tc>
        <w:tc>
          <w:tcPr>
            <w:tcW w:w="1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(831,187)</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(805,221)</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(48,192)</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181,209</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200,234</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209,216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227,905</w:t>
            </w:r>
          </w:p>
        </w:tc>
      </w:tr>
      <w:tr>
        <w:trPr>
          <w:trHeight w:val="27"/>
        </w:trPr>
        <w:tc>
          <w:tcPr>
            <w:tcW w:w="70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business and future operations (note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 and commitments (note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transactions (note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819" w:right="239" w:bottom="684"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819" w:right="239" w:bottom="684"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101600</wp:posOffset>
            </wp:positionV>
            <wp:extent cx="5788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5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8" w:lineRule="exact"/>
        <w:rPr>
          <w:sz w:val="20"/>
          <w:szCs w:val="20"/>
          <w:color w:val="auto"/>
        </w:rPr>
      </w:pPr>
    </w:p>
    <w:tbl>
      <w:tblPr>
        <w:tblLayout w:type="fixed"/>
        <w:tblInd w:w="1160" w:type="dxa"/>
        <w:tblCellMar>
          <w:top w:w="0" w:type="dxa"/>
          <w:left w:w="0" w:type="dxa"/>
          <w:bottom w:w="0" w:type="dxa"/>
          <w:right w:w="0" w:type="dxa"/>
        </w:tblCellMar>
      </w:tblPr>
      <w:tr>
        <w:trPr>
          <w:trHeight w:val="289"/>
        </w:trPr>
        <w:tc>
          <w:tcPr>
            <w:tcW w:w="5820" w:type="dxa"/>
            <w:vAlign w:val="bottom"/>
            <w:tcBorders>
              <w:top w:val="single" w:sz="8" w:color="auto"/>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2018</w:t>
            </w:r>
          </w:p>
        </w:tc>
      </w:tr>
      <w:tr>
        <w:trPr>
          <w:trHeight w:val="237"/>
        </w:trPr>
        <w:tc>
          <w:tcPr>
            <w:tcW w:w="5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 (note 10)</w:t>
            </w:r>
          </w:p>
        </w:tc>
        <w:tc>
          <w:tcPr>
            <w:tcW w:w="5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5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5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13,949</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3,669</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consolidation (note 7)</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w:t>
            </w:r>
          </w:p>
        </w:tc>
      </w:tr>
      <w:tr>
        <w:trPr>
          <w:trHeight w:val="27"/>
        </w:trPr>
        <w:tc>
          <w:tcPr>
            <w:tcW w:w="5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19,841</w:t>
            </w:r>
          </w:p>
        </w:tc>
      </w:tr>
      <w:tr>
        <w:trPr>
          <w:trHeight w:val="318"/>
        </w:trPr>
        <w:tc>
          <w:tcPr>
            <w:tcW w:w="58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r>
      <w:tr>
        <w:trPr>
          <w:trHeight w:val="26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318"/>
        </w:trPr>
        <w:tc>
          <w:tcPr>
            <w:tcW w:w="5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(loss) (note 4)</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fair value of contingent consideration (notes 3 and 10)</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5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r>
      <w:tr>
        <w:trPr>
          <w:trHeight w:val="318"/>
        </w:trPr>
        <w:tc>
          <w:tcPr>
            <w:tcW w:w="58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r>
      <w:tr>
        <w:trPr>
          <w:trHeight w:val="26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r>
      <w:tr>
        <w:trPr>
          <w:trHeight w:val="237"/>
        </w:trPr>
        <w:tc>
          <w:tcPr>
            <w:tcW w:w="5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Items applicable to preferred shares:</w:t>
            </w: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of coupon on convertible preferred shares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324"/>
        </w:trPr>
        <w:tc>
          <w:tcPr>
            <w:tcW w:w="5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r>
      <w:tr>
        <w:trPr>
          <w:trHeight w:val="318"/>
        </w:trPr>
        <w:tc>
          <w:tcPr>
            <w:tcW w:w="5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per share (note 2)</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55,740,121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55,071,964</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80"/>
          </w:cols>
          <w:pgMar w:left="240" w:top="799" w:right="1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(Unaudited)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00" w:type="dxa"/>
            <w:vAlign w:val="bottom"/>
          </w:tcPr>
          <w:p>
            <w:pPr>
              <w:spacing w:after="0"/>
              <w:rPr>
                <w:sz w:val="19"/>
                <w:szCs w:val="19"/>
                <w:color w:val="auto"/>
              </w:rPr>
            </w:pPr>
          </w:p>
        </w:tc>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other comprehensive loss of equity method</w:t>
            </w:r>
          </w:p>
        </w:tc>
        <w:tc>
          <w:tcPr>
            <w:tcW w:w="22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0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(note 4)</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(23,273)</w:t>
            </w:r>
          </w:p>
        </w:tc>
        <w:tc>
          <w:tcPr>
            <w:tcW w:w="1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0219"/>
          </w:cols>
          <w:pgMar w:left="240" w:top="7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799"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154940</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234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Convertible Preferred Shares</w:t>
            </w:r>
          </w:p>
        </w:tc>
        <w:tc>
          <w:tcPr>
            <w:tcW w:w="202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CCEEFF"/>
              <w:right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126,136</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55,518,800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879,405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48,084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(805,221)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200,234</w:t>
            </w: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Accretion of coupon on Preferred</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2,715</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6"/>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1,665</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liability stock option awards</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pursuant to the Open Market Sale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614,401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Agreement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122,603</w:t>
            </w: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Other comprehensive loss -</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tcBorders>
              <w:right w:val="single" w:sz="8" w:color="auto"/>
            </w:tcBorders>
            <w:vMerge w:val="continue"/>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right w:val="single" w:sz="8" w:color="auto"/>
            </w:tcBorders>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right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128,851</w:t>
            </w:r>
          </w:p>
        </w:tc>
        <w:tc>
          <w:tcPr>
            <w:tcW w:w="220" w:type="dxa"/>
            <w:vAlign w:val="bottom"/>
            <w:tcBorders>
              <w:bottom w:val="single" w:sz="8" w:color="auto"/>
              <w:right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56,255,804</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882,143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49,594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(831,187)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(48,192)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181,209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Borders>
              <w:bottom w:val="single" w:sz="8" w:color="auto"/>
            </w:tcBorders>
            <w:gridSpan w:val="5"/>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Convertible Preferred</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other comprehen-</w:t>
            </w:r>
          </w:p>
        </w:tc>
        <w:tc>
          <w:tcPr>
            <w:tcW w:w="120" w:type="dxa"/>
            <w:vAlign w:val="bottom"/>
          </w:tcPr>
          <w:p>
            <w:pPr>
              <w:spacing w:after="0"/>
              <w:rPr>
                <w:sz w:val="17"/>
                <w:szCs w:val="17"/>
                <w:color w:val="auto"/>
              </w:rPr>
            </w:pP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8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49,780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55,060,650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876,108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(738,070)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182,473</w:t>
            </w:r>
          </w:p>
        </w:tc>
        <w:tc>
          <w:tcPr>
            <w:tcW w:w="0" w:type="dxa"/>
            <w:vAlign w:val="bottom"/>
          </w:tcPr>
          <w:p>
            <w:pPr>
              <w:spacing w:after="0"/>
              <w:rPr>
                <w:sz w:val="1"/>
                <w:szCs w:val="1"/>
                <w:color w:val="auto"/>
              </w:rPr>
            </w:pPr>
          </w:p>
        </w:tc>
      </w:tr>
      <w:tr>
        <w:trPr>
          <w:trHeight w:val="216"/>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Preferred Shares, net of</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664,000</w:t>
            </w:r>
          </w:p>
        </w:tc>
        <w:tc>
          <w:tcPr>
            <w:tcW w:w="260" w:type="dxa"/>
            <w:vAlign w:val="bottom"/>
          </w:tcPr>
          <w:p>
            <w:pPr>
              <w:spacing w:after="0"/>
              <w:rPr>
                <w:sz w:val="18"/>
                <w:szCs w:val="18"/>
                <w:color w:val="auto"/>
              </w:rPr>
            </w:pPr>
          </w:p>
        </w:tc>
        <w:tc>
          <w:tcPr>
            <w:tcW w:w="78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66,265</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66,265</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issuance costs of $135</w:t>
            </w:r>
          </w:p>
        </w:tc>
        <w:tc>
          <w:tcPr>
            <w:tcW w:w="1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right w:val="single" w:sz="8" w:color="auto"/>
            </w:tcBorders>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Accretion of coupon on Preferred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2,336</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3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80" w:type="dxa"/>
            <w:vAlign w:val="bottom"/>
            <w:tcBorders>
              <w:right w:val="single" w:sz="8" w:color="auto"/>
            </w:tcBorders>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right w:val="single" w:sz="8" w:color="CCEEFF"/>
            </w:tcBorders>
            <w:shd w:val="clear" w:color="auto" w:fill="CCEEFF"/>
          </w:tcPr>
          <w:p>
            <w:pPr>
              <w:spacing w:after="0"/>
              <w:rPr>
                <w:sz w:val="10"/>
                <w:szCs w:val="10"/>
                <w:color w:val="auto"/>
              </w:rPr>
            </w:pPr>
          </w:p>
        </w:tc>
        <w:tc>
          <w:tcPr>
            <w:tcW w:w="220" w:type="dxa"/>
            <w:vAlign w:val="bottom"/>
            <w:tcBorders>
              <w:bottom w:val="single" w:sz="8" w:color="CCEEFF"/>
              <w:right w:val="single" w:sz="8" w:color="auto"/>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102"/>
        </w:trPr>
        <w:tc>
          <w:tcPr>
            <w:tcW w:w="23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liability stock option awards</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80" w:type="dxa"/>
            <w:vAlign w:val="bottom"/>
            <w:tcBorders>
              <w:right w:val="single" w:sz="8" w:color="auto"/>
            </w:tcBorders>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right w:val="single" w:sz="8" w:color="CCEEFF"/>
            </w:tcBorders>
            <w:shd w:val="clear" w:color="auto" w:fill="CCEEFF"/>
          </w:tcPr>
          <w:p>
            <w:pPr>
              <w:spacing w:after="0"/>
              <w:rPr>
                <w:sz w:val="10"/>
                <w:szCs w:val="10"/>
                <w:color w:val="auto"/>
              </w:rPr>
            </w:pPr>
          </w:p>
        </w:tc>
        <w:tc>
          <w:tcPr>
            <w:tcW w:w="220" w:type="dxa"/>
            <w:vAlign w:val="bottom"/>
            <w:tcBorders>
              <w:bottom w:val="single" w:sz="8" w:color="CCEEFF"/>
              <w:right w:val="single" w:sz="8" w:color="auto"/>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78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26,541</w:t>
            </w: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exercise of options</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right w:val="single" w:sz="8" w:color="auto"/>
            </w:tcBorders>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Borders>
              <w:right w:val="single" w:sz="8" w:color="auto"/>
            </w:tcBorders>
            <w:gridSpan w:val="2"/>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0" w:type="dxa"/>
            <w:vAlign w:val="bottom"/>
          </w:tcPr>
          <w:p>
            <w:pPr>
              <w:spacing w:after="0"/>
              <w:rPr>
                <w:sz w:val="1"/>
                <w:szCs w:val="1"/>
                <w:color w:val="auto"/>
              </w:rPr>
            </w:pPr>
          </w:p>
        </w:tc>
      </w:tr>
      <w:tr>
        <w:trPr>
          <w:trHeight w:val="244"/>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118,381</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55,087,191</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876,288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43,769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(757,835)</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(48,185)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232,418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99"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101600</wp:posOffset>
            </wp:positionV>
            <wp:extent cx="5334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64"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73"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38735</wp:posOffset>
            </wp:positionV>
            <wp:extent cx="5334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66"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18"/>
                <w:szCs w:val="18"/>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2018</w:t>
            </w:r>
          </w:p>
        </w:tc>
      </w:tr>
      <w:tr>
        <w:trPr>
          <w:trHeight w:val="47"/>
        </w:trPr>
        <w:tc>
          <w:tcPr>
            <w:tcW w:w="4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for the period</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(23,251)</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Items not involving cash:</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30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509</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1,522</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30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125</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 investment loss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4,651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non-cash operating items:</w:t>
            </w: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4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508</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tax credits receivable</w:t>
            </w:r>
          </w:p>
        </w:tc>
        <w:tc>
          <w:tcPr>
            <w:tcW w:w="130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2,110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assets</w:t>
            </w:r>
          </w:p>
        </w:tc>
        <w:tc>
          <w:tcPr>
            <w:tcW w:w="130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167</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(2,746)</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130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33"/>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Site consolidation accrual</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liabilities</w:t>
            </w:r>
          </w:p>
        </w:tc>
        <w:tc>
          <w:tcPr>
            <w:tcW w:w="1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(16,580)</w:t>
            </w: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(19,967)</w:t>
            </w:r>
          </w:p>
        </w:tc>
      </w:tr>
      <w:tr>
        <w:trPr>
          <w:trHeight w:val="217"/>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47"/>
        </w:trPr>
        <w:tc>
          <w:tcPr>
            <w:tcW w:w="4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Acquisition of short-term investments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(75,418)</w:t>
            </w:r>
          </w:p>
        </w:tc>
      </w:tr>
      <w:tr>
        <w:trPr>
          <w:trHeight w:val="243"/>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Disposition of short-term investments</w:t>
            </w:r>
          </w:p>
        </w:tc>
        <w:tc>
          <w:tcPr>
            <w:tcW w:w="130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61,055</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33"/>
        </w:trPr>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61,033</w:t>
            </w: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(75,666)</w:t>
            </w:r>
          </w:p>
        </w:tc>
      </w:tr>
      <w:tr>
        <w:trPr>
          <w:trHeight w:val="217"/>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29845</wp:posOffset>
            </wp:positionV>
            <wp:extent cx="53340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4000" cy="171450"/>
                    </a:xfrm>
                    <a:prstGeom prst="rect">
                      <a:avLst/>
                    </a:prstGeom>
                    <a:noFill/>
                  </pic:spPr>
                </pic:pic>
              </a:graphicData>
            </a:graphic>
          </wp:anchor>
        </w:drawing>
      </w:r>
    </w:p>
    <w:p>
      <w:pPr>
        <w:sectPr>
          <w:pgSz w:w="11900" w:h="16838" w:orient="portrait"/>
          <w:cols w:equalWidth="0" w:num="1">
            <w:col w:w="10219"/>
          </w:cols>
          <w:pgMar w:left="240" w:top="799" w:right="1440" w:bottom="1440" w:gutter="0" w:footer="0" w:header="0"/>
        </w:sectPr>
      </w:pPr>
    </w:p>
    <w:p>
      <w:pPr>
        <w:spacing w:after="0" w:line="6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Promissory note repayment</w:t>
      </w:r>
    </w:p>
    <w:p>
      <w:pPr>
        <w:spacing w:after="0" w:line="86" w:lineRule="exact"/>
        <w:rPr>
          <w:sz w:val="20"/>
          <w:szCs w:val="20"/>
          <w:color w:val="auto"/>
        </w:rPr>
      </w:pPr>
    </w:p>
    <w:p>
      <w:pPr>
        <w:ind w:left="1660" w:right="1580" w:hanging="71"/>
        <w:spacing w:after="0" w:line="298" w:lineRule="auto"/>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-6350</wp:posOffset>
            </wp:positionV>
            <wp:extent cx="53340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4000" cy="17145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6"/>
          <w:szCs w:val="16"/>
          <w:color w:val="auto"/>
        </w:rPr>
        <w:t>Issuance of common shares pursuant to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46355</wp:posOffset>
            </wp:positionV>
            <wp:extent cx="5334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5"/>
          <w:szCs w:val="15"/>
          <w:color w:val="auto"/>
        </w:rPr>
        <w:t>(12,001)</w:t>
      </w:r>
    </w:p>
    <w:p>
      <w:pPr>
        <w:spacing w:after="0" w:line="16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2,248</w:t>
      </w:r>
      <w:r>
        <w:rPr>
          <w:sz w:val="20"/>
          <w:szCs w:val="20"/>
          <w:color w:val="auto"/>
        </w:rPr>
        <w:tab/>
      </w:r>
      <w:r>
        <w:rPr>
          <w:rFonts w:ascii="Times New Roman" w:cs="Times New Roman" w:eastAsia="Times New Roman" w:hAnsi="Times New Roman"/>
          <w:sz w:val="16"/>
          <w:szCs w:val="16"/>
          <w:color w:val="auto"/>
        </w:rPr>
        <w:t>66,265</w:t>
      </w:r>
    </w:p>
    <w:p>
      <w:pPr>
        <w:spacing w:after="0" w:line="194"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288</w:t>
      </w:r>
      <w:r>
        <w:rPr>
          <w:sz w:val="20"/>
          <w:szCs w:val="20"/>
          <w:color w:val="auto"/>
        </w:rPr>
        <w:tab/>
      </w:r>
      <w:r>
        <w:rPr>
          <w:rFonts w:ascii="Times New Roman" w:cs="Times New Roman" w:eastAsia="Times New Roman" w:hAnsi="Times New Roman"/>
          <w:sz w:val="16"/>
          <w:szCs w:val="16"/>
          <w:color w:val="auto"/>
        </w:rPr>
        <w:t>103</w:t>
      </w:r>
    </w:p>
    <w:p>
      <w:pPr>
        <w:spacing w:after="0" w:line="86" w:lineRule="exact"/>
        <w:rPr>
          <w:sz w:val="20"/>
          <w:szCs w:val="20"/>
          <w:color w:val="auto"/>
        </w:rPr>
      </w:pPr>
    </w:p>
    <w:p>
      <w:pPr>
        <w:sectPr>
          <w:pgSz w:w="11900" w:h="16838" w:orient="portrait"/>
          <w:cols w:equalWidth="0" w:num="2">
            <w:col w:w="7180" w:space="720"/>
            <w:col w:w="2319"/>
          </w:cols>
          <w:pgMar w:left="240" w:top="799" w:right="1440" w:bottom="1440" w:gutter="0" w:footer="0" w:header="0"/>
          <w:type w:val="continuous"/>
        </w:sectPr>
      </w:pPr>
    </w:p>
    <w:tbl>
      <w:tblPr>
        <w:tblLayout w:type="fixed"/>
        <w:tblInd w:w="1520" w:type="dxa"/>
        <w:tblCellMar>
          <w:top w:w="0" w:type="dxa"/>
          <w:left w:w="0" w:type="dxa"/>
          <w:bottom w:w="0" w:type="dxa"/>
          <w:right w:w="0" w:type="dxa"/>
        </w:tblCellMar>
      </w:tblP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7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2,536</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54,367</w:t>
            </w:r>
          </w:p>
        </w:tc>
      </w:tr>
      <w:tr>
        <w:trPr>
          <w:trHeight w:val="33"/>
        </w:trPr>
        <w:tc>
          <w:tcPr>
            <w:tcW w:w="5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cash equivalents, and restricted investment</w:t>
            </w:r>
          </w:p>
        </w:tc>
        <w:tc>
          <w:tcPr>
            <w:tcW w:w="7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47,027</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(41,831)</w:t>
            </w:r>
          </w:p>
        </w:tc>
      </w:tr>
      <w:tr>
        <w:trPr>
          <w:trHeight w:val="47"/>
        </w:trPr>
        <w:tc>
          <w:tcPr>
            <w:tcW w:w="5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investment, beginning of period</w:t>
            </w:r>
          </w:p>
        </w:tc>
        <w:tc>
          <w:tcPr>
            <w:tcW w:w="7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36,942</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54,292</w:t>
            </w:r>
          </w:p>
        </w:tc>
      </w:tr>
      <w:tr>
        <w:trPr>
          <w:trHeight w:val="231"/>
        </w:trPr>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investment, end of period</w:t>
            </w:r>
          </w:p>
        </w:tc>
        <w:tc>
          <w:tcPr>
            <w:tcW w:w="7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83,969</w:t>
            </w: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12,461</w:t>
            </w:r>
          </w:p>
        </w:tc>
      </w:tr>
      <w:tr>
        <w:trPr>
          <w:trHeight w:val="33"/>
        </w:trPr>
        <w:tc>
          <w:tcPr>
            <w:tcW w:w="5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5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dividends accrued (note 9)</w:t>
            </w:r>
          </w:p>
        </w:tc>
        <w:tc>
          <w:tcPr>
            <w:tcW w:w="7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2,715</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7"/>
        </w:trPr>
        <w:tc>
          <w:tcPr>
            <w:tcW w:w="5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0219"/>
          </w:cols>
          <w:pgMar w:left="240" w:top="799" w:right="1440" w:bottom="1440" w:gutter="0" w:footer="0" w:header="0"/>
          <w:type w:val="continuous"/>
        </w:sectPr>
      </w:pP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19"/>
          </w:cols>
          <w:pgMar w:left="240" w:top="799"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311"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future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its strategy of developing a curative combination regimen, the Company has assembled a pipeline of multiple drug candidates with differing and complementary mechanisms of action targeting HBV. These include AB-506, the Company's oral capsid inhibitor currently in a Phase 1a/1b clinical trial, AB-729, the Company's second generation RNA interface ("RNAi") therapeutic candidate, and AB-452, the Company's lead oral RNA destabilizer candidate.</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achieving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76"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U.S. generally accepted accounting principles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2018 included in the Company’s Annual Report on Form 10-K for the year ended December 31, 2018. These unaudited condensed consolidated financial statements reflect, in the opinion of management, all adjustments and reclassifications necessary to fairly present the Company's financial position as of March 31, 2019 and the Company's results of operations and cash flows for the three months ended March 31, 2019 and 2018. The results of operations for the three months ended March 31, 2019 and 2018, respectively,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2018, except as described below under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two wholly-owned subsidiaries, Arbutus Biopharma Inc. ("Arbutus Inc.") and Arbutus Biopharma US Holdings, Inc. All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loss per share</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attributable to common shareholders per share as the Company has issued Series A participating convertible preferred shares (the "Preferred Shares"), as further described in note 9, that meet the definition of participating securities. The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since the effect of the Company’s stock options was anti-dilutive. During the three months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684" w:right="29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ended March 31, 2019, potential common shares of approximately 26 million (three months ended March 31, 2018 – approximately 22 million), consisting of the as-if converted number of Preferred Shares and outstanding stock options, were excluded from the calculation of net loss per common share because their inclusion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computation of basic and diluted net income (loss) attributable to shareholders per share: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134" w:lineRule="exact"/>
        <w:rPr>
          <w:sz w:val="20"/>
          <w:szCs w:val="20"/>
          <w:color w:val="auto"/>
        </w:rPr>
      </w:pPr>
    </w:p>
    <w:tbl>
      <w:tblPr>
        <w:tblLayout w:type="fixed"/>
        <w:tblInd w:w="420" w:type="dxa"/>
        <w:tblCellMar>
          <w:top w:w="0" w:type="dxa"/>
          <w:left w:w="0" w:type="dxa"/>
          <w:bottom w:w="0" w:type="dxa"/>
          <w:right w:w="0" w:type="dxa"/>
        </w:tblCellMar>
      </w:tblPr>
      <w:tr>
        <w:trPr>
          <w:trHeight w:val="264"/>
        </w:trPr>
        <w:tc>
          <w:tcPr>
            <w:tcW w:w="498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2580" w:type="dxa"/>
            <w:vAlign w:val="bottom"/>
            <w:tcBorders>
              <w:top w:val="single" w:sz="8" w:color="auto"/>
              <w:bottom w:val="single" w:sz="8" w:color="CCEEFF"/>
            </w:tcBorders>
            <w:gridSpan w:val="3"/>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2600" w:type="dxa"/>
            <w:vAlign w:val="bottom"/>
            <w:tcBorders>
              <w:top w:val="single" w:sz="8" w:color="auto"/>
              <w:bottom w:val="single" w:sz="8" w:color="CCEEFF"/>
            </w:tcBorders>
            <w:gridSpan w:val="3"/>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0" w:type="dxa"/>
            <w:vAlign w:val="bottom"/>
          </w:tcPr>
          <w:p>
            <w:pPr>
              <w:spacing w:after="0"/>
              <w:rPr>
                <w:sz w:val="21"/>
                <w:szCs w:val="2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28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Preferred Shares</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distributable earnings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undistributed loss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Allocation of income (loss) attributed to shareholders</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(25,966)</w:t>
            </w:r>
          </w:p>
        </w:tc>
        <w:tc>
          <w:tcPr>
            <w:tcW w:w="40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r>
      <w:tr>
        <w:trPr>
          <w:trHeight w:val="27"/>
        </w:trPr>
        <w:tc>
          <w:tcPr>
            <w:tcW w:w="4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55,740,121</w:t>
            </w:r>
          </w:p>
        </w:tc>
        <w:tc>
          <w:tcPr>
            <w:tcW w:w="4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1,164,000</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55,071,964</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1,075,467</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(loss) attributable to shareholders per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4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investment in associated companies in accordance with the Financial Accounting Standards Board ("FASB") Accounting Standards Codification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("ASC 323"). In accordance with ASC 323, associated companies are accounted for as equity method investments. Results of associated companies are presented on a one-line basis. Investments in, and advances to, associated companies are presented on a one-line basis in the caption “Investment in Genevant” in the Company's Condensed Consolidated Balance Sheets, net of allowance for losses, which represents the Company's best estimate of probable losses inherent in such assets. The Company's proportionate share of any associated companies' net income or loss is presented on a one-line basis in the caption "Equity investment (loss)" in the Company's Condensed Consolidated Statement of Operations. Transactions between the Company and any associated companies are eliminated on a basis proportional to the Company's ownership interest. Financial results of Genevant Sciences Ltd. ("Genevant") are recorded on a one-quarter lag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recognizes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796" w:right="279" w:bottom="1440" w:gutter="0" w:footer="0" w:header="0"/>
        </w:sectPr>
      </w:pPr>
    </w:p>
    <w:bookmarkStart w:id="10" w:name="page11"/>
    <w:bookmarkEnd w:id="1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 of January 1, 2019, using the modified retrospective approach with the effective date transition method (note 8). Accordingly, all periods prior to adoption are presented in accordance with legacy accounting and the Company recorded no retrospective adjustments to the comparative periods presented. In addition, the Company elected the package of practical expedients permitted under the transition guidance within ASC 842, which among other things, allowed the Company to carry forward its historical lease classification. In addition, the Company elected the short term exemption, which allows entities to not capitalize their leases with a term of 12 months or less. Adoption of the new standard resulted in the recording of operating lease right-of-use assets (“ROU assets”) and lease liabilities of approximately $3.2 million and $4.1 million, respectively, as of January 1, 2019. The standard did not materially impact the Company’s consolidated statements of operations and statements of cash flow.</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2018, the FASB issued targeted amendments to ASU No. 2018-18,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and ASU No. 2016-10,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(Topic 606), to clarify that certain transactions between parties to collaborative arrangements should be accounted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FASB revenue guidance when the counterparty is a customer. This guidance also prohibits the presentation of collaborative arrangements as revenues from contracts with customers if the counterparty is not a customer. This guidance, which is required to be applied retrospectively and is effective for interim and annual periods beginning after December 15, 2019, with early adoption permitted, is not expected to have a material impact on the Company’s consolidated financial statements.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4"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27"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Times New Roman" w:cs="Times New Roman" w:eastAsia="Times New Roman" w:hAnsi="Times New Roman"/>
          <w:sz w:val="18"/>
          <w:szCs w:val="18"/>
          <w:color w:val="auto"/>
        </w:rPr>
      </w:pPr>
    </w:p>
    <w:p>
      <w:pPr>
        <w:ind w:left="980" w:right="40" w:hanging="486"/>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688" w:right="259" w:bottom="1440" w:gutter="0" w:footer="0" w:header="0"/>
        </w:sectPr>
      </w:pPr>
    </w:p>
    <w:bookmarkStart w:id="11" w:name="page12"/>
    <w:bookmarkEnd w:id="11"/>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200025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4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March 31, 2019</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83,969</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83,969</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26,621</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26,621</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110,590</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110,590</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18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3,251</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3,251</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3,665</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3,665</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345"/>
        </w:trPr>
        <w:tc>
          <w:tcPr>
            <w:tcW w:w="3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4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36,942</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36,942</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87,675</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87,675</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124,617</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124,617</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18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Fair value of liability-</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Liability at beginning</w:t>
            </w:r>
          </w:p>
        </w:tc>
        <w:tc>
          <w:tcPr>
            <w:tcW w:w="26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classified options</w:t>
            </w:r>
          </w:p>
        </w:tc>
        <w:tc>
          <w:tcPr>
            <w:tcW w:w="18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 in fair</w:t>
            </w:r>
          </w:p>
        </w:tc>
        <w:tc>
          <w:tcPr>
            <w:tcW w:w="28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Liability at end</w:t>
            </w:r>
          </w:p>
        </w:tc>
      </w:tr>
      <w:tr>
        <w:trPr>
          <w:trHeight w:val="234"/>
        </w:trPr>
        <w:tc>
          <w:tcPr>
            <w:tcW w:w="3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of the period</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 in the period</w:t>
            </w:r>
          </w:p>
        </w:tc>
        <w:tc>
          <w:tcPr>
            <w:tcW w:w="1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value of liability</w:t>
            </w:r>
          </w:p>
        </w:tc>
        <w:tc>
          <w:tcPr>
            <w:tcW w:w="28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of the period</w:t>
            </w:r>
          </w:p>
        </w:tc>
      </w:tr>
      <w:tr>
        <w:trPr>
          <w:trHeight w:val="27"/>
        </w:trPr>
        <w:tc>
          <w:tcPr>
            <w:tcW w:w="3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2019</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220" w:type="dxa"/>
            <w:vAlign w:val="bottom"/>
          </w:tcPr>
          <w:p>
            <w:pPr>
              <w:spacing w:after="0"/>
              <w:rPr>
                <w:sz w:val="18"/>
                <w:szCs w:val="18"/>
                <w:color w:val="auto"/>
              </w:rPr>
            </w:pP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Increase (decrease) in fair</w:t>
            </w: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Liability at end of the period</w:t>
            </w:r>
          </w:p>
        </w:tc>
      </w:tr>
      <w:tr>
        <w:trPr>
          <w:trHeight w:val="216"/>
        </w:trPr>
        <w:tc>
          <w:tcPr>
            <w:tcW w:w="3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18"/>
                <w:szCs w:val="18"/>
                <w:color w:val="auto"/>
              </w:rPr>
            </w:pP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value of Contingent</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Consideration</w:t>
            </w: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9,576</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2019</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r>
      <w:tr>
        <w:trPr>
          <w:trHeight w:val="27"/>
        </w:trPr>
        <w:tc>
          <w:tcPr>
            <w:tcW w:w="3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904" w:right="239" w:bottom="1440" w:gutter="0" w:footer="0" w:header="0"/>
        </w:sectPr>
      </w:pPr>
    </w:p>
    <w:bookmarkStart w:id="12" w:name="page13"/>
    <w:bookmarkEnd w:id="12"/>
    <w:p>
      <w:pPr>
        <w:ind w:right="22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Roivant contributed $37.5 million in seed capital to Genevant. The Company retained all rights to its LNP and conjugate delivery platforms for HBV, and is entitled to a tiered low single-digit royalty from Genevant on future sales of products enabled by the delivery platforms licensed to Genevant. The Company also retained the entirety of its royalty entitlement on the commercialization of Alnylam Pharmaceuticals Inc.'s ("Alnylam") Onpattro™ (Patisiran/ALN-TTR02).</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2019, the Company held an equity interest of approximately 40% of the common equity of Genevant and accounts for its interest in Genevant using the equity method. The carrying value of the Company's interest in Genevant as of March 31, 2019 was $17.7 million. The basis difference between the Company’s carrying value in Genevant and the Company’s share of Genevant's net assets is attributed primarily to indefinite-lived in-process research and development ("IPR&amp;D") (the delivery technology transferred to Genevant). For the three months ended March 31, 2019, the Company recorded equity investment losses of $4.7 million for its proportionate share of Genevant’s net loss, recorded on a one-quarter lag basis.</w:t>
      </w:r>
    </w:p>
    <w:p>
      <w:pPr>
        <w:spacing w:after="0" w:line="180"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All acquired IPR&amp;D relates to our covalently closed circular DNA ("cccDNA") program and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Goodwill represents the excess of purchase price over the value assigned to the net tangible and identifiable intangible assets of Arbutus Inc.</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recoverable amount of intangible assets on an annual basis and performs an annual evaluation of goodwill as of December 31 of each year, unless there is an event or change in the business that could indicate impairment, in which case earlier testing is performed. During the three months ended March 31, 2019, the Company did not identify any new indicators of impairment.</w:t>
      </w:r>
    </w:p>
    <w:p>
      <w:pPr>
        <w:spacing w:after="0" w:line="172"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240665</wp:posOffset>
            </wp:positionV>
            <wp:extent cx="6080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77"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8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4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1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3,220</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2,716</w:t>
            </w:r>
          </w:p>
        </w:tc>
      </w:tr>
      <w:tr>
        <w:trPr>
          <w:trHeight w:val="27"/>
        </w:trPr>
        <w:tc>
          <w:tcPr>
            <w:tcW w:w="4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1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491</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Payroll accruals</w:t>
            </w:r>
          </w:p>
        </w:tc>
        <w:tc>
          <w:tcPr>
            <w:tcW w:w="1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773</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w:t>
            </w:r>
          </w:p>
        </w:tc>
      </w:tr>
      <w:tr>
        <w:trPr>
          <w:trHeight w:val="27"/>
        </w:trPr>
        <w:tc>
          <w:tcPr>
            <w:tcW w:w="4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37"/>
        </w:trPr>
        <w:tc>
          <w:tcPr>
            <w:tcW w:w="4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6,828</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9,429</w:t>
            </w:r>
          </w:p>
        </w:tc>
      </w:tr>
      <w:tr>
        <w:trPr>
          <w:trHeight w:val="27"/>
        </w:trPr>
        <w:tc>
          <w:tcPr>
            <w:tcW w:w="4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Site consolidation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2018, the Company substantially completed a site consolidation and organizational restructuring to align its HBV business in Warminster, PA, including a reduction of its global workforce by approximately 35% and closure of its Burnaby facility. The Company estimates that the total expenses to complete the site consolidation will be approximately $5.3 million, of which $4.9 million has been incurred as of March 31, 2019. Included in the site consolidation plan was the payment of one-time employee termination benefits, employee relocation costs, and site closure costs. The Company ceased using its Burnaby facility as of June 30, 2018 and recognized the remaining committed cost, less sublease income under contract, in site consolidation expenses in 2018.</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Site consolidation expenses were as follows, in thousands:</w:t>
            </w: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severance and relocation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1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7"/>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site consolidation expenses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
        </w:trPr>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432"/>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Site consolidation activity was as follows, in thousands:</w:t>
            </w: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6"/>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severance and</w:t>
            </w:r>
          </w:p>
        </w:tc>
        <w:tc>
          <w:tcPr>
            <w:tcW w:w="140" w:type="dxa"/>
            <w:vAlign w:val="bottom"/>
          </w:tcPr>
          <w:p>
            <w:pPr>
              <w:spacing w:after="0"/>
              <w:rPr>
                <w:sz w:val="18"/>
                <w:szCs w:val="18"/>
                <w:color w:val="auto"/>
              </w:rPr>
            </w:pP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Facility and other</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relocation</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0" w:type="dxa"/>
            <w:vAlign w:val="bottom"/>
          </w:tcPr>
          <w:p>
            <w:pPr>
              <w:spacing w:after="0"/>
              <w:rPr>
                <w:sz w:val="2"/>
                <w:szCs w:val="2"/>
                <w:color w:val="auto"/>
              </w:rPr>
            </w:pPr>
          </w:p>
        </w:tc>
        <w:tc>
          <w:tcPr>
            <w:tcW w:w="48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Site consolidation accrual as of December 31, 2018</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7"/>
        </w:trPr>
        <w:tc>
          <w:tcPr>
            <w:tcW w:w="360" w:type="dxa"/>
            <w:vAlign w:val="bottom"/>
          </w:tcPr>
          <w:p>
            <w:pPr>
              <w:spacing w:after="0"/>
              <w:rPr>
                <w:sz w:val="2"/>
                <w:szCs w:val="2"/>
                <w:color w:val="auto"/>
              </w:rPr>
            </w:pPr>
          </w:p>
        </w:tc>
        <w:tc>
          <w:tcPr>
            <w:tcW w:w="48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1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360" w:type="dxa"/>
            <w:vAlign w:val="bottom"/>
          </w:tcPr>
          <w:p>
            <w:pPr>
              <w:spacing w:after="0"/>
              <w:rPr>
                <w:sz w:val="21"/>
                <w:szCs w:val="21"/>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10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7"/>
        </w:trPr>
        <w:tc>
          <w:tcPr>
            <w:tcW w:w="360" w:type="dxa"/>
            <w:vAlign w:val="bottom"/>
          </w:tcPr>
          <w:p>
            <w:pPr>
              <w:spacing w:after="0"/>
              <w:rPr>
                <w:sz w:val="2"/>
                <w:szCs w:val="2"/>
                <w:color w:val="auto"/>
              </w:rPr>
            </w:pPr>
          </w:p>
        </w:tc>
        <w:tc>
          <w:tcPr>
            <w:tcW w:w="48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Site consolidation accrual as of March 31, 2019</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569</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413</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r>
      <w:tr>
        <w:trPr>
          <w:trHeight w:val="27"/>
        </w:trPr>
        <w:tc>
          <w:tcPr>
            <w:tcW w:w="3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three operating leases for office and laboratory space. The Company's corporate headquarters is located at 701 Veterans Circle, Warminster, Pennsylvania. The lease expires on April 30, 2027, and the Company has the option of extending the lease for two further five-year terms. The Company also leases office space located at 626 Jacksonville Rd, Warminster, Pennsylvania under a lease that expires on December 31, 2021, and the Company has an option to extend the lease term to April 30, 2027. In connection with the Company's site consolidation in 2018, the Company ceased using its office and laboratory space located in Burnaby, British Columbia, Canada on June 30, 2018. The lease term expires on July 31, 2019 and the Company has subleases with various tenants, including Genevant, for a portion of the Burnaby facility. The Company recognized the remaining lease payments for the Burnaby facility, less sublease income under contract, in site consolidation expenses in 2018. The Company’s lease agreements do not contain any material residual value guarantees or material restrictive covenants.</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adopted the new lease standard (Topic 842) on January 1, 2019 using the modified retrospective basis applied at the effective date of the new standard and elected to utilize a package of practical expedients.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which was 9.0% for the 701 Veterans Circle lease, 7.6% for the 626 Jacksonville Rd. lease and 5.0% for the Burnaby lease. The Company recognizes lease expense on a straight-line basis over the remaining lease term.</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incurred total operating lease expenses of $0.4 million, which included lease expenses associated with fixed lease payments of $0.3 million, and variable payments associated with common area maintenance and similar expenses of $0.1 million. For the period ended March 31, 2018, the straight-line fixed expense for leases was $0.3 million. Sublease income for the three months ended March 31, 2019 was $0.1 million (nil in 2018).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70"/>
        </w:trPr>
        <w:tc>
          <w:tcPr>
            <w:tcW w:w="138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13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13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43"/>
        </w:trPr>
        <w:tc>
          <w:tcPr>
            <w:tcW w:w="138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97"/>
        </w:trPr>
        <w:tc>
          <w:tcPr>
            <w:tcW w:w="81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99"/>
              </w:rPr>
              <w:t>The Company did not include options to extend its lease terms as part of its ROU asset and lease liabilities.</w:t>
            </w:r>
          </w:p>
        </w:tc>
        <w:tc>
          <w:tcPr>
            <w:tcW w:w="1920" w:type="dxa"/>
            <w:vAlign w:val="bottom"/>
          </w:tcPr>
          <w:p>
            <w:pPr>
              <w:spacing w:after="0"/>
              <w:rPr>
                <w:sz w:val="24"/>
                <w:szCs w:val="24"/>
                <w:color w:val="auto"/>
              </w:rPr>
            </w:pPr>
          </w:p>
        </w:tc>
      </w:tr>
      <w:tr>
        <w:trPr>
          <w:trHeight w:val="567"/>
        </w:trPr>
        <w:tc>
          <w:tcPr>
            <w:tcW w:w="814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0"/>
        </w:trPr>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3"/>
                <w:szCs w:val="23"/>
                <w:color w:val="auto"/>
              </w:rPr>
            </w:pPr>
          </w:p>
        </w:tc>
        <w:tc>
          <w:tcPr>
            <w:tcW w:w="16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0" w:type="dxa"/>
            <w:vAlign w:val="bottom"/>
          </w:tcPr>
          <w:p>
            <w:pPr>
              <w:spacing w:after="0"/>
              <w:rPr>
                <w:sz w:val="21"/>
                <w:szCs w:val="21"/>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As of March 31, 2019</w:t>
            </w:r>
          </w:p>
        </w:tc>
      </w:tr>
      <w:tr>
        <w:trPr>
          <w:trHeight w:val="27"/>
        </w:trPr>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April through December 2019</w:t>
            </w:r>
          </w:p>
        </w:tc>
        <w:tc>
          <w:tcPr>
            <w:tcW w:w="1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120" w:type="dxa"/>
            <w:vAlign w:val="bottom"/>
          </w:tcPr>
          <w:p>
            <w:pPr>
              <w:spacing w:after="0"/>
              <w:rPr>
                <w:sz w:val="22"/>
                <w:szCs w:val="22"/>
                <w:color w:val="auto"/>
              </w:rPr>
            </w:pPr>
          </w:p>
        </w:tc>
      </w:tr>
      <w:tr>
        <w:trPr>
          <w:trHeight w:val="263"/>
        </w:trPr>
        <w:tc>
          <w:tcPr>
            <w:tcW w:w="6400" w:type="dxa"/>
            <w:vAlign w:val="bottom"/>
            <w:gridSpan w:val="3"/>
          </w:tcPr>
          <w:p>
            <w:pPr>
              <w:ind w:left="1520"/>
              <w:spacing w:after="0"/>
              <w:rPr>
                <w:sz w:val="20"/>
                <w:szCs w:val="20"/>
                <w:color w:val="auto"/>
              </w:rPr>
            </w:pPr>
            <w:r>
              <w:rPr>
                <w:rFonts w:ascii="Times New Roman" w:cs="Times New Roman" w:eastAsia="Times New Roman" w:hAnsi="Times New Roman"/>
                <w:sz w:val="20"/>
                <w:szCs w:val="20"/>
                <w:color w:val="auto"/>
              </w:rPr>
              <w:t>2020</w:t>
            </w:r>
          </w:p>
        </w:tc>
        <w:tc>
          <w:tcPr>
            <w:tcW w:w="1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1120" w:type="dxa"/>
            <w:vAlign w:val="bottom"/>
          </w:tcPr>
          <w:p>
            <w:pPr>
              <w:spacing w:after="0"/>
              <w:rPr>
                <w:sz w:val="22"/>
                <w:szCs w:val="22"/>
                <w:color w:val="auto"/>
              </w:rPr>
            </w:pPr>
          </w:p>
        </w:tc>
      </w:tr>
      <w:tr>
        <w:trPr>
          <w:trHeight w:val="21"/>
        </w:trPr>
        <w:tc>
          <w:tcPr>
            <w:tcW w:w="640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1500" w:type="dxa"/>
            <w:vAlign w:val="bottom"/>
            <w:gridSpan w:val="2"/>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2021</w:t>
            </w:r>
          </w:p>
        </w:tc>
        <w:tc>
          <w:tcPr>
            <w:tcW w:w="1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1120" w:type="dxa"/>
            <w:vAlign w:val="bottom"/>
          </w:tcPr>
          <w:p>
            <w:pPr>
              <w:spacing w:after="0"/>
              <w:rPr>
                <w:sz w:val="22"/>
                <w:szCs w:val="22"/>
                <w:color w:val="auto"/>
              </w:rPr>
            </w:pPr>
          </w:p>
        </w:tc>
      </w:tr>
      <w:tr>
        <w:trPr>
          <w:trHeight w:val="263"/>
        </w:trPr>
        <w:tc>
          <w:tcPr>
            <w:tcW w:w="6400" w:type="dxa"/>
            <w:vAlign w:val="bottom"/>
            <w:gridSpan w:val="3"/>
          </w:tcPr>
          <w:p>
            <w:pPr>
              <w:ind w:left="1520"/>
              <w:spacing w:after="0"/>
              <w:rPr>
                <w:sz w:val="20"/>
                <w:szCs w:val="20"/>
                <w:color w:val="auto"/>
              </w:rPr>
            </w:pPr>
            <w:r>
              <w:rPr>
                <w:rFonts w:ascii="Times New Roman" w:cs="Times New Roman" w:eastAsia="Times New Roman" w:hAnsi="Times New Roman"/>
                <w:sz w:val="20"/>
                <w:szCs w:val="20"/>
                <w:color w:val="auto"/>
              </w:rPr>
              <w:t>2022</w:t>
            </w:r>
          </w:p>
        </w:tc>
        <w:tc>
          <w:tcPr>
            <w:tcW w:w="1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120" w:type="dxa"/>
            <w:vAlign w:val="bottom"/>
          </w:tcPr>
          <w:p>
            <w:pPr>
              <w:spacing w:after="0"/>
              <w:rPr>
                <w:sz w:val="22"/>
                <w:szCs w:val="22"/>
                <w:color w:val="auto"/>
              </w:rPr>
            </w:pPr>
          </w:p>
        </w:tc>
      </w:tr>
      <w:tr>
        <w:trPr>
          <w:trHeight w:val="21"/>
        </w:trPr>
        <w:tc>
          <w:tcPr>
            <w:tcW w:w="640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1500" w:type="dxa"/>
            <w:vAlign w:val="bottom"/>
            <w:gridSpan w:val="2"/>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2023</w:t>
            </w:r>
          </w:p>
        </w:tc>
        <w:tc>
          <w:tcPr>
            <w:tcW w:w="1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c>
          <w:tcPr>
            <w:tcW w:w="1120" w:type="dxa"/>
            <w:vAlign w:val="bottom"/>
          </w:tcPr>
          <w:p>
            <w:pPr>
              <w:spacing w:after="0"/>
              <w:rPr>
                <w:sz w:val="22"/>
                <w:szCs w:val="22"/>
                <w:color w:val="auto"/>
              </w:rPr>
            </w:pPr>
          </w:p>
        </w:tc>
      </w:tr>
      <w:tr>
        <w:trPr>
          <w:trHeight w:val="263"/>
        </w:trPr>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1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2,038</w:t>
            </w:r>
          </w:p>
        </w:tc>
        <w:tc>
          <w:tcPr>
            <w:tcW w:w="1120" w:type="dxa"/>
            <w:vAlign w:val="bottom"/>
          </w:tcPr>
          <w:p>
            <w:pPr>
              <w:spacing w:after="0"/>
              <w:rPr>
                <w:sz w:val="22"/>
                <w:szCs w:val="22"/>
                <w:color w:val="auto"/>
              </w:rPr>
            </w:pPr>
          </w:p>
        </w:tc>
      </w:tr>
      <w:tr>
        <w:trPr>
          <w:trHeight w:val="21"/>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Lease Payments</w:t>
            </w:r>
          </w:p>
        </w:tc>
        <w:tc>
          <w:tcPr>
            <w:tcW w:w="1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5,296</w:t>
            </w:r>
          </w:p>
        </w:tc>
        <w:tc>
          <w:tcPr>
            <w:tcW w:w="1120" w:type="dxa"/>
            <w:vAlign w:val="bottom"/>
          </w:tcPr>
          <w:p>
            <w:pPr>
              <w:spacing w:after="0"/>
              <w:rPr>
                <w:sz w:val="22"/>
                <w:szCs w:val="22"/>
                <w:color w:val="auto"/>
              </w:rPr>
            </w:pPr>
          </w:p>
        </w:tc>
      </w:tr>
      <w:tr>
        <w:trPr>
          <w:trHeight w:val="263"/>
        </w:trPr>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Less: interest</w:t>
            </w:r>
          </w:p>
        </w:tc>
        <w:tc>
          <w:tcPr>
            <w:tcW w:w="1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(1,425)</w:t>
            </w:r>
          </w:p>
        </w:tc>
        <w:tc>
          <w:tcPr>
            <w:tcW w:w="1120" w:type="dxa"/>
            <w:vAlign w:val="bottom"/>
          </w:tcPr>
          <w:p>
            <w:pPr>
              <w:spacing w:after="0"/>
              <w:rPr>
                <w:sz w:val="22"/>
                <w:szCs w:val="22"/>
                <w:color w:val="auto"/>
              </w:rPr>
            </w:pPr>
          </w:p>
        </w:tc>
      </w:tr>
      <w:tr>
        <w:trPr>
          <w:trHeight w:val="21"/>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Present value of lease payments</w:t>
            </w:r>
          </w:p>
        </w:tc>
        <w:tc>
          <w:tcPr>
            <w:tcW w:w="1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3,871</w:t>
            </w:r>
          </w:p>
        </w:tc>
        <w:tc>
          <w:tcPr>
            <w:tcW w:w="1120" w:type="dxa"/>
            <w:vAlign w:val="bottom"/>
          </w:tcPr>
          <w:p>
            <w:pPr>
              <w:spacing w:after="0"/>
              <w:rPr>
                <w:sz w:val="22"/>
                <w:szCs w:val="22"/>
                <w:color w:val="auto"/>
              </w:rPr>
            </w:pPr>
          </w:p>
        </w:tc>
      </w:tr>
      <w:tr>
        <w:trPr>
          <w:trHeight w:val="27"/>
        </w:trPr>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 and stock-based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Sale Agreement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an Open Market Sale Agreement (“Sale Agreement”) with Jefferies LLC, under which it may issue and sell common shares, from time to time, for an aggregate sales price of up to $50.0 million. The Company did not sell any shares under the Sale Agreement during 2018. For the three months ended March 31, 2019, the Company issued 614,401 common shares pursuant to the Sale Agreement, resulting in gross proceeds of approximately $2.7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participating convertible preferred shares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2017, the Company entered into a subscription agreement with Roivant for the sale of 1,164,000 Preferred Shares to Roivant for gross proceeds of $116.4 million. The Preferred Shares are non-voting and are convertible into common shares at an initial conversion price of $7.13 per share. The purchase price for the Preferred Shares plus an amount equal to 8.75% per annum, compounded annually, will be subject to mandatory conversion into approximately 23 million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March 31, 2019, Roivant would hold approximately 49% of the Company's common shares. Roivant agreed to a four year lock-up period for this investment and its existing holdings in the Company. Roivant also agreed to a four year standstill whereby Roivant will not acquire greater than 49.99% of the Company's common shares or securities convertible into common shares. The initial investment of $50.0 million closed in October 2017, and the remaining amount of $66.4 million closed in January 2018 following regulatory and shareholder approvals.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the Preferred Shares wholly as equity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958" w:right="259" w:bottom="1440" w:gutter="0" w:footer="0" w:header="0"/>
        </w:sectPr>
      </w:pPr>
    </w:p>
    <w:bookmarkStart w:id="15" w:name="page16"/>
    <w:bookmarkEnd w:id="15"/>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contracts and licensing agreements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contracts are described in detail in the Overview section of Part I, Item 2, "Management's Discussion and Analysis of Financial Condition and Results of Operations" in the Company's 2018 Form 10-K.</w:t>
      </w:r>
    </w:p>
    <w:p>
      <w:pPr>
        <w:spacing w:after="0" w:line="16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8"/>
          <w:szCs w:val="18"/>
          <w:color w:val="auto"/>
        </w:rPr>
        <w:t>In 2012, the Company entered into a license agreement with Alnylam that entitles Alnylam to develop and commercialize products with the Company's LNP technology.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program, which represents the most clinically advanced application of LNP technology, was approved by the U.S. Food and Drug Administration ("FDA") and the European Medicines Agency ("EMA") during the third quarter of 2018 and was launched immediately upon approval in the US. The Company is entitled to tiered low to mid single-digit royalty payments on net sales of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received its first royalty payment in the fourth quarter of 2018.</w:t>
      </w:r>
    </w:p>
    <w:p>
      <w:pPr>
        <w:spacing w:after="0" w:line="200"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Revenue for the three months ended March 31, 2019 consists primarily of royalties on net sales of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as well as royalties on net sales of Spectrum Pharmaceuticals, Inc.'s ("Spectrum") Marqibo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services provided to Gritstone Oncology, Inc. ("Gritstone"). Revenue for the three months ended March 31, 2018 consisted primarily of revenue earned under our license agreement with Gritsone, including the earned portion of an upfront license fee and services provided to Gritstone.</w:t>
      </w:r>
    </w:p>
    <w:p>
      <w:pPr>
        <w:spacing w:after="0" w:line="195"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 Technology Partnerships Canada ("TPC") agreement with the Canadian Federal Government on November 12, 1999.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TPC agreed to fund 27% of the costs incurred by the Company, prior to March 31, 2004, in the development of certain oligonucleotide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up to a maximum contribution from TPC of $7,179,000 (C$9,256,000). As at March 31, 2019, a cumulative contribution of $2,773,000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(C$3,668,000) had been received and the Company does not expect any further funding under this agreement. In return for the funding provided by TPC,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agreed to pay royalties on the share of future licensing and product revenue, if any, that is received by the Company on certain non-siRNA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oligonucleotide product candidates covered by the funding under the agreement. These royalties are payable until a certain cumulative payment amount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or until a pre-specified date. In addition, until a cumulative amount equal to the funding actually received under the agreement has been paid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the Company agreed to pay 2.5% royalties on any royalties the Company receives from Spectrum for licensing Marqibo®.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the Company earned royalties on Marqibo® sales in the amount of $31,000 (three months ended March 31, 2018 – $22,000) resulting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being recorded by the Company as royalty payable to TPC (March 31, 2018 -$1,000). The cumulative amount paid or accrued as of March 31,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$26,000, therefore the remaining contingent amount due to TPC is $2,747,000 (C$3,668,000).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with the University of British Columbia</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Certain early work on LNP delivery systems and related inventions was undertaken by the Company and assigned to the University of British Columbia ("UBC"). These inventions were subsequently licensed back to the Company by UBC under a license agreement, initially entered into in 1998 and subsequently amended in 2001, 2006 and 2007. The Company has granted sublicenses under the UBC license to Alnylam. Alnylam has in turn sublicensed back to the Company under the licensed UBC patents for discovery, development and commercialization of siRNA products. Certain sublicenses were also granted to other parties.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900" w:right="23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a Counterclaim involving a patent application that the Company alleges UBC wrongly licensed to a third party. The proceedings have been divided into three phases, with the first hearing taking place in June 2017. In the first phase, the arbitrator determined which agreements are sublicense agreements within UBC's claim. Also in the first phase, UBC updated its alleged entitlement from $3,500,000 originally claimed to seek $10,900,000 in alleged unpaid royalties, plus interest arising from payments as early as 2008. No finding was made as to whether any licensing fees are due to UBC under these agreements; this was the subject of the second phase of arbitration that took place from April 10, 2019 to April 16, 2019. The decision for this phase of the arbitration is expected in the second half of 2019. The arbitrator also held in the first phase of the arbitration that the patent application that is the subject of the Counterclaim was not required to be licensed to Arbutus. A schedule for the third phase of the arbitration has not yet been set.</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Arbitration and related matters are costly and may divert the attention of the Company's management and other resources that would otherwise be engaged in other activities. The Company continues to dispute UBC's allegations, and is seeking license payments for wrongfully licensed patent application, and an exclusive worldwide license to said application. However,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are recorded by the Company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between Enantigen and Blumberg and Drexel</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2014, Arbutus Inc. acquired all of the outstanding shares of Enantigen Therapeutics, Inc. (“Enantigen”) pursuant to a stock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this transaction, Arbutus Inc. acquired a HBV surface antigen secretion inhibitor program and a capsid assembly inhibitor program.</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stock purchase agreement, Arbutus Inc. agreed to pay up to a total of $21,000,000 to Enantigen’s selling shareholders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amount paid could be up to an additional $102.5 million 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 The contingent consideration for this acquisition is a financial liability and measured at its fair value at each reporting period, with any changes in fair value from the previous reporting period recorded in the statement of operations and comprehensive loss (see note 2).</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the stock purchase agreement, Enantigen must also fulfill its obligations as they relate to the three patent license agreements with The Baruch S. Blumberg Institute ("Blumberg") and Drexel University ("Drexel"). Pursuant to each patent license agreement, Enantigen is obligated to pay Blumberg and Drexel up to approximately $500,000 in development and regulatory milestones per licensed product, royalties in the low single-digits, and a percentage of revenue it receives from its sub-licensees.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Baruch S. Blumberg Institute and Drexel University</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February 2014, Arbutus Inc. entered into a license agreement with Blumberg and Drexel that granted an exclusive (except as to certain know-how and subject to retained non-commercial research rights), worldwide, sub-licensable license to three different compound series: cccDNA formation inhibitors, capsid assembly inhibitors and hepatocellular carcinoma inhibitors. During 2018, the Company returned rights to the cccDNA formation inhibitors and hepatocellular carcinoma inhibitors to Blumberg.</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partial consideration for this license, Arbutus Inc. paid a license initiation fee of $150,000 and issued warrants to Blumberg and Drexel. The warrants were subsequently exercised in 2014. Under this license agreement, Arbutus Inc. also agreed to pay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688" w:right="259" w:bottom="1440" w:gutter="0" w:footer="0" w:header="0"/>
        </w:sectPr>
      </w:pPr>
    </w:p>
    <w:bookmarkStart w:id="17" w:name="page18"/>
    <w:bookmarkEnd w:id="17"/>
    <w:p>
      <w:pPr>
        <w:ind w:right="100"/>
        <w:spacing w:after="0" w:line="266" w:lineRule="auto"/>
        <w:rPr>
          <w:sz w:val="20"/>
          <w:szCs w:val="20"/>
          <w:color w:val="auto"/>
        </w:rPr>
      </w:pPr>
      <w:r>
        <w:rPr>
          <w:rFonts w:ascii="Times New Roman" w:cs="Times New Roman" w:eastAsia="Times New Roman" w:hAnsi="Times New Roman"/>
          <w:sz w:val="18"/>
          <w:szCs w:val="18"/>
          <w:color w:val="auto"/>
        </w:rPr>
        <w:t>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double-digit percentage of all amounts received from the sub-licensees, subject to customary exclusions.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stimulator of interferon genes (“STING”) agonists. During 2018, the Company returned rights to the epigenetic modifiers of cccDNA and STING agonists to Blumberg. In consideration for these exclusive licenses, Arbutus Inc. made an upfront payment of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Funding Agreement with Blumberg</w:t>
      </w:r>
    </w:p>
    <w:p>
      <w:pPr>
        <w:spacing w:after="0" w:line="3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Under the stock purchase agreement, the Company agreed to pay up to a total of $1,000,000 per year of research funding for three years, renewable at the Company’s option for an additional three years, for Blumberg to conduct research projects in HBV and liver cancer. Blumberg has exclusivity obligations to the Company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royalty-bearing, worldwide license to any intellectual property generated by any funded research project. If the Company elects to exercise the right to obtain such a license, it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low-single to mid-single digit rates based upon the proportionate net sales of licensed products from any commercialized combination.</w:t>
      </w:r>
    </w:p>
    <w:p>
      <w:pPr>
        <w:spacing w:after="0" w:line="1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2016, the Company entered into an amended and restated research collaboration and funding agreement with Blumberg,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 The amended agreement expired in October 2018, at the end of its initial term.</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2018, the Company entered into a new two-year master services agreement with Blumberg that expires in November 2020. The new agreement replaces all rights and obligations of the prior research collaboration and funding agreements, as amended. Under the new agreement, Blumberg will perform specific research activities based upon statements of work and the Company will no longer provide a fixed amount of funding to Blumberg. As of March 31, 2019, the Company has executed statements of work with Blumberg for an aggregate cost of $750,000 under this new agreement. Intellectual property that is generated during the research activities is the Company's exclusive property and all financial obligations for it to utilize the intellectual property are satisfied in the upfront cost of the research activities. Under the terms of the new agreement, the Company retains all rights to any inventions arising from performance of the agreement and no license is granted to Blumberg and Drexel, nor are milestones for said inventions due to Blumberg and Drexel.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88" w:right="239" w:bottom="1440" w:gutter="0" w:footer="0" w:header="0"/>
        </w:sectPr>
      </w:pPr>
    </w:p>
    <w:bookmarkStart w:id="18" w:name="page19"/>
    <w:bookmarkEnd w:id="18"/>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purchased certain research and development services from Genevant. These services are billed at agreed hourly rates and reflective of market rates for such services. The total cost of these services was $33,000 and $0 for the three months ended March 31, 2019 and 2018, respectively, and are included in the Condensed Consolidated Statements of Operations under research, development, collaborations and contracts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Genevant purchased certain administrative and transitional services from the Company during the three months ended March 31, 2019 totaling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$164,000, which was netted against research and development expenses in the Condensed Consolidated Statements of Operations. In addition, Genevant has a sublease for 17,900 square feet in the Company's Burnaby facility. Sublease income from Genevant for the three months ended March 31, 2019 of $62,000 was netted against site consolidation costs and lease liability (see notes 7 and 8).</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8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2018 and our unaudited condensed consolidated financial statements for the three month period ended March 31, 2019. Our consolidated financial statements have been prepared in accordance with U.S. generally accepted accounting principles and are presented in U.S. dollars.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or “forward-looking information” within the meaning of applicable U.S.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17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research, pre-clinical studies, clinical trials, prospects and the plans of management;</w:t>
      </w:r>
    </w:p>
    <w:p>
      <w:pPr>
        <w:spacing w:after="0" w:line="2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development and commercialization of a cure for chronic hepatitis B infection, a disease of the liver caused by the hepatitis B virus ("HBV");</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development path and strategy to achieve a cure for HBV;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results from our HBV studies to adaptively design additional clinical trials to test the efficacy of the combination therapy and the duration of the result in patients;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one-time employee termination benefits, employee relocation costs, and site closure costs, totaling approximately $5.3 million related to the site consolidation and organizational restructuring to align our HBV business in Warminster, PA;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and amount for payments related to Enantigen Therapeutics, Inc.'s (“Enantigen”) transaction and its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drug candidates to improve upon the standard of care and contribute to a curative combination treatment regimen;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royalty entitlement on Onpattro™ (Patisiran) to provide an active royalty stream or to be otherwise monetized in full or part;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suite of products that intervene at different points in the viral life cycle, with the potential to reactivate the host immune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pre-clinical results to adaptively design clinical trials for additional cohorts of patients, testing the combination and the duration of therapy;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combination therapy regimens and treatment durations to conduct Phase 3 clinical trials intended to ultimately support regulatory filings for marketing approval;</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HBV drug candidate pipeline through internal development, acquisitions and in-licenses;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assets, including our ownership stake in Genevant Sciences Ltd. (Genevant”) and our royalty entitlement on Onpattro, to provide significant non-dilutive capital;</w:t>
      </w:r>
    </w:p>
    <w:p>
      <w:pPr>
        <w:ind w:left="660" w:right="10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top-line data from an interim analysis of the Phase 1a/1b clinical trial of AB-506 in July 2019 and our intention to present more detailed information on the trial at an upcoming scientific conference toward the end of 2019;</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make a decision regarding AB-452 clinical development in early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initiate a Phase 2a dose-finding and long term safety trial of AB-506 late in the second half of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trajectory for inclusion of AB-506 in a multi-drug combination regimen with AB-729 in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have a second generation HBV RNA destabilizer candidate nominated by the end of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from the Gritstone Oncology, Inc. ("Gritstone") licensing agreement;</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for organizational changes to result in increased efficiency, a more flexible variable cost structure, and additional preservation of our cash reserves;</w:t>
      </w:r>
    </w:p>
    <w:p>
      <w:pPr>
        <w:ind w:left="660" w:right="38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current legal proceedings will not have a material adverse effect on our consolidated results of operations, cash flows, or financial condition;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4" w:right="239" w:bottom="1440" w:gutter="0" w:footer="0" w:header="0"/>
        </w:sectPr>
      </w:pPr>
    </w:p>
    <w:bookmarkStart w:id="20" w:name="page21"/>
    <w:bookmarkEnd w:id="20"/>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 from strategic alliances, licensing agreements, and research collaborations;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with respect to revenue and expense fluctuation and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extend into 2020;</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funding to maintain and advance our business from a variety of sources including public or private equity or debt financing, collaborative arrangements with pharmaceutical companies and government grants and contracts;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arbitration and litigation proceedings;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potential funding,</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“Part I, Item 2-Management’s Discussion and Analysis of Financial Condition and Results of Operations,” and “Part I, Item 3-Quantitative and Qualitative Disclosures About Market Risk.”</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2018 (“Form 10-K”), and in particular the risks and uncertainties discussed under "Item 1A-Risk Factors" of this Form 10-Q and the Form 10-K. As a result, you should not place undue reliance on forward-looking statements.</w:t>
      </w:r>
    </w:p>
    <w:p>
      <w:pPr>
        <w:spacing w:after="0" w:line="184"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publicly traded (Nasdaq Global Select Market: ABUS) industry-leading therapeutic solutions company dedicated to discovering, developing, and commercializing a cure for patients suffering from chronic hepatitis B infection, a disease of the liver caused by the hepatitis B</w:t>
      </w:r>
    </w:p>
    <w:p>
      <w:pPr>
        <w:spacing w:after="0" w:line="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virus (“HBV”). HBV represents a significant, global unmet medical need. The World Health Organization estimates that approximately 257 million people worldwide suffer from HBV infection. With high morbidity and mortality, and a cure rate for HBV patients taking standard of care ("SOC") treatment regimens of less than 5%, our objective is to develop safe and effective therapies that can be combined and lead to higher cure rates with finite treatment durations.</w:t>
      </w:r>
    </w:p>
    <w:p>
      <w:pPr>
        <w:spacing w:after="0" w:line="18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pursue our strategy of developing a potential curative combination regimen for chronic HBV, we are developing a diverse product pipeline consisting of multiple drug candidates with complementary mechanisms of action, each of which has the potential to improve upon the SOC and contribute to a curative combination treatment regimen. Our pipeline includes agents that have the potential to form an effective proprietary combination therapy.</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drug pipeline focused on HBV, we have additional assets that have the potential to provide value to our company. The first is our royalty entitlement on Onpattro™ (Patisiran), a drug developed by Alnylam Pharmaceutical, Inc. ("Alnylam") that incorporates our lipid nanoparticle delivery ("LNP") technology and was approved by the U.S. Food and Drug Administration ("FDA") and the European Medicines Agency (“EMA”) during the third quarter of 2018. This royalty entitlement has the potential to provide an active royalty stream or to be otherwise monetized in full or in part. The second is our approximate 40% equity ownership interest in Genevant, a newly created company to which we have licensed our LNP platform and conjugate delivery platform (the "Delivery Platforms") for all applications except HBV. These additional assets have the potential to provide significant non-dilutive capital to fund development of our HBV pipeline.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objective is to develop a cure for patients with chronic HBV infection. We believe this can best be achieved by:</w:t>
      </w:r>
    </w:p>
    <w:p>
      <w:pPr>
        <w:spacing w:after="0" w:line="27" w:lineRule="exact"/>
        <w:rPr>
          <w:sz w:val="20"/>
          <w:szCs w:val="20"/>
          <w:color w:val="auto"/>
        </w:rPr>
      </w:pPr>
    </w:p>
    <w:p>
      <w:pPr>
        <w:ind w:left="1300" w:hanging="401"/>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pipeline of proprietary therapeutic agents that target multiple elements of the HBV viral lifecycle, the most important of which we believe are HBV replication, hepatitis B surface antigen ("HBsAg") expression and immune reactivation; and</w:t>
      </w:r>
    </w:p>
    <w:p>
      <w:pPr>
        <w:ind w:left="1300" w:hanging="401"/>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 effective combination of complementary proprietary therapeutic agents administered for a finite treatment duration.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focus is to:</w:t>
      </w:r>
    </w:p>
    <w:p>
      <w:pPr>
        <w:spacing w:after="0" w:line="27" w:lineRule="exact"/>
        <w:rPr>
          <w:sz w:val="20"/>
          <w:szCs w:val="20"/>
          <w:color w:val="auto"/>
        </w:rPr>
      </w:pPr>
    </w:p>
    <w:p>
      <w:pPr>
        <w:ind w:left="1300" w:hanging="401"/>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clinical and pre-clinical product candidates through Phase 1 and Phase 2 clinical trials;</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and effective combination regimen to support a robust Phase 3 clinical registration program;</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such combination regimen; and</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such combination regimen.</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conducting a Phase 1a/1b clinical trial and several pre-clinical and investigational new drug ("IND")-enabling studies to evaluate proprietary HBV therapeutic agents alone, together with SOC therapies and in combination with each other. We expect to use the results from the clinical trial and other studies to adaptively design future clinical trials to test the safety, efficacy and duration of potential combination therapies.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68" w:right="25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866130" cy="2967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expand our HBV pipeline through internal discovery and development and possibly acquisitions and in-licenses.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Agents for Combination Therapy</w:t>
      </w:r>
    </w:p>
    <w:p>
      <w:pPr>
        <w:spacing w:after="0" w:line="27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Current treatments for HBV include pegylated interferon-á ("Peg-IFNá") and nucleos(t)ide analogues ("NAs"). These treatments reduce viral load, but have low cure rates of less than 5%. Peg-IFNá, a synthetic version of a substance produced by the body to fight infection, is administered by injection and has numerous side effects including flu-like symptoms and depression. NAs are oral antiviral medications which when taken chronically reduce virus replication and eliminate HBV DNA in the blood. However, liver inflammation and fibrosis still develop and virus replication resumes once NA therapy is stopped.</w:t>
      </w:r>
    </w:p>
    <w:p>
      <w:pPr>
        <w:spacing w:after="0" w:line="184"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Given the biology of HBV, we believe combination therapies are the key to more effective HBV treatment and a potential cure. Additionally, we believe the development of an effective combination therapy can be accelerated when multiple components are controlled by a single company. Therefore, our R&amp;D pipeline includes multiple drug candidates that target various steps in the viral lifecycle. We believe each of these mechanisms, when combined with an approved NA, have the potential to improve upon the standard of care and contribute to a curative treatment regimen and a finite treatment duration.</w:t>
      </w:r>
    </w:p>
    <w:p>
      <w:pPr>
        <w:spacing w:after="0" w:line="1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RNAi agent, AB-729, could be combined with our capsid inhibitor, AB-506, and approved NAs, in our first combination therapy for HBV patients. Provided the initial clinical trials for AB-506 and AB-729 proceed as expected, we anticipate initiating combination clinical trials with these two agents, and an approved NA, in 2020. In parallel, we are advancing our RNA destabilizer program forward. This program includes AB-452 and several follow-on compounds from distinct chemical scaffolds.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HBV Suppression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Capsid Inhibitors (AB-506 &amp; AB-423)</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HBV core protein assembles into a capsid structure, which is required for viral replication. The current SOC therapy (nucleoside analogues) significantly reduces HBV DNA levels in the serum, but HBV replication continues in the liver, thereby enabling HBV infection to persist. More effective therapy for patients requires new agents which will further block viral replication. We are developing capsid inhibitors (also known as core protein inhibitors) as oral therapeutics which, in combination with NAs, could sufficiently block HBV replication for the treatment of chronic HBV infection. By inhibiting assembly of functional viral capsids, the ability of HBV to replicate is impaired. Capsid inhibitor molecules also inhibit the</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364" w:right="259" w:bottom="1440" w:gutter="0" w:footer="0" w:header="0"/>
        </w:sectPr>
      </w:pPr>
    </w:p>
    <w:bookmarkStart w:id="23" w:name="page24"/>
    <w:bookmarkEnd w:id="23"/>
    <w:p>
      <w:pPr>
        <w:ind w:right="240"/>
        <w:spacing w:after="0" w:line="282" w:lineRule="auto"/>
        <w:rPr>
          <w:sz w:val="20"/>
          <w:szCs w:val="20"/>
          <w:color w:val="auto"/>
        </w:rPr>
      </w:pPr>
      <w:r>
        <w:rPr>
          <w:rFonts w:ascii="Times New Roman" w:cs="Times New Roman" w:eastAsia="Times New Roman" w:hAnsi="Times New Roman"/>
          <w:sz w:val="18"/>
          <w:szCs w:val="18"/>
          <w:color w:val="auto"/>
        </w:rPr>
        <w:t>uncoating step of the viral life cycle and thus reduce the formation of new covalently closed circular DNA ("cccDNA"), the viral reservoir which resides in the cell nucleus.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capsid inhibitor discovery effort generated promising second generation compounds in 2017, which led to the nomination of AB-506 for IND/clinical trial authorization ("CTA")-enabling studies. AB-506 is an orally administered, highly selective capsid inhibitor that has shown improved potency and pharmacokinetics (“PK”) over our first generation capsid inhibitor, AB-423, in pre-clinical studies. We presented AB-506 pre-clinical data at the American Association for the Study of Liver Disease ("AASLD") annual meeting in October 2017 in a presentation titled, "Antiviral Characterization of a Next Generation Chemical Series of HBV Capsid Inhibitors In Vitro and In Vivo," which showed potent inhibition of HBV replication and pre-genomic RNA encapsidation and an accelerated rate of capsid assembly leading to the production of non-functional viral capsids, which results in a disruption of viral replication. Together, these factors indicate improved target engagement compared to first generation capsid inhibitors, including AB-423.</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received regulatory approval of our CTA for AB-506 in the second quarter of 2018. During the third quarter of 2018, AB-506 progressed through the healthy volunteer portion of a multi-component phase 1a/1b clinical trial in which it was demonstrated to be generally safe and well-tolerated after dosing. In October 2018, AB-506 began the multiple dose, 28-day Phase 1b clinical trial in chronically infected HBV patients, where it is being evaluated alone at two dose levels and may be studied in combination with an NA. Top-line results of an interim analysis from the Phase 1a/1b clinical trial are expected in July 2019. We expect to disclose top-line information on clinical safety in healthy volunteers and safety and efficacy data in chronically infected HBV patients at two dose levels. We intend to present more detailed information on the trial at an upcoming scientific conference towards the end of 2019. We also plan to initiate a Phase 2a dose-finding and long-term safety trial of AB-506 with an NA late in the second half of 2019 to support the use of AB-506 in future combination registration trials.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HBsAg Reduction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RNAi Agents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RNAi drugs, which utilize the RNA interference pathway, allows for a novel approach to treating disease. There are a number of RNAi products currently advancing in human clinical trials. RNAi products are broadly applicable as they can eliminate the production of disease-causing or disease-associated proteins from cells, creating opportunities for therapeutic intervention that have not been achievable with conventional drugs. Our extensive experience in antiviral drug development has been applied to our RNAi program to develop therapeutics for chronic HBV infection.</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RNAi HBV candidates are designed to reduce HBsAg expression in patients chronically infected with HBV. Reducing HBsAg is thought to be a key prerequisite to enable a patient’s immune system to reawaken and respond against the virus.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GalNAc RNAi (AB-729)</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Early in 2018, we nominated AB-729 for development. AB-729 is a second generation RNAi therapeutic targeted to hepatocytes using our novel covalently conjugated N-acetylgalactosamine ("GalNAc") delivery technology. This promising new agent acts on multiple HBV viral transcripts and was designed to inhibit viral replication and suppress all viral antigens. AB-729 reduces HBsAg, is administered subcutaneously, and we anticipate will be dosed monthly.</w:t>
      </w:r>
    </w:p>
    <w:p>
      <w:pPr>
        <w:spacing w:after="0" w:line="180"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We presented data from pre-clinical studies at the International Liver Congress of the European Association for the Study of the Liver (“EASL”) meeting in April 2018 in a presentation titled, “Durable Inhibition of Hepatitis B Virus Replication and Antigenemia Using Subcutaneously Administered siRNA Agent AB-729 in Preclinical Models”, which showed robust HBsAg knockdown and more durable in vivo activity than earlier-generation siRNA agents, including ARB-1467, for the treatment of chronic HBV infection.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successfully completed IND-enabling studies for AB-729 in support of the single ascending dosing portion of a Phase 1a/1b clinical trial, which we filed as part of a CTA. On May 3, 2019, a regulatory authority requested that we complete our ongoing three and six month toxicology studies before commencing the single ascending portion of the Phase 1a/1b clinical trial, which was planned to initiate in the second quarter of 2019. As a result of this request, initiation of the trial will be delayed. We will explore options to accelerate its initiation based on the currently available toxicology study duration and provide further updates once we know when the trial will be initiated.</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24" w:name="page25"/>
    <w:bookmarkEnd w:id="2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initial RNAi candidate, ARB-1467, demonstrated the ability to reduce HBsAg in patients but utilized a lipid nanoparticle delivery vehicle which required intravenous delivery and bi-weekly administration. We have discontinued development of ARB-1467 and are focused on AB-729.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RNA Destabilizer (AB-452)</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HBV RNA destabilizer AB-452, an orally administered agent, has shown novel and broad activity in pre-clinical studies in destabilizing HBV RNA, which leads to RNA degradation and subsequent reduction in HBsAg levels. We presented these preclinical data at the AASLD annual meeting in October 2017 in a presentation titled, "Identification and Characterization of AB-452, a Potent Small Molecule HBV RNA destabilizer In Vitro and In Vivo," which showed that AB-452 has complementary effects when combined with two of Arbutus’ proprietary HBV RNAi agents in vitro.</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Additional data was presented at the EASL meeting in April 2018 in a presentation titled, “Preclinical antiviral drug combination studies utilizing novel orally bioavailable agents for chronic hepatitis B infection: AB-506, a next generation HBV capsid inhibitor, and AB-452, an HBV RNA destabilizer,” which showed that in vivo combinations of AB-452, AB-506 and tenofovir, an NA, led to greater reductions in serum HBV DNA relative to monotherapy with the individual compounds, and an impact on HBsAg when AB-452 was included in the treatment regimen. At the International HBV Meeting in October 2018, in a presentation titled “Mode of Action Studies on HBV RNA Destabilizer AB-452,” we presented data that showed that the HBV post-regulatory element is essential to AB-452 activity and that AB-452 induces HBV RNA shortening and RNA body degradation, further elucidating the mechanism of action of AB-452. This molecule has the potential for once daily, oral dosing.</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October 2018, we announced the emergence of nonclinical safety findings in the AB-452 RNA destabilizer program. Given the nature of these observations and the novel mechanism of action of this drug, we felt a sufficient amount of time must be allocated to understanding these findings and their implications before deciding whether to advance AB-452 into clinical trials. We have been evaluating AB-452 in a series of in vitro and in vivo studies to further characterize the compound, its mechanism of action, safety and pharmacokinetic profile. Following careful assessment of the nonclinical safety findings that led to pausing the entry of AB-452 into human clinical studies, we have concluded that the nonclinical safety study resulted in several confounding observations which included clinical observations with no histological correlation, a lack of dose response regarding some key findings and an unexplained vehicle effect. Because of these confounding observations, we have determined that repeating the 90-day preclinical safety study in two species is appropriate before making a go/no-go decision. We expect that the results of this study will allow us to make that decision early in 2020. We remain committed to the development of oral RNA destabilizers that have shown compelling anti-viral effects in multiple HBV pre-clinical models. While we work to fully understand the nature of the AB-452 pre-clinical findings, we are also continuing to advance back-up compounds with distinct chemical scaffolds into the lead optimization stage, with a goal of having a potential novel candidate nominated by the end of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Programs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clinical candidates, we have a number of research programs aimed at discovery and development of proprietary HBV candidates with different and complementary mechanisms of action. We have ongoing discovery efforts focused on checkpoint inhibition and cccDNA targeting and to identify novel, orally administered small molecule drug candidates to complement our pipeline of agents to form an effective combination therapy for the treatment of HBV.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Licensing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Onpattro® (Patisiran/ALN-TTR02)</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technology. Alnylam's Onpattro™ (Patisiran), which represents the most clinically advanced application of our LNP technology, was approved by the FDA and EMA during the third quarter of 2018 and was launched immediately upon approval in the US. We are entitled to tiered low to mid single-digit royalty payments on net sales of Onpattro™ and received our first royalty payment in the fourth quarter of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Genevant Sciences</w:t>
      </w:r>
    </w:p>
    <w:p>
      <w:pPr>
        <w:spacing w:after="0" w:line="229"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a company focused on the discovery, development, and commercialization of a broad range of RNA-based therapeutics enabled by our LNP and ligand conjugate delivery technologies. We have licensed exclusive rights to our Delivery</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64" w:right="259" w:bottom="1440" w:gutter="0" w:footer="0" w:header="0"/>
        </w:sectPr>
      </w:pPr>
    </w:p>
    <w:bookmarkStart w:id="25" w:name="page26"/>
    <w:bookmarkEnd w:id="25"/>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62"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Roivant contributed $37.5 million in transaction-related seed capital to Genevant, consisting of an initial $22.5 million investment and a subsequent investment of $15 million at a pre-determined, stepped-up valuation. We retain all rights to our Delivery Platforms for HBV, and are entitled to a tiered low single-digit royalty from Genevant on future sales of products enabled by the delivery platforms licensed to Genevant. We also retained the entirety of our royalty entitlement on the commercialization of Alnylam’s Onpattro. As of March 31, 2019, we held an equity interest in Genevant of approximately 40%.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consolidated financial statements, which have been prepared in accordance with U.S. generally accepted accounting principles (“U.S. GAAP”).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 in thousands (except for per share figures):</w:t>
      </w:r>
    </w:p>
    <w:p>
      <w:pPr>
        <w:spacing w:after="0" w:line="124" w:lineRule="exact"/>
        <w:rPr>
          <w:sz w:val="20"/>
          <w:szCs w:val="20"/>
          <w:color w:val="auto"/>
        </w:rPr>
      </w:pPr>
    </w:p>
    <w:tbl>
      <w:tblPr>
        <w:tblLayout w:type="fixed"/>
        <w:tblInd w:w="1500" w:type="dxa"/>
        <w:tblCellMar>
          <w:top w:w="0" w:type="dxa"/>
          <w:left w:w="0" w:type="dxa"/>
          <w:bottom w:w="0" w:type="dxa"/>
          <w:right w:w="0" w:type="dxa"/>
        </w:tblCellMar>
      </w:tblPr>
      <w:tr>
        <w:trPr>
          <w:trHeight w:val="258"/>
        </w:trPr>
        <w:tc>
          <w:tcPr>
            <w:tcW w:w="4620" w:type="dxa"/>
            <w:vAlign w:val="bottom"/>
          </w:tcPr>
          <w:p>
            <w:pPr>
              <w:spacing w:after="0"/>
              <w:rPr>
                <w:sz w:val="22"/>
                <w:szCs w:val="22"/>
                <w:color w:val="auto"/>
              </w:rPr>
            </w:pPr>
          </w:p>
        </w:tc>
        <w:tc>
          <w:tcPr>
            <w:tcW w:w="3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268"/>
        </w:trPr>
        <w:tc>
          <w:tcPr>
            <w:tcW w:w="4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9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19,841</w:t>
            </w:r>
          </w:p>
        </w:tc>
        <w:tc>
          <w:tcPr>
            <w:tcW w:w="1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(23,251)</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Revenue contracts are addressed in detail in the Overview section of Part I, Item 2, "Management's Discussion and Analysis of Financial Condition and Results of Operations" in our 2018 Form 10-K.</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64" w:right="259" w:bottom="1440" w:gutter="0" w:footer="0" w:header="0"/>
        </w:sectPr>
      </w:pPr>
    </w:p>
    <w:bookmarkStart w:id="26" w:name="page27"/>
    <w:bookmarkEnd w:id="26"/>
    <w:p>
      <w:pPr>
        <w:spacing w:after="0" w:line="212" w:lineRule="auto"/>
        <w:rPr>
          <w:sz w:val="20"/>
          <w:szCs w:val="20"/>
          <w:color w:val="auto"/>
        </w:rPr>
      </w:pPr>
      <w:r>
        <w:rPr>
          <w:rFonts w:ascii="Times New Roman" w:cs="Times New Roman" w:eastAsia="Times New Roman" w:hAnsi="Times New Roman"/>
          <w:sz w:val="18"/>
          <w:szCs w:val="18"/>
          <w:color w:val="auto"/>
        </w:rPr>
        <w:t>Revenue decreased $0.8 million for the three months ended March 31, 2019 as compared to the three months ended March 31, 2018. Revenue for the three months ended March 31, 2019 consisted primarily of royalties from sales of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as well as royalties from Spectrum Pharmaceuticals, Inc.'s Marqibo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services provided to Gritstone. During the third quarter of 2018,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which utilizes our LNP technology, was approved by the FDA and the EMA. We retain full rights to low to mid single-digit royalties on global sales of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Revenue for the three months ended March 31, 2018 consisted primarily of revenue earned under our license agreement with Gritsone, including the earned portion of an upfront license fee and services provided to Gritstone.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 Expenses are summarized in the following table,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2018</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14,712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13,949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4,412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3,669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consolidation</w:t>
            </w:r>
          </w:p>
        </w:tc>
        <w:tc>
          <w:tcPr>
            <w:tcW w:w="34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1,621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19,750</w:t>
            </w: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19,841</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$0.8 million in the three months ended March 31, 2019 as compared to the three months ended March 31, 2018 as our pipeline expands and advances into clinical trials. Research and development expenses for the three months ended March 31, 2019 included: (i) enrollment of the 28-day HBV patient portion of our Phase 1a/1b clinical trial for our lead capsid inhibitor (AB-506); (ii) IND/CTA enabling pre-clinical studies for our RNAi agent (AB-729); and (iii) in vitro and in vivo studies to further characterize our HBV RNA destabilizer (AB-452), including the compound itself, its mechanism of action and pharmacokinetic profile.</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our collaborations.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$0.7 million in the three months ended March 31, 2019 as compared to the three months ended March 31, 2018 due primarily to an increase in non-cash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consolidation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2018, we announced a site consolidation and organizational restructuring to better align our HBV business in Warminster, PA, by reducing our global workforce and closing our Burnaby, Canada facility. Most of the employee-related site consolidation expenses were expensed ratably over the period that employees provided services, which was substantially completed by June 30, 2018. We expect total site consolidation expenses to be approximately $5.3 million, of which approximately $4.9 million has been incurred as of March 31, 2019.</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64"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are summarized in the following table, in thousands: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14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0"/>
        </w:trPr>
        <w:tc>
          <w:tcPr>
            <w:tcW w:w="14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23"/>
                <w:szCs w:val="23"/>
                <w:color w:val="auto"/>
              </w:rPr>
            </w:pPr>
          </w:p>
        </w:tc>
      </w:tr>
      <w:tr>
        <w:trPr>
          <w:trHeight w:val="27"/>
        </w:trPr>
        <w:tc>
          <w:tcPr>
            <w:tcW w:w="14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14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4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14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14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43"/>
        </w:trPr>
        <w:tc>
          <w:tcPr>
            <w:tcW w:w="14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loss</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(4,651)</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4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14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fair value of 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37"/>
        </w:trPr>
        <w:tc>
          <w:tcPr>
            <w:tcW w:w="14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(4,180)</w:t>
            </w:r>
          </w:p>
        </w:tc>
        <w:tc>
          <w:tcPr>
            <w:tcW w:w="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r>
      <w:tr>
        <w:trPr>
          <w:trHeight w:val="27"/>
        </w:trPr>
        <w:tc>
          <w:tcPr>
            <w:tcW w:w="14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March 31, 2019 compared to the three months ended March 31, 2108 is due primarily to a lower average cash balance, partially offset by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our site consolidation to Warminster, PA, our Canadian dollar denominated expenses and cash balances have decreased significantly now that a majority of our business transactions are based in the United States. We continue to incur expenses and hold some cash balances in Canadian dollars, and as such, will remain subject to risks associated with foreign currency fluctuations. In the future, we expect that the proportion of cash balances and expenses incurred in Canadian dollars, relative to U.S. dollars, will continue to decrease as a result of the site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losses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2018, together with Roivant, we launched Genevant, a company focused on the discovery, development, and commercialization of a broad range of RNA-based therapeutics enabled by our LNP Delivery Technologies. We account for our 40% ownership interest in Genevant using the equity method of accounting. For the three months ended March 31, 2019, we recorded $4.7 million of equity investment losses, reflecting our proportionate share of Genevant's net loss on a one-quarter lag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 (increase) in fair value of contingent consideration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Contingent consideration is a liability we assumed from our acquisition of Arbutus, Inc. in March 2015. In general, increases in the fair value of the contingent consideration are related to the progress of our programs as they get closer to triggering contingent payments. The fair value of contingent consideration did not change significantly during the three months ended March 31, 2019. The $0.8 million increase in contingent consideration for the three months ended March 31, 2018 was due primarily to a recalibration of the estimated timing of future development milestones being achieved, resulting in a reduction in the estimated fair value of the liability.</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0"/>
        </w:trPr>
        <w:tc>
          <w:tcPr>
            <w:tcW w:w="6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7"/>
        </w:trPr>
        <w:tc>
          <w:tcPr>
            <w:tcW w:w="6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(23,251)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6,760</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6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(16,580)</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61,033</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2,536</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54,367</w:t>
            </w:r>
          </w:p>
        </w:tc>
        <w:tc>
          <w:tcPr>
            <w:tcW w:w="1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foreign exchange rate changes on cash &amp;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6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47,027</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1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36,942</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6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83,969</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r>
        <w:trPr>
          <w:trHeight w:val="27"/>
        </w:trPr>
        <w:tc>
          <w:tcPr>
            <w:tcW w:w="6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equity, debt, revenues from research and development collaborations and licenses with corporate partners, interest income on funds available for investment, and government contracts, grants and tax credits.</w:t>
      </w:r>
    </w:p>
    <w:p>
      <w:pPr>
        <w:spacing w:after="0" w:line="162"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8"/>
          <w:szCs w:val="18"/>
          <w:color w:val="auto"/>
        </w:rPr>
        <w:t>For the three months ended March 31, 2019, operating activities used $16.6 million in cash as compared to $20.0 million of cash used in the three months ended March 31, 2018. The decrease in net cash used in operating activities is due primarily to lower cash outflows related to lower accounts payable and accrued liabilities at December 31, 2018 as compared to December 31, 2017 and receipt of an $0.8 million milestone payment from Alnylam during the three months ended March 31, 2019 for development milestones related to FDA approval and the first commercial sale of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investing activities increased cash by $61.0 million as certain short-term investments matured. For the three months ended March 31, 2018, investing activities included investment of the proceeds from the second tranche of the Series A participating convertible preferred shares (the "Preferred Shares") financing in short-term investments.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financing activities increased cash by $2.5 million due primarily to net proceeds from the sale of common shares pursuant to our Open Market Sale Agreement (the "Sale Agreement") with Jefferies LLC and proceeds from the exercise of stock options. For the three months ended March 31, 2018, financing activities included $66.3 million of net proceeds from the second tranche of the Preferred Shares financing, offset by repayment of a $12.0 million promissory note with a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we had cash and cash equivalents of $84.0 million and short-term investments of $26.6 million, totaling $110.6 million. We had no outstanding debt at March 31, 2019.</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December 2018, we entered into the Sale Agreement, under which we may issue and sell common shares, from time to time, for an aggregate sales price of up to $50.0 million. We did not sell any shares under the Sale Agreement in 2018. For the three months ended March 31, 2019, the Company issued 614,401 common shares pursuant to the Sale Agreement, resulting in gross proceeds of approximately $2.7 million.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two potential sources of significant non-dilutive capital to help fund development of our HBV pipeline. The first is our approximate 40% equity ownership interest in Genevant, a recently created company to which we have licensed our Delivery Platforms for all applications except HBV. Secondly, we retain a royalty entitlement on Onpattro™ (Patisiran), a drug developed by Alnylam that incorporates our LNP technology and was approved by the FDA and EMA during the third quarter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of 2018. This royalty entitlement has the potential to provide an active royalty stream or to be otherwise monetized in full or in part.</w:t>
      </w:r>
    </w:p>
    <w:p>
      <w:pPr>
        <w:spacing w:after="0" w:line="225"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In October 2017, we closed the sale of 500,000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March 31, 2019, we held an aggregate of $110.6 million in cash, cash equivalents and short-term investments, which we believe is sufficient to fund operations into 2020. 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7" w:lineRule="exact"/>
        <w:rPr>
          <w:sz w:val="20"/>
          <w:szCs w:val="20"/>
          <w:color w:val="auto"/>
        </w:rPr>
      </w:pPr>
    </w:p>
    <w:p>
      <w:pPr>
        <w:ind w:left="1360" w:hanging="542"/>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capital to fund future business development programs;</w:t>
      </w:r>
    </w:p>
    <w:p>
      <w:pPr>
        <w:spacing w:after="0" w:line="27" w:lineRule="exact"/>
        <w:rPr>
          <w:rFonts w:ascii="Times New Roman" w:cs="Times New Roman" w:eastAsia="Times New Roman" w:hAnsi="Times New Roman"/>
          <w:sz w:val="18"/>
          <w:szCs w:val="18"/>
          <w:color w:val="auto"/>
        </w:rPr>
      </w:pPr>
    </w:p>
    <w:p>
      <w:pPr>
        <w:ind w:left="1300" w:right="140" w:hanging="482"/>
        <w:spacing w:after="0" w:line="258"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 Onpattro;</w:t>
      </w: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9" w:lineRule="exact"/>
        <w:rPr>
          <w:rFonts w:ascii="Times New Roman" w:cs="Times New Roman" w:eastAsia="Times New Roman" w:hAnsi="Times New Roman"/>
          <w:sz w:val="18"/>
          <w:szCs w:val="18"/>
          <w:color w:val="auto"/>
        </w:rPr>
      </w:pPr>
    </w:p>
    <w:p>
      <w:pPr>
        <w:ind w:left="1300" w:right="880" w:hanging="482"/>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products due to pre-clinical and clinical findings;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or technology for development, in particular for our HBV therapeutics programs;</w:t>
      </w:r>
    </w:p>
    <w:p>
      <w:pPr>
        <w:spacing w:after="0" w:line="9" w:lineRule="exact"/>
        <w:rPr>
          <w:rFonts w:ascii="Times New Roman" w:cs="Times New Roman" w:eastAsia="Times New Roman" w:hAnsi="Times New Roman"/>
          <w:sz w:val="18"/>
          <w:szCs w:val="18"/>
          <w:color w:val="auto"/>
        </w:rPr>
      </w:pPr>
    </w:p>
    <w:p>
      <w:pPr>
        <w:ind w:left="1300" w:right="20" w:hanging="482"/>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drugs that we manufacture fail to meet specifications resulting in delays and investigational and remanufacturing costs;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300" w:right="160" w:hanging="482"/>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180"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We intend to seek funding to maintain and advance our business from a variety of sources including public or private equity or debt financing, potential monetization transactions, collaborative arrangements with pharmaceutical companies and government grants and contracts. There can be no assurance that funding will be available at all or on acceptable terms to permit further development of our products.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our Annual Report on Form 10-K for the year ended December 31, 2018.</w:t>
      </w: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4" w:right="2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2019.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2019, our principal executive officer and principal financial officer concluded that, as of such date,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March 31, 2019 that have materially affected, or are reasonably likely to materially affect, our internal control over financial reporting.</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580" w:right="2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3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information regarding legal matters, please refer to Note 11. Contingencies and Commitments to the condensed consolidated financial statements contained in Part I of this Quarterly Report on Form 10-Q, which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fiscal year-ended December 31, 2018.</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95" w:right="239" w:bottom="1440" w:gutter="0" w:footer="0" w:header="0"/>
        </w:sectPr>
      </w:pPr>
    </w:p>
    <w:bookmarkStart w:id="32" w:name="page33"/>
    <w:bookmarkEnd w:id="32"/>
    <w:tbl>
      <w:tblPr>
        <w:tblLayout w:type="fixed"/>
        <w:tblInd w:w="44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40" w:type="dxa"/>
            <w:vAlign w:val="bottom"/>
            <w:gridSpan w:val="9"/>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0"/>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3.1</w:t>
            </w:r>
          </w:p>
        </w:tc>
        <w:tc>
          <w:tcPr>
            <w:tcW w:w="97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Notice of Articles and Articles of the Company, as amended. (incorporated herein by reference to Exhibit 3.1 to the Registrant's Annual</w:t>
              </w:r>
            </w:hyperlink>
          </w:p>
        </w:tc>
      </w:tr>
      <w:tr>
        <w:trPr>
          <w:trHeight w:val="196"/>
        </w:trPr>
        <w:tc>
          <w:tcPr>
            <w:tcW w:w="1080" w:type="dxa"/>
            <w:vAlign w:val="bottom"/>
          </w:tcPr>
          <w:p>
            <w:pPr>
              <w:spacing w:after="0"/>
              <w:rPr>
                <w:sz w:val="17"/>
                <w:szCs w:val="17"/>
                <w:color w:val="auto"/>
              </w:rPr>
            </w:pPr>
          </w:p>
        </w:tc>
        <w:tc>
          <w:tcPr>
            <w:tcW w:w="73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Report on Form 10-K for the year ended December 31, 2017, filed with the SEC on March 16, 2018).</w:t>
              </w:r>
            </w:hyperlink>
          </w:p>
        </w:tc>
        <w:tc>
          <w:tcPr>
            <w:tcW w:w="2460" w:type="dxa"/>
            <w:vAlign w:val="bottom"/>
            <w:gridSpan w:val="5"/>
          </w:tcPr>
          <w:p>
            <w:pPr>
              <w:spacing w:after="0"/>
              <w:rPr>
                <w:sz w:val="17"/>
                <w:szCs w:val="17"/>
                <w:color w:val="auto"/>
              </w:rPr>
            </w:pPr>
          </w:p>
        </w:tc>
      </w:tr>
      <w:tr>
        <w:trPr>
          <w:trHeight w:val="574"/>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3.2</w:t>
            </w:r>
          </w:p>
        </w:tc>
        <w:tc>
          <w:tcPr>
            <w:tcW w:w="96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Amendment to Articles of the Company (incorporated herein by reference to Exhibit 3.1 to the Registrant’s Quarterly Report on Form</w:t>
              </w:r>
            </w:hyperlink>
          </w:p>
        </w:tc>
        <w:tc>
          <w:tcPr>
            <w:tcW w:w="1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5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10-Q for the quarter ended September 30, 2018, filed with the SEC on November 7, 2018).</w:t>
              </w:r>
            </w:hyperlink>
          </w:p>
        </w:tc>
        <w:tc>
          <w:tcPr>
            <w:tcW w:w="3220" w:type="dxa"/>
            <w:vAlign w:val="bottom"/>
            <w:gridSpan w:val="6"/>
          </w:tcPr>
          <w:p>
            <w:pPr>
              <w:spacing w:after="0"/>
              <w:rPr>
                <w:sz w:val="17"/>
                <w:szCs w:val="17"/>
                <w:color w:val="auto"/>
              </w:rPr>
            </w:pPr>
          </w:p>
        </w:tc>
      </w:tr>
      <w:tr>
        <w:trPr>
          <w:trHeight w:val="574"/>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c>
          <w:tcPr>
            <w:tcW w:w="4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w:anchor="page34">
              <w:r>
                <w:rPr>
                  <w:rFonts w:ascii="Times New Roman" w:cs="Times New Roman" w:eastAsia="Times New Roman" w:hAnsi="Times New Roman"/>
                  <w:sz w:val="18"/>
                  <w:szCs w:val="18"/>
                  <w:color w:val="0000FF"/>
                  <w:w w:val="98"/>
                </w:rPr>
                <w:t>Koert VandenEnden Termination and Severance Agreement</w:t>
              </w:r>
            </w:hyperlink>
          </w:p>
        </w:tc>
        <w:tc>
          <w:tcPr>
            <w:tcW w:w="5460" w:type="dxa"/>
            <w:vAlign w:val="bottom"/>
            <w:gridSpan w:val="7"/>
          </w:tcPr>
          <w:p>
            <w:pPr>
              <w:spacing w:after="0"/>
              <w:rPr>
                <w:sz w:val="24"/>
                <w:szCs w:val="24"/>
                <w:color w:val="auto"/>
              </w:rPr>
            </w:pPr>
          </w:p>
        </w:tc>
      </w:tr>
      <w:tr>
        <w:trPr>
          <w:trHeight w:val="574"/>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31.1*</w:t>
            </w:r>
          </w:p>
        </w:tc>
        <w:tc>
          <w:tcPr>
            <w:tcW w:w="97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38">
              <w:r>
                <w:rPr>
                  <w:rFonts w:ascii="Times New Roman" w:cs="Times New Roman" w:eastAsia="Times New Roman" w:hAnsi="Times New Roman"/>
                  <w:sz w:val="18"/>
                  <w:szCs w:val="18"/>
                  <w:color w:val="0000FF"/>
                  <w:w w:val="99"/>
                </w:rPr>
                <w:t>Certification of Principal Executive Officer pursuant to Rule 13a-14(a) or 15d-14(a) of the Securities Exchange Act of 1934, as adopted</w:t>
              </w:r>
            </w:hyperlink>
          </w:p>
        </w:tc>
      </w:tr>
      <w:tr>
        <w:trPr>
          <w:trHeight w:val="196"/>
        </w:trPr>
        <w:tc>
          <w:tcPr>
            <w:tcW w:w="1080" w:type="dxa"/>
            <w:vAlign w:val="bottom"/>
          </w:tcPr>
          <w:p>
            <w:pPr>
              <w:spacing w:after="0"/>
              <w:rPr>
                <w:sz w:val="17"/>
                <w:szCs w:val="17"/>
                <w:color w:val="auto"/>
              </w:rPr>
            </w:pPr>
          </w:p>
        </w:tc>
        <w:tc>
          <w:tcPr>
            <w:tcW w:w="9780" w:type="dxa"/>
            <w:vAlign w:val="bottom"/>
            <w:gridSpan w:val="10"/>
          </w:tcPr>
          <w:p>
            <w:pPr>
              <w:spacing w:after="0" w:line="196" w:lineRule="exact"/>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39">
              <w:r>
                <w:rPr>
                  <w:rFonts w:ascii="Times New Roman" w:cs="Times New Roman" w:eastAsia="Times New Roman" w:hAnsi="Times New Roman"/>
                  <w:sz w:val="18"/>
                  <w:szCs w:val="18"/>
                  <w:color w:val="0000FF"/>
                  <w:w w:val="99"/>
                </w:rPr>
                <w:t>Certification of Principal Financial Officer pursuant to Rule 13a-14(a) or 15d-14(a) of the Securities Exchange Act of 1934, as adopted</w:t>
              </w:r>
            </w:hyperlink>
          </w:p>
        </w:tc>
        <w:tc>
          <w:tcPr>
            <w:tcW w:w="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780" w:type="dxa"/>
            <w:vAlign w:val="bottom"/>
            <w:gridSpan w:val="10"/>
          </w:tcPr>
          <w:p>
            <w:pPr>
              <w:spacing w:after="0" w:line="196"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520"/>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10"/>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r>
      <w:tr>
        <w:trPr>
          <w:trHeight w:val="196"/>
        </w:trPr>
        <w:tc>
          <w:tcPr>
            <w:tcW w:w="1080" w:type="dxa"/>
            <w:vAlign w:val="bottom"/>
          </w:tcPr>
          <w:p>
            <w:pPr>
              <w:spacing w:after="0"/>
              <w:rPr>
                <w:sz w:val="17"/>
                <w:szCs w:val="17"/>
                <w:color w:val="auto"/>
              </w:rPr>
            </w:pPr>
          </w:p>
        </w:tc>
        <w:tc>
          <w:tcPr>
            <w:tcW w:w="954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Oxley Act of 2002</w:t>
              </w:r>
            </w:hyperlink>
          </w:p>
        </w:tc>
        <w:tc>
          <w:tcPr>
            <w:tcW w:w="24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520"/>
        </w:trPr>
        <w:tc>
          <w:tcPr>
            <w:tcW w:w="10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32.2**</w:t>
            </w:r>
          </w:p>
        </w:tc>
        <w:tc>
          <w:tcPr>
            <w:tcW w:w="95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hyperlink>
          </w:p>
        </w:tc>
        <w:tc>
          <w:tcPr>
            <w:tcW w:w="28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780" w:type="dxa"/>
            <w:vAlign w:val="bottom"/>
            <w:gridSpan w:val="10"/>
          </w:tcPr>
          <w:p>
            <w:pPr>
              <w:spacing w:after="0" w:line="196" w:lineRule="exact"/>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Oxley Act of 2002</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3" w:lineRule="exact"/>
        <w:rPr>
          <w:sz w:val="20"/>
          <w:szCs w:val="20"/>
          <w:color w:val="auto"/>
        </w:rPr>
      </w:pPr>
    </w:p>
    <w:p>
      <w:pPr>
        <w:ind w:left="1520" w:right="100" w:hanging="904"/>
        <w:spacing w:after="0" w:line="258" w:lineRule="auto"/>
        <w:tabs>
          <w:tab w:leader="none" w:pos="15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Arbutus Biopharma Corporation's Quarterly Report on Form 10-Q for the quarter ended March 31, 2019, formatted in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1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4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2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6, 2019.</w:t>
      </w: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819" w:right="2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Without Prejudice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&amp; Confidential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22,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Koert VandenEnden</w:t>
      </w:r>
    </w:p>
    <w:p>
      <w:pPr>
        <w:spacing w:after="0" w:line="209" w:lineRule="auto"/>
        <w:rPr>
          <w:sz w:val="20"/>
          <w:szCs w:val="20"/>
          <w:color w:val="auto"/>
        </w:rPr>
      </w:pPr>
      <w:r>
        <w:rPr>
          <w:rFonts w:ascii="Times New Roman" w:cs="Times New Roman" w:eastAsia="Times New Roman" w:hAnsi="Times New Roman"/>
          <w:sz w:val="20"/>
          <w:szCs w:val="20"/>
          <w:color w:val="auto"/>
        </w:rPr>
        <w:t>3436 W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Vancouver, BC V6R 1W1</w:t>
      </w: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Termination and Severance Agreement</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Further to our recent discussions, set out below are the terms we have agreed upon regarding the ending of your employment with Arbutus Biopharma Corporation (the “Company”). Please review the letter and enclosure carefully and seek any advice you deem appropriate.</w:t>
      </w:r>
    </w:p>
    <w:p>
      <w:pPr>
        <w:spacing w:after="0" w:line="17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last day of work will be March 31, 2019 (the “Termination Date”). You will receive any earned but unpaid Base Salary, and three</w:t>
      </w:r>
    </w:p>
    <w:p>
      <w:pPr>
        <w:spacing w:after="0" w:line="39"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accrued and unused vacation time as of this date.</w:t>
      </w:r>
    </w:p>
    <w:p>
      <w:pPr>
        <w:spacing w:after="0" w:line="240" w:lineRule="exact"/>
        <w:rPr>
          <w:rFonts w:ascii="Times New Roman" w:cs="Times New Roman" w:eastAsia="Times New Roman" w:hAnsi="Times New Roman"/>
          <w:sz w:val="19"/>
          <w:szCs w:val="19"/>
          <w:color w:val="auto"/>
        </w:rPr>
      </w:pPr>
    </w:p>
    <w:p>
      <w:pPr>
        <w:jc w:val="both"/>
        <w:ind w:left="660" w:hanging="328"/>
        <w:spacing w:after="0" w:line="271"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you executing and returning the attached Release within fourteen (14) days of the Termination Date, you will be provided with (1) a lump sum payment in the amount of CAD$43,538, less required deductions, this payment represents eight (8) weeks of your Base Salary plus (2) you will be paid CAD$21,225, less required deductions, which represents payment of a pro-rated bonus based on the your days worked with the Company during the Termination Year; (3) a lump-sum in the amount of CAD$56,660, less required deductions, this payment represents 20% of your annual base salary; and (4) an acceleration of all stock options such that they are all vested on the agreed exit date and an extension of the exercise period for all stock options to twelve (12) months after your initial consulting contract terminates unless exercised by you (collectively, (1), (2), (3) and (4) are the “Severance”), subject to applicable tax withholding, provided that you satisfy the Conditions (as defined herein) within the Deadline (as defined herein). The Severance will be paid in a lump sum within ten (10) business days following the last day of the Deadline, assuming the Release (as defined herein) is in effect and no longer revocable.</w:t>
      </w:r>
    </w:p>
    <w:p>
      <w:pPr>
        <w:spacing w:after="0" w:line="185" w:lineRule="exact"/>
        <w:rPr>
          <w:rFonts w:ascii="Times New Roman" w:cs="Times New Roman" w:eastAsia="Times New Roman" w:hAnsi="Times New Roman"/>
          <w:sz w:val="20"/>
          <w:szCs w:val="20"/>
          <w:color w:val="auto"/>
        </w:rPr>
      </w:pPr>
    </w:p>
    <w:p>
      <w:pPr>
        <w:ind w:left="660" w:hanging="328"/>
        <w:spacing w:after="0" w:line="297"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noted in paragraphs 1 and 2 of this letter, no other payments will be provided to you and no perquisites or benefits of any nature or kind will be provided or continued.</w:t>
      </w:r>
    </w:p>
    <w:p>
      <w:pPr>
        <w:spacing w:after="0" w:line="1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Release</w:t>
      </w:r>
    </w:p>
    <w:p>
      <w:pPr>
        <w:spacing w:after="0" w:line="260" w:lineRule="exact"/>
        <w:rPr>
          <w:rFonts w:ascii="Times New Roman" w:cs="Times New Roman" w:eastAsia="Times New Roman" w:hAnsi="Times New Roman"/>
          <w:sz w:val="20"/>
          <w:szCs w:val="20"/>
          <w:b w:val="1"/>
          <w:bCs w:val="1"/>
          <w:color w:val="auto"/>
        </w:rPr>
      </w:pPr>
    </w:p>
    <w:p>
      <w:pPr>
        <w:ind w:left="660" w:right="2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payments and other terms described above are in full satisfaction of all matters and claims related to your employment with the Company and as such we will require you to sign a release in favour of the Company. A copy of the Release is enclosed.</w:t>
      </w:r>
    </w:p>
    <w:p>
      <w:pPr>
        <w:spacing w:after="0" w:line="156"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Consulting</w:t>
      </w:r>
    </w:p>
    <w:p>
      <w:pPr>
        <w:spacing w:after="0" w:line="233" w:lineRule="exact"/>
        <w:rPr>
          <w:rFonts w:ascii="Times New Roman" w:cs="Times New Roman" w:eastAsia="Times New Roman" w:hAnsi="Times New Roman"/>
          <w:sz w:val="20"/>
          <w:szCs w:val="20"/>
          <w:color w:val="auto"/>
        </w:rPr>
      </w:pPr>
    </w:p>
    <w:p>
      <w:pPr>
        <w:jc w:val="both"/>
        <w:ind w:left="6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your Termination Date, you will enter in to a consulting agreement with the Company, the principal terms of which will be that you will provide transitional business management services to the Company for a period of six (6) months. A formal consulting agreement will be provided to you in due course.</w:t>
      </w:r>
    </w:p>
    <w:p>
      <w:pPr>
        <w:sectPr>
          <w:pgSz w:w="11900" w:h="16838" w:orient="portrait"/>
          <w:cols w:equalWidth="0" w:num="1">
            <w:col w:w="11420"/>
          </w:cols>
          <w:pgMar w:left="240" w:top="1440" w:right="239" w:bottom="1440" w:gutter="0" w:footer="0" w:header="0"/>
        </w:sectPr>
      </w:pPr>
    </w:p>
    <w:bookmarkStart w:id="34" w:name="page35"/>
    <w:bookmarkEnd w:id="34"/>
    <w:p>
      <w:pPr>
        <w:ind w:left="660"/>
        <w:spacing w:after="0" w:line="311" w:lineRule="auto"/>
        <w:rPr>
          <w:sz w:val="20"/>
          <w:szCs w:val="20"/>
          <w:color w:val="auto"/>
        </w:rPr>
      </w:pPr>
      <w:r>
        <w:rPr>
          <w:rFonts w:ascii="Times New Roman" w:cs="Times New Roman" w:eastAsia="Times New Roman" w:hAnsi="Times New Roman"/>
          <w:sz w:val="20"/>
          <w:szCs w:val="20"/>
          <w:color w:val="auto"/>
        </w:rPr>
        <w:t>Per recent Compensation Committee approval, any options granted to you will expire twelve (12) months after the initial consulting contract terminates unless exercised by you.</w:t>
      </w:r>
    </w:p>
    <w:p>
      <w:pPr>
        <w:spacing w:after="0" w:line="14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Non-Competition and Non-Solicitation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take this opportunity to remind you of your on-going obligations to the Company regarding Confidentiality, Non-Competition and Non-Solicitation as set out in your Employment Agreement. By signing this letter and accepting the payments referred to above, you acknowledge and agree that you are bound by these obligations.</w:t>
      </w:r>
    </w:p>
    <w:p>
      <w:pPr>
        <w:spacing w:after="0" w:line="174"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in this letter, the attached General Release or the Confidentiality, Non-Competition and Non-Solicitation as set out in your Employment Agreement (collectively, the “Agreements”), nothing in the Agreements prohibits you from reporting possible violations of United States federal law or regulation to any United States governmental agency or entity, including but not limited to the Department of Justice, the Securities and Exchange Commission, the Congress, and any agency Inspector General, or making other disclosures that are protected under the whistleblower provisions of United States federal law or regulation without prior authorization from or any notice to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trust the above terms are an accurate reflection of our agreement. To confirm your acceptance and to allow us to process the payment and expeditiously address the other matters, I ask that you sign (in the presence of a witness) and return to me the enclosed Release no later than 14 days from the Termination Date. Your signature will constitute a binding agreement between you and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Koert, thank you for your service to the Company and best wishes in your future endeavours.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truly,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Murray,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/encls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FFFFFF"/>
        </w:rPr>
        <w:t>2 of 2</w:t>
      </w:r>
    </w:p>
    <w:p>
      <w:pPr>
        <w:sectPr>
          <w:pgSz w:w="11900" w:h="16838" w:orient="portrait"/>
          <w:cols w:equalWidth="0" w:num="1">
            <w:col w:w="11420"/>
          </w:cols>
          <w:pgMar w:left="240" w:top="859"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3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Executive agrees, for himself, his spouse, heirs, executor or administrator, assigns, insurers, attorneys, and other persons or entities acting or purporting to act on his behalf (the “</w:t>
      </w:r>
      <w:r>
        <w:rPr>
          <w:rFonts w:ascii="Times New Roman" w:cs="Times New Roman" w:eastAsia="Times New Roman" w:hAnsi="Times New Roman"/>
          <w:sz w:val="20"/>
          <w:szCs w:val="20"/>
          <w:b w:val="1"/>
          <w:bCs w:val="1"/>
          <w:color w:val="auto"/>
        </w:rPr>
        <w:t>Executive’s Parties</w:t>
      </w:r>
      <w:r>
        <w:rPr>
          <w:rFonts w:ascii="Times New Roman" w:cs="Times New Roman" w:eastAsia="Times New Roman" w:hAnsi="Times New Roman"/>
          <w:sz w:val="20"/>
          <w:szCs w:val="20"/>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Times New Roman" w:cs="Times New Roman" w:eastAsia="Times New Roman" w:hAnsi="Times New Roman"/>
          <w:sz w:val="20"/>
          <w:szCs w:val="20"/>
          <w:b w:val="1"/>
          <w:bCs w:val="1"/>
          <w:color w:val="auto"/>
        </w:rPr>
        <w:t>Company’s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from any and all actions, causes of action, suits, claims, obligations, liabilities, debts, demands, contentions, damages, judgments,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a waiver of the right to payment of any vested, non-forfeitable benefits to which the Executive or a beneficiary of the Executive may be entitled under the terms and provisions of any employee benefit plan of the company which have accrued as of the Date of Termination, and (b)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Executive agrees that he will not make any derogatory statements, either oral or written, or otherwise disparage any of the Company’s Parties or their products, employees, services, work and/or employment.</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agrees that it will not make any derogatory statements, either oral or written, or otherwise disparage any of the Executive’s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Executive hereby acknowledges his understanding that under this Agreement he is releasing any known or unknown claims he may have.</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Executive expressly waives and relinquishes all rights and benefits under that section and any law of any jurisdiction of similar effect with respect to his release of claims.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FFFFFF"/>
        </w:rPr>
        <w:t>3 of 3</w:t>
      </w:r>
    </w:p>
    <w:p>
      <w:pPr>
        <w:sectPr>
          <w:pgSz w:w="11900" w:h="16838" w:orient="portrait"/>
          <w:cols w:equalWidth="0" w:num="1">
            <w:col w:w="11420"/>
          </w:cols>
          <w:pgMar w:left="240" w:top="626" w:right="239" w:bottom="1440" w:gutter="0" w:footer="0" w:header="0"/>
        </w:sectPr>
      </w:pPr>
    </w:p>
    <w:bookmarkStart w:id="36" w:name="page37"/>
    <w:bookmarkEnd w:id="36"/>
    <w:tbl>
      <w:tblPr>
        <w:tblLayout w:type="fixed"/>
        <w:tblInd w:w="118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w w:val="99"/>
              </w:rPr>
              <w:t>IN WITNESS WHEREOF I have hereunto set my hand this _____ day of</w:t>
            </w:r>
          </w:p>
        </w:tc>
        <w:tc>
          <w:tcPr>
            <w:tcW w:w="580" w:type="dxa"/>
            <w:vAlign w:val="bottom"/>
            <w:tcBorders>
              <w:bottom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w:t>
            </w:r>
          </w:p>
        </w:tc>
      </w:tr>
    </w:tbl>
    <w:p>
      <w:pPr>
        <w:spacing w:after="0" w:line="200" w:lineRule="exact"/>
        <w:rPr>
          <w:sz w:val="20"/>
          <w:szCs w:val="20"/>
          <w:color w:val="auto"/>
        </w:rPr>
      </w:pPr>
    </w:p>
    <w:p>
      <w:pPr>
        <w:sectPr>
          <w:pgSz w:w="11900" w:h="16838" w:orient="portrait"/>
          <w:cols w:equalWidth="0" w:num="1">
            <w:col w:w="9779"/>
          </w:cols>
          <w:pgMar w:left="68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SIGNED, SEALED and DELIVERED by Koert VandenEnden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93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93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93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93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wp:posOffset>
            </wp:positionV>
            <wp:extent cx="93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line="183" w:lineRule="auto"/>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-24130</wp:posOffset>
            </wp:positionV>
            <wp:extent cx="93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2" w:lineRule="auto"/>
        <w:tabs>
          <w:tab w:leader="none" w:pos="580" w:val="left"/>
        </w:tabs>
        <w:rPr>
          <w:sz w:val="20"/>
          <w:szCs w:val="20"/>
          <w:color w:val="auto"/>
        </w:rPr>
      </w:pPr>
      <w:r>
        <w:rPr>
          <w:rFonts w:ascii="Times New Roman" w:cs="Times New Roman" w:eastAsia="Times New Roman" w:hAnsi="Times New Roman"/>
          <w:sz w:val="27"/>
          <w:szCs w:val="27"/>
          <w:color w:val="auto"/>
          <w:vertAlign w:val="subscript"/>
        </w:rPr>
        <w:t>)</w:t>
      </w:r>
      <w:r>
        <w:rPr>
          <w:sz w:val="20"/>
          <w:szCs w:val="20"/>
          <w:color w:val="auto"/>
        </w:rPr>
        <w:tab/>
      </w:r>
      <w:r>
        <w:rPr>
          <w:rFonts w:ascii="Times New Roman" w:cs="Times New Roman" w:eastAsia="Times New Roman" w:hAnsi="Times New Roman"/>
          <w:sz w:val="15"/>
          <w:szCs w:val="15"/>
          <w:color w:val="auto"/>
        </w:rPr>
        <w:t>Koert VandenEnden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3820" w:space="560"/>
            <w:col w:w="5399"/>
          </w:cols>
          <w:pgMar w:left="680" w:top="1030"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FFFF"/>
        </w:rPr>
        <w:t>4 of 4</w:t>
      </w:r>
    </w:p>
    <w:p>
      <w:pPr>
        <w:sectPr>
          <w:pgSz w:w="11900" w:h="16838" w:orient="portrait"/>
          <w:cols w:equalWidth="0" w:num="1">
            <w:col w:w="9779"/>
          </w:cols>
          <w:pgMar w:left="680" w:top="1030" w:right="1440"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ind w:left="260" w:right="2180"/>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ind w:left="260" w:right="2180"/>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David Hastings, certify that:</w:t>
      </w:r>
    </w:p>
    <w:p>
      <w:pPr>
        <w:spacing w:after="0" w:line="171" w:lineRule="exact"/>
        <w:rPr>
          <w:sz w:val="20"/>
          <w:szCs w:val="20"/>
          <w:color w:val="auto"/>
        </w:rPr>
      </w:pPr>
    </w:p>
    <w:p>
      <w:pPr>
        <w:ind w:left="1220" w:hanging="402"/>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65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March 31, 2019,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March 31, 2019,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emdash "/>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2"/>
      <w:numFmt w:val="decimal"/>
      <w:start w:val="101"/>
    </w:lvl>
  </w:abstractNum>
  <w:abstractNum w:abstractNumId="17">
    <w:nsid w:val="628C895D"/>
    <w:multiLevelType w:val="hybridMultilevel"/>
    <w:lvl w:ilvl="0">
      <w:lvlJc w:val="left"/>
      <w:lvlText w:val="**"/>
      <w:numFmt w:val="bullet"/>
      <w:start w:val="1"/>
    </w:lvl>
    <w:lvl w:ilvl="1">
      <w:lvlJc w:val="left"/>
      <w:lvlText w:val="%2"/>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6"/>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0" Type="http://schemas.openxmlformats.org/officeDocument/2006/relationships/hyperlink" Target="http://www.sec.gov/Archives/edgar/data/1447028/000162828018003276/exhibit31_articlesandartic.htm" TargetMode="External"/><Relationship Id="rId21" Type="http://schemas.openxmlformats.org/officeDocument/2006/relationships/hyperlink" Target="http://www.sec.gov/Archives/edgar/data/1447028/000162828018013909/exhibit31amendmenttoartic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2019-12-28T13:03:51Z</dcterms:created>
  <dcterms:modified xsi:type="dcterms:W3CDTF">2019-12-28T13:03:51Z</dcterms:modified>
</cp:coreProperties>
</file>