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[X] 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b w:val="1"/>
          <w:bCs w:val="1"/>
          <w:u w:val="single" w:color="auto"/>
          <w:color w:val="auto"/>
        </w:rPr>
        <w:t>June 30, 2018</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OR</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 TRANSITION REPORT PURSUANT TO SECTION 13 OR 15(d) OF THE SECURITIES EXCHANGE ACT OF 1934</w:t>
      </w:r>
    </w:p>
    <w:p>
      <w:pPr>
        <w:spacing w:after="0" w:line="96" w:lineRule="exact"/>
        <w:rPr>
          <w:sz w:val="24"/>
          <w:szCs w:val="24"/>
          <w:color w:val="auto"/>
        </w:rPr>
      </w:pPr>
    </w:p>
    <w:tbl>
      <w:tblPr>
        <w:tblLayout w:type="fixed"/>
        <w:tblInd w:w="4640" w:type="dxa"/>
        <w:tblCellMar>
          <w:top w:w="0" w:type="dxa"/>
          <w:left w:w="0" w:type="dxa"/>
          <w:bottom w:w="0" w:type="dxa"/>
          <w:right w:w="0" w:type="dxa"/>
        </w:tblCellMar>
      </w:tblPr>
      <w:tr>
        <w:trPr>
          <w:trHeight w:val="153"/>
        </w:trPr>
        <w:tc>
          <w:tcPr>
            <w:tcW w:w="1480" w:type="dxa"/>
            <w:vAlign w:val="bottom"/>
          </w:tcPr>
          <w:p>
            <w:pPr>
              <w:spacing w:after="0"/>
              <w:rPr>
                <w:sz w:val="20"/>
                <w:szCs w:val="20"/>
                <w:color w:val="auto"/>
              </w:rPr>
            </w:pPr>
            <w:r>
              <w:rPr>
                <w:rFonts w:ascii="Arial" w:cs="Arial" w:eastAsia="Arial" w:hAnsi="Arial"/>
                <w:sz w:val="12"/>
                <w:szCs w:val="12"/>
                <w:color w:val="auto"/>
                <w:w w:val="91"/>
              </w:rPr>
              <w:t>For the Transition Period from</w:t>
            </w:r>
          </w:p>
        </w:tc>
        <w:tc>
          <w:tcPr>
            <w:tcW w:w="520" w:type="dxa"/>
            <w:vAlign w:val="bottom"/>
          </w:tcPr>
          <w:p>
            <w:pPr>
              <w:ind w:left="320"/>
              <w:spacing w:after="0"/>
              <w:rPr>
                <w:sz w:val="20"/>
                <w:szCs w:val="20"/>
                <w:color w:val="auto"/>
              </w:rPr>
            </w:pPr>
            <w:r>
              <w:rPr>
                <w:rFonts w:ascii="Arial" w:cs="Arial" w:eastAsia="Arial" w:hAnsi="Arial"/>
                <w:sz w:val="12"/>
                <w:szCs w:val="12"/>
                <w:color w:val="auto"/>
              </w:rPr>
              <w:t>to</w:t>
            </w:r>
          </w:p>
        </w:tc>
      </w:tr>
      <w:tr>
        <w:trPr>
          <w:trHeight w:val="207"/>
        </w:trPr>
        <w:tc>
          <w:tcPr>
            <w:tcW w:w="2000" w:type="dxa"/>
            <w:vAlign w:val="bottom"/>
            <w:gridSpan w:val="2"/>
          </w:tcPr>
          <w:p>
            <w:pPr>
              <w:ind w:left="180"/>
              <w:spacing w:after="0"/>
              <w:rPr>
                <w:sz w:val="20"/>
                <w:szCs w:val="20"/>
                <w:color w:val="auto"/>
              </w:rPr>
            </w:pPr>
            <w:r>
              <w:rPr>
                <w:rFonts w:ascii="Arial" w:cs="Arial" w:eastAsia="Arial" w:hAnsi="Arial"/>
                <w:sz w:val="12"/>
                <w:szCs w:val="12"/>
                <w:color w:val="auto"/>
                <w:w w:val="90"/>
              </w:rPr>
              <w:t xml:space="preserve">Commission File Number: </w:t>
            </w:r>
            <w:r>
              <w:rPr>
                <w:rFonts w:ascii="Arial" w:cs="Arial" w:eastAsia="Arial" w:hAnsi="Arial"/>
                <w:sz w:val="12"/>
                <w:szCs w:val="12"/>
                <w:b w:val="1"/>
                <w:bCs w:val="1"/>
                <w:color w:val="auto"/>
                <w:w w:val="90"/>
              </w:rPr>
              <w:t>001-34949</w:t>
            </w:r>
          </w:p>
        </w:tc>
      </w:tr>
      <w:tr>
        <w:trPr>
          <w:trHeight w:val="20"/>
        </w:trPr>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71" w:lineRule="exact"/>
        <w:rPr>
          <w:sz w:val="24"/>
          <w:szCs w:val="24"/>
          <w:color w:val="auto"/>
        </w:rPr>
      </w:pPr>
    </w:p>
    <w:tbl>
      <w:tblPr>
        <w:tblLayout w:type="fixed"/>
        <w:tblInd w:w="114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380" w:type="dxa"/>
            <w:vAlign w:val="bottom"/>
            <w:gridSpan w:val="4"/>
          </w:tcPr>
          <w:p>
            <w:pPr>
              <w:jc w:val="center"/>
              <w:ind w:right="2240"/>
              <w:spacing w:after="0"/>
              <w:rPr>
                <w:sz w:val="20"/>
                <w:szCs w:val="20"/>
                <w:color w:val="auto"/>
              </w:rPr>
            </w:pPr>
            <w:r>
              <w:rPr>
                <w:rFonts w:ascii="Arial" w:cs="Arial" w:eastAsia="Arial" w:hAnsi="Arial"/>
                <w:sz w:val="22"/>
                <w:szCs w:val="22"/>
                <w:b w:val="1"/>
                <w:bCs w:val="1"/>
                <w:color w:val="auto"/>
                <w:w w:val="98"/>
              </w:rPr>
              <w:t>ARBUTUS BIOPHARMA CORPORATION</w:t>
            </w:r>
          </w:p>
        </w:tc>
      </w:tr>
      <w:tr>
        <w:trPr>
          <w:trHeight w:val="250"/>
        </w:trPr>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(Exact Name of Registrant as Specified in Its Charter)</w:t>
            </w:r>
          </w:p>
        </w:tc>
        <w:tc>
          <w:tcPr>
            <w:tcW w:w="2240" w:type="dxa"/>
            <w:vAlign w:val="bottom"/>
            <w:gridSpan w:val="3"/>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440" w:type="dxa"/>
            <w:vAlign w:val="bottom"/>
            <w:gridSpan w:val="2"/>
          </w:tcPr>
          <w:p>
            <w:pPr>
              <w:jc w:val="center"/>
              <w:ind w:right="1100"/>
              <w:spacing w:after="0"/>
              <w:rPr>
                <w:sz w:val="20"/>
                <w:szCs w:val="20"/>
                <w:color w:val="auto"/>
              </w:rPr>
            </w:pPr>
            <w:r>
              <w:rPr>
                <w:rFonts w:ascii="Arial" w:cs="Arial" w:eastAsia="Arial" w:hAnsi="Arial"/>
                <w:sz w:val="12"/>
                <w:szCs w:val="12"/>
                <w:b w:val="1"/>
                <w:bCs w:val="1"/>
                <w:color w:val="auto"/>
                <w:w w:val="91"/>
              </w:rPr>
              <w:t>British Columbia, Canada</w:t>
            </w:r>
          </w:p>
        </w:tc>
        <w:tc>
          <w:tcPr>
            <w:tcW w:w="6380" w:type="dxa"/>
            <w:vAlign w:val="bottom"/>
            <w:gridSpan w:val="4"/>
          </w:tcPr>
          <w:p>
            <w:pPr>
              <w:jc w:val="center"/>
              <w:ind w:left="5404"/>
              <w:spacing w:after="0"/>
              <w:rPr>
                <w:sz w:val="20"/>
                <w:szCs w:val="20"/>
                <w:color w:val="auto"/>
              </w:rPr>
            </w:pPr>
            <w:r>
              <w:rPr>
                <w:rFonts w:ascii="Arial" w:cs="Arial" w:eastAsia="Arial" w:hAnsi="Arial"/>
                <w:sz w:val="12"/>
                <w:szCs w:val="12"/>
                <w:b w:val="1"/>
                <w:bCs w:val="1"/>
                <w:color w:val="auto"/>
                <w:w w:val="90"/>
              </w:rPr>
              <w:t>98-0597776</w:t>
            </w:r>
          </w:p>
        </w:tc>
      </w:tr>
      <w:tr>
        <w:trPr>
          <w:trHeight w:val="20"/>
        </w:trPr>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2520" w:type="dxa"/>
            <w:vAlign w:val="bottom"/>
            <w:gridSpan w:val="3"/>
          </w:tcPr>
          <w:p>
            <w:pPr>
              <w:jc w:val="center"/>
              <w:ind w:right="1020"/>
              <w:spacing w:after="0"/>
              <w:rPr>
                <w:sz w:val="20"/>
                <w:szCs w:val="20"/>
                <w:color w:val="auto"/>
              </w:rPr>
            </w:pPr>
            <w:r>
              <w:rPr>
                <w:rFonts w:ascii="Arial" w:cs="Arial" w:eastAsia="Arial" w:hAnsi="Arial"/>
                <w:sz w:val="12"/>
                <w:szCs w:val="12"/>
                <w:color w:val="auto"/>
                <w:w w:val="90"/>
              </w:rPr>
              <w:t>(State or Other Jurisdiction of</w:t>
            </w:r>
          </w:p>
        </w:tc>
        <w:tc>
          <w:tcPr>
            <w:tcW w:w="4140" w:type="dxa"/>
            <w:vAlign w:val="bottom"/>
          </w:tcPr>
          <w:p>
            <w:pPr>
              <w:spacing w:after="0"/>
              <w:rPr>
                <w:sz w:val="16"/>
                <w:szCs w:val="16"/>
                <w:color w:val="auto"/>
              </w:rPr>
            </w:pPr>
          </w:p>
        </w:tc>
        <w:tc>
          <w:tcPr>
            <w:tcW w:w="2240" w:type="dxa"/>
            <w:vAlign w:val="bottom"/>
            <w:gridSpan w:val="3"/>
          </w:tcPr>
          <w:p>
            <w:pPr>
              <w:jc w:val="center"/>
              <w:ind w:left="1280"/>
              <w:spacing w:after="0"/>
              <w:rPr>
                <w:sz w:val="20"/>
                <w:szCs w:val="20"/>
                <w:color w:val="auto"/>
              </w:rPr>
            </w:pPr>
            <w:r>
              <w:rPr>
                <w:rFonts w:ascii="Arial" w:cs="Arial" w:eastAsia="Arial" w:hAnsi="Arial"/>
                <w:sz w:val="12"/>
                <w:szCs w:val="12"/>
                <w:color w:val="auto"/>
                <w:w w:val="93"/>
              </w:rPr>
              <w:t>(I.R.S. Employer</w:t>
            </w:r>
          </w:p>
        </w:tc>
      </w:tr>
      <w:tr>
        <w:trPr>
          <w:trHeight w:val="180"/>
        </w:trPr>
        <w:tc>
          <w:tcPr>
            <w:tcW w:w="2520" w:type="dxa"/>
            <w:vAlign w:val="bottom"/>
            <w:gridSpan w:val="3"/>
          </w:tcPr>
          <w:p>
            <w:pPr>
              <w:jc w:val="center"/>
              <w:ind w:right="1040"/>
              <w:spacing w:after="0"/>
              <w:rPr>
                <w:sz w:val="20"/>
                <w:szCs w:val="20"/>
                <w:color w:val="auto"/>
              </w:rPr>
            </w:pPr>
            <w:r>
              <w:rPr>
                <w:rFonts w:ascii="Arial" w:cs="Arial" w:eastAsia="Arial" w:hAnsi="Arial"/>
                <w:sz w:val="12"/>
                <w:szCs w:val="12"/>
                <w:color w:val="auto"/>
                <w:w w:val="92"/>
              </w:rPr>
              <w:t>Incorporation or Organization)</w:t>
            </w:r>
          </w:p>
        </w:tc>
        <w:tc>
          <w:tcPr>
            <w:tcW w:w="4140" w:type="dxa"/>
            <w:vAlign w:val="bottom"/>
          </w:tcPr>
          <w:p>
            <w:pPr>
              <w:spacing w:after="0"/>
              <w:rPr>
                <w:sz w:val="15"/>
                <w:szCs w:val="15"/>
                <w:color w:val="auto"/>
              </w:rPr>
            </w:pPr>
          </w:p>
        </w:tc>
        <w:tc>
          <w:tcPr>
            <w:tcW w:w="2240" w:type="dxa"/>
            <w:vAlign w:val="bottom"/>
            <w:gridSpan w:val="3"/>
          </w:tcPr>
          <w:p>
            <w:pPr>
              <w:jc w:val="center"/>
              <w:ind w:left="1280"/>
              <w:spacing w:after="0"/>
              <w:rPr>
                <w:sz w:val="20"/>
                <w:szCs w:val="20"/>
                <w:color w:val="auto"/>
              </w:rPr>
            </w:pPr>
            <w:r>
              <w:rPr>
                <w:rFonts w:ascii="Arial" w:cs="Arial" w:eastAsia="Arial" w:hAnsi="Arial"/>
                <w:sz w:val="12"/>
                <w:szCs w:val="12"/>
                <w:color w:val="auto"/>
                <w:w w:val="96"/>
              </w:rPr>
              <w:t>Identification No.)</w:t>
            </w:r>
          </w:p>
        </w:tc>
      </w:tr>
    </w:tbl>
    <w:p>
      <w:pPr>
        <w:spacing w:after="0" w:line="95"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100-8900 Glenlyon Parkway, Burnaby, BC, Canada V5J 5J8</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(Address of Principal Executive Offices)</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604-419-3200</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96"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5" w:lineRule="exact"/>
        <w:rPr>
          <w:sz w:val="24"/>
          <w:szCs w:val="24"/>
          <w:color w:val="auto"/>
        </w:rPr>
      </w:pPr>
    </w:p>
    <w:p>
      <w:pPr>
        <w:spacing w:after="0"/>
        <w:tabs>
          <w:tab w:leader="none" w:pos="580" w:val="left"/>
        </w:tabs>
        <w:rPr>
          <w:sz w:val="20"/>
          <w:szCs w:val="20"/>
          <w:color w:val="auto"/>
        </w:rPr>
      </w:pPr>
      <w:r>
        <w:rPr>
          <w:rFonts w:ascii="Arial" w:cs="Arial" w:eastAsia="Arial" w:hAnsi="Arial"/>
          <w:sz w:val="12"/>
          <w:szCs w:val="12"/>
          <w:color w:val="auto"/>
        </w:rPr>
        <w:t>Yes [X]</w:t>
      </w:r>
      <w:r>
        <w:rPr>
          <w:sz w:val="20"/>
          <w:szCs w:val="20"/>
          <w:color w:val="auto"/>
        </w:rPr>
        <w:tab/>
      </w:r>
      <w:r>
        <w:rPr>
          <w:rFonts w:ascii="Arial" w:cs="Arial" w:eastAsia="Arial" w:hAnsi="Arial"/>
          <w:sz w:val="12"/>
          <w:szCs w:val="12"/>
          <w:color w:val="auto"/>
        </w:rPr>
        <w:t>No [  ]</w:t>
      </w:r>
    </w:p>
    <w:p>
      <w:pPr>
        <w:spacing w:after="0" w:line="96"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15" w:lineRule="exact"/>
        <w:rPr>
          <w:sz w:val="24"/>
          <w:szCs w:val="24"/>
          <w:color w:val="auto"/>
        </w:rPr>
      </w:pPr>
    </w:p>
    <w:p>
      <w:pPr>
        <w:spacing w:after="0"/>
        <w:tabs>
          <w:tab w:leader="none" w:pos="580" w:val="left"/>
        </w:tabs>
        <w:rPr>
          <w:sz w:val="20"/>
          <w:szCs w:val="20"/>
          <w:color w:val="auto"/>
        </w:rPr>
      </w:pPr>
      <w:r>
        <w:rPr>
          <w:rFonts w:ascii="Arial" w:cs="Arial" w:eastAsia="Arial" w:hAnsi="Arial"/>
          <w:sz w:val="12"/>
          <w:szCs w:val="12"/>
          <w:color w:val="auto"/>
        </w:rPr>
        <w:t>Yes [X]</w:t>
      </w:r>
      <w:r>
        <w:rPr>
          <w:sz w:val="20"/>
          <w:szCs w:val="20"/>
          <w:color w:val="auto"/>
        </w:rPr>
        <w:tab/>
      </w:r>
      <w:r>
        <w:rPr>
          <w:rFonts w:ascii="Arial" w:cs="Arial" w:eastAsia="Arial" w:hAnsi="Arial"/>
          <w:sz w:val="12"/>
          <w:szCs w:val="12"/>
          <w:color w:val="auto"/>
        </w:rPr>
        <w:t>No [  ]</w:t>
      </w:r>
    </w:p>
    <w:p>
      <w:pPr>
        <w:spacing w:after="0" w:line="150"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p>
      <w:pPr>
        <w:ind w:left="20"/>
        <w:spacing w:after="0"/>
        <w:tabs>
          <w:tab w:leader="none" w:pos="1940" w:val="left"/>
          <w:tab w:leader="none" w:pos="3440" w:val="left"/>
          <w:tab w:leader="none" w:pos="5400" w:val="left"/>
          <w:tab w:leader="none" w:pos="8380" w:val="left"/>
        </w:tabs>
        <w:rPr>
          <w:sz w:val="20"/>
          <w:szCs w:val="20"/>
          <w:color w:val="auto"/>
        </w:rPr>
      </w:pPr>
      <w:r>
        <w:rPr>
          <w:rFonts w:ascii="Arial" w:cs="Arial" w:eastAsia="Arial" w:hAnsi="Arial"/>
          <w:sz w:val="12"/>
          <w:szCs w:val="12"/>
          <w:color w:val="auto"/>
        </w:rPr>
        <w:t>Large accelerated filer [  ]</w:t>
      </w:r>
      <w:r>
        <w:rPr>
          <w:sz w:val="20"/>
          <w:szCs w:val="20"/>
          <w:color w:val="auto"/>
        </w:rPr>
        <w:tab/>
      </w:r>
      <w:r>
        <w:rPr>
          <w:rFonts w:ascii="Arial" w:cs="Arial" w:eastAsia="Arial" w:hAnsi="Arial"/>
          <w:sz w:val="12"/>
          <w:szCs w:val="12"/>
          <w:color w:val="auto"/>
        </w:rPr>
        <w:t>Accelerated filer [X]</w:t>
      </w:r>
      <w:r>
        <w:rPr>
          <w:sz w:val="20"/>
          <w:szCs w:val="20"/>
          <w:color w:val="auto"/>
        </w:rPr>
        <w:tab/>
      </w:r>
      <w:r>
        <w:rPr>
          <w:rFonts w:ascii="Arial" w:cs="Arial" w:eastAsia="Arial" w:hAnsi="Arial"/>
          <w:sz w:val="12"/>
          <w:szCs w:val="12"/>
          <w:color w:val="auto"/>
        </w:rPr>
        <w:t>Non-accelerated filer [  ]</w:t>
      </w:r>
      <w:r>
        <w:rPr>
          <w:sz w:val="20"/>
          <w:szCs w:val="20"/>
          <w:color w:val="auto"/>
        </w:rPr>
        <w:tab/>
      </w:r>
      <w:r>
        <w:rPr>
          <w:rFonts w:ascii="Arial" w:cs="Arial" w:eastAsia="Arial" w:hAnsi="Arial"/>
          <w:sz w:val="12"/>
          <w:szCs w:val="12"/>
          <w:color w:val="auto"/>
        </w:rPr>
        <w:t>Smaller reporting company [  ]</w:t>
      </w:r>
      <w:r>
        <w:rPr>
          <w:sz w:val="20"/>
          <w:szCs w:val="20"/>
          <w:color w:val="auto"/>
        </w:rPr>
        <w:tab/>
      </w:r>
      <w:r>
        <w:rPr>
          <w:rFonts w:ascii="Arial" w:cs="Arial" w:eastAsia="Arial" w:hAnsi="Arial"/>
          <w:sz w:val="11"/>
          <w:szCs w:val="11"/>
          <w:color w:val="auto"/>
        </w:rPr>
        <w:t>Emerging growth company [  ]</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2"/>
          <w:szCs w:val="12"/>
          <w:color w:val="auto"/>
        </w:rPr>
        <w:t>(Do not check if a smaller reporting</w:t>
      </w:r>
    </w:p>
    <w:p>
      <w:pPr>
        <w:spacing w:after="0" w:line="15" w:lineRule="exact"/>
        <w:rPr>
          <w:sz w:val="24"/>
          <w:szCs w:val="24"/>
          <w:color w:val="auto"/>
        </w:rPr>
      </w:pPr>
    </w:p>
    <w:p>
      <w:pPr>
        <w:ind w:left="3460"/>
        <w:spacing w:after="0"/>
        <w:rPr>
          <w:sz w:val="20"/>
          <w:szCs w:val="20"/>
          <w:color w:val="auto"/>
        </w:rPr>
      </w:pPr>
      <w:r>
        <w:rPr>
          <w:rFonts w:ascii="Arial" w:cs="Arial" w:eastAsia="Arial" w:hAnsi="Arial"/>
          <w:sz w:val="12"/>
          <w:szCs w:val="12"/>
          <w:color w:val="auto"/>
        </w:rPr>
        <w:t>company)</w:t>
      </w:r>
    </w:p>
    <w:p>
      <w:pPr>
        <w:spacing w:after="0" w:line="159" w:lineRule="exact"/>
        <w:rPr>
          <w:sz w:val="24"/>
          <w:szCs w:val="24"/>
          <w:color w:val="auto"/>
        </w:rPr>
      </w:pPr>
    </w:p>
    <w:p>
      <w:pPr>
        <w:ind w:right="10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661" w:right="19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  ]</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9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color w:val="auto"/>
        </w:rPr>
        <w:t>Yes [  ]</w:t>
      </w:r>
      <w:r>
        <w:rPr>
          <w:sz w:val="20"/>
          <w:szCs w:val="20"/>
          <w:color w:val="auto"/>
        </w:rPr>
        <w:tab/>
      </w:r>
      <w:r>
        <w:rPr>
          <w:rFonts w:ascii="Arial" w:cs="Arial" w:eastAsia="Arial" w:hAnsi="Arial"/>
          <w:sz w:val="12"/>
          <w:szCs w:val="12"/>
          <w:color w:val="auto"/>
        </w:rPr>
        <w:t>No [X]</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of July 31, 2018, the registrant had 55,404,298 common shares, no par value, outstanding. In addition, the Company had 6,757,728 stock options outstanding and 1,164,000 Series A participating convertible preferred shares (the “Preferred Shares”). The Preferred Shares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Assuming the 6,757,728 stock options were exercised and preferred shares were converted into 22,589,601 common shares, the Company would have had 84,751,627 common shares outstanding at July 31, 2018.</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99"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ARBUTUS BIOPHARMA CORP.</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76"/>
              </w:rPr>
              <w:t>Page</w:t>
            </w:r>
          </w:p>
        </w:tc>
      </w:tr>
      <w:tr>
        <w:trPr>
          <w:trHeight w:val="205"/>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7800" w:type="dxa"/>
            <w:vAlign w:val="bottom"/>
            <w:gridSpan w:val="16"/>
            <w:shd w:val="clear" w:color="auto" w:fill="CCEEFF"/>
          </w:tcPr>
          <w:p>
            <w:pPr>
              <w:ind w:left="20"/>
              <w:spacing w:after="0" w:line="135" w:lineRule="exact"/>
              <w:rPr>
                <w:rFonts w:ascii="Arial" w:cs="Arial" w:eastAsia="Arial" w:hAnsi="Arial"/>
                <w:sz w:val="12"/>
                <w:szCs w:val="12"/>
                <w:color w:val="0000EE"/>
              </w:rPr>
            </w:pPr>
            <w:hyperlink w:anchor="page4">
              <w:r>
                <w:rPr>
                  <w:rFonts w:ascii="Arial" w:cs="Arial" w:eastAsia="Arial" w:hAnsi="Arial"/>
                  <w:sz w:val="12"/>
                  <w:szCs w:val="12"/>
                  <w:color w:val="0000EE"/>
                </w:rPr>
                <w:t>PART I. FINANCIAL INFORMATION</w:t>
              </w:r>
            </w:hyperlink>
          </w:p>
        </w:tc>
        <w:tc>
          <w:tcPr>
            <w:tcW w:w="3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5" w:lineRule="exact"/>
              <w:rPr>
                <w:rFonts w:ascii="Arial" w:cs="Arial" w:eastAsia="Arial" w:hAnsi="Arial"/>
                <w:sz w:val="12"/>
                <w:szCs w:val="12"/>
                <w:color w:val="0000EE"/>
                <w:w w:val="84"/>
              </w:rPr>
            </w:pPr>
            <w:hyperlink w:anchor="page4">
              <w:r>
                <w:rPr>
                  <w:rFonts w:ascii="Arial" w:cs="Arial" w:eastAsia="Arial" w:hAnsi="Arial"/>
                  <w:sz w:val="12"/>
                  <w:szCs w:val="12"/>
                  <w:color w:val="0000EE"/>
                  <w:w w:val="84"/>
                </w:rPr>
                <w:t>F- 1</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780" w:type="dxa"/>
            <w:vAlign w:val="bottom"/>
            <w:gridSpan w:val="2"/>
          </w:tcPr>
          <w:p>
            <w:pPr>
              <w:ind w:left="320"/>
              <w:spacing w:after="0" w:line="135" w:lineRule="exact"/>
              <w:rPr>
                <w:rFonts w:ascii="Arial" w:cs="Arial" w:eastAsia="Arial" w:hAnsi="Arial"/>
                <w:sz w:val="12"/>
                <w:szCs w:val="12"/>
                <w:color w:val="0000EE"/>
              </w:rPr>
            </w:pPr>
            <w:hyperlink w:anchor="page4">
              <w:r>
                <w:rPr>
                  <w:rFonts w:ascii="Arial" w:cs="Arial" w:eastAsia="Arial" w:hAnsi="Arial"/>
                  <w:sz w:val="12"/>
                  <w:szCs w:val="12"/>
                  <w:color w:val="0000EE"/>
                </w:rPr>
                <w:t>ITEM 1.</w:t>
              </w:r>
            </w:hyperlink>
          </w:p>
        </w:tc>
        <w:tc>
          <w:tcPr>
            <w:tcW w:w="6000" w:type="dxa"/>
            <w:vAlign w:val="bottom"/>
            <w:gridSpan w:val="13"/>
          </w:tcPr>
          <w:p>
            <w:pPr>
              <w:ind w:left="60"/>
              <w:spacing w:after="0" w:line="135" w:lineRule="exact"/>
              <w:rPr>
                <w:rFonts w:ascii="Arial" w:cs="Arial" w:eastAsia="Arial" w:hAnsi="Arial"/>
                <w:sz w:val="12"/>
                <w:szCs w:val="12"/>
                <w:color w:val="0000EE"/>
              </w:rPr>
            </w:pPr>
            <w:hyperlink w:anchor="page4">
              <w:r>
                <w:rPr>
                  <w:rFonts w:ascii="Arial" w:cs="Arial" w:eastAsia="Arial" w:hAnsi="Arial"/>
                  <w:sz w:val="12"/>
                  <w:szCs w:val="12"/>
                  <w:color w:val="0000EE"/>
                </w:rPr>
                <w:t>FINANCIAL STATEMENTS (UNAUDITED)</w:t>
              </w:r>
            </w:hyperlink>
          </w:p>
        </w:tc>
        <w:tc>
          <w:tcPr>
            <w:tcW w:w="3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20"/>
              <w:spacing w:after="0" w:line="135" w:lineRule="exact"/>
              <w:rPr>
                <w:rFonts w:ascii="Arial" w:cs="Arial" w:eastAsia="Arial" w:hAnsi="Arial"/>
                <w:sz w:val="12"/>
                <w:szCs w:val="12"/>
                <w:color w:val="0000EE"/>
                <w:w w:val="84"/>
              </w:rPr>
            </w:pPr>
            <w:hyperlink w:anchor="page4">
              <w:r>
                <w:rPr>
                  <w:rFonts w:ascii="Arial" w:cs="Arial" w:eastAsia="Arial" w:hAnsi="Arial"/>
                  <w:sz w:val="12"/>
                  <w:szCs w:val="12"/>
                  <w:color w:val="0000EE"/>
                  <w:w w:val="84"/>
                </w:rPr>
                <w:t>F- 1</w:t>
              </w:r>
            </w:hyperlink>
          </w:p>
        </w:tc>
      </w:tr>
      <w:tr>
        <w:trPr>
          <w:trHeight w:val="25"/>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320"/>
              <w:spacing w:after="0" w:line="135" w:lineRule="exact"/>
              <w:rPr>
                <w:rFonts w:ascii="Arial" w:cs="Arial" w:eastAsia="Arial" w:hAnsi="Arial"/>
                <w:sz w:val="12"/>
                <w:szCs w:val="12"/>
                <w:color w:val="0000EE"/>
              </w:rPr>
            </w:pPr>
            <w:hyperlink w:anchor="page19">
              <w:r>
                <w:rPr>
                  <w:rFonts w:ascii="Arial" w:cs="Arial" w:eastAsia="Arial" w:hAnsi="Arial"/>
                  <w:sz w:val="12"/>
                  <w:szCs w:val="12"/>
                  <w:color w:val="0000EE"/>
                </w:rPr>
                <w:t>ITEM 2.</w:t>
              </w:r>
            </w:hyperlink>
          </w:p>
        </w:tc>
        <w:tc>
          <w:tcPr>
            <w:tcW w:w="6000" w:type="dxa"/>
            <w:vAlign w:val="bottom"/>
            <w:gridSpan w:val="13"/>
            <w:shd w:val="clear" w:color="auto" w:fill="CCEEFF"/>
          </w:tcPr>
          <w:p>
            <w:pPr>
              <w:ind w:left="60"/>
              <w:spacing w:after="0" w:line="135" w:lineRule="exact"/>
              <w:rPr>
                <w:rFonts w:ascii="Arial" w:cs="Arial" w:eastAsia="Arial" w:hAnsi="Arial"/>
                <w:sz w:val="12"/>
                <w:szCs w:val="12"/>
                <w:color w:val="0000EE"/>
                <w:w w:val="96"/>
              </w:rPr>
            </w:pPr>
            <w:hyperlink w:anchor="page19">
              <w:r>
                <w:rPr>
                  <w:rFonts w:ascii="Arial" w:cs="Arial" w:eastAsia="Arial" w:hAnsi="Arial"/>
                  <w:sz w:val="12"/>
                  <w:szCs w:val="12"/>
                  <w:color w:val="0000EE"/>
                  <w:w w:val="96"/>
                </w:rPr>
                <w:t>MANAGEMENT’S DISCUSSION AND ANALYSIS OF FINANCIAL CONDITION AND RESULTS OF OPERATIONS</w:t>
              </w:r>
            </w:hyperlink>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19">
              <w:r>
                <w:rPr>
                  <w:rFonts w:ascii="Arial" w:cs="Arial" w:eastAsia="Arial" w:hAnsi="Arial"/>
                  <w:sz w:val="12"/>
                  <w:szCs w:val="12"/>
                  <w:color w:val="0000EE"/>
                </w:rPr>
                <w:t>F- 16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780" w:type="dxa"/>
            <w:vAlign w:val="bottom"/>
            <w:gridSpan w:val="2"/>
          </w:tcPr>
          <w:p>
            <w:pPr>
              <w:ind w:left="320"/>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ITEM 3.</w:t>
              </w:r>
            </w:hyperlink>
          </w:p>
        </w:tc>
        <w:tc>
          <w:tcPr>
            <w:tcW w:w="6000" w:type="dxa"/>
            <w:vAlign w:val="bottom"/>
            <w:gridSpan w:val="13"/>
          </w:tcPr>
          <w:p>
            <w:pPr>
              <w:ind w:left="60"/>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QUANTITATIVE AND QUALITATIVE DISCLOSURES ABOUT MARKET RISK</w:t>
              </w:r>
            </w:hyperlink>
          </w:p>
        </w:tc>
        <w:tc>
          <w:tcPr>
            <w:tcW w:w="3680" w:type="dxa"/>
            <w:vAlign w:val="bottom"/>
            <w:gridSpan w:val="5"/>
          </w:tcPr>
          <w:p>
            <w:pPr>
              <w:jc w:val="right"/>
              <w:ind w:right="20"/>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F- 31</w:t>
              </w:r>
            </w:hyperlink>
          </w:p>
        </w:tc>
      </w:tr>
      <w:tr>
        <w:trPr>
          <w:trHeight w:val="25"/>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320"/>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ITEM 4.</w:t>
              </w:r>
            </w:hyperlink>
          </w:p>
        </w:tc>
        <w:tc>
          <w:tcPr>
            <w:tcW w:w="6000" w:type="dxa"/>
            <w:vAlign w:val="bottom"/>
            <w:gridSpan w:val="13"/>
            <w:shd w:val="clear" w:color="auto" w:fill="CCEEFF"/>
          </w:tcPr>
          <w:p>
            <w:pPr>
              <w:ind w:left="60"/>
              <w:spacing w:after="0" w:line="135" w:lineRule="exact"/>
              <w:rPr>
                <w:rFonts w:ascii="Arial" w:cs="Arial" w:eastAsia="Arial" w:hAnsi="Arial"/>
                <w:sz w:val="12"/>
                <w:szCs w:val="12"/>
                <w:color w:val="0000EE"/>
                <w:w w:val="97"/>
              </w:rPr>
            </w:pPr>
            <w:hyperlink w:anchor="page34">
              <w:r>
                <w:rPr>
                  <w:rFonts w:ascii="Arial" w:cs="Arial" w:eastAsia="Arial" w:hAnsi="Arial"/>
                  <w:sz w:val="12"/>
                  <w:szCs w:val="12"/>
                  <w:color w:val="0000EE"/>
                  <w:w w:val="97"/>
                </w:rPr>
                <w:t>DISCLOSURE CONTROLS AND PROCEDURES AND INTERNAL CONTROLS OVER FINANCIAL REPORTING</w:t>
              </w:r>
            </w:hyperlink>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34">
              <w:r>
                <w:rPr>
                  <w:rFonts w:ascii="Arial" w:cs="Arial" w:eastAsia="Arial" w:hAnsi="Arial"/>
                  <w:sz w:val="12"/>
                  <w:szCs w:val="12"/>
                  <w:color w:val="0000EE"/>
                </w:rPr>
                <w:t>F- 31</w:t>
              </w:r>
            </w:hyperlink>
          </w:p>
        </w:tc>
      </w:tr>
      <w:tr>
        <w:trPr>
          <w:trHeight w:val="180"/>
        </w:trPr>
        <w:tc>
          <w:tcPr>
            <w:tcW w:w="2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0"/>
        </w:trPr>
        <w:tc>
          <w:tcPr>
            <w:tcW w:w="1800" w:type="dxa"/>
            <w:vAlign w:val="bottom"/>
            <w:gridSpan w:val="3"/>
            <w:shd w:val="clear" w:color="auto" w:fill="CCEEFF"/>
          </w:tcPr>
          <w:p>
            <w:pPr>
              <w:ind w:left="20"/>
              <w:spacing w:after="0" w:line="135" w:lineRule="exact"/>
              <w:rPr>
                <w:rFonts w:ascii="Arial" w:cs="Arial" w:eastAsia="Arial" w:hAnsi="Arial"/>
                <w:sz w:val="12"/>
                <w:szCs w:val="12"/>
                <w:color w:val="0000EE"/>
                <w:w w:val="98"/>
              </w:rPr>
            </w:pPr>
            <w:hyperlink w:anchor="page35">
              <w:r>
                <w:rPr>
                  <w:rFonts w:ascii="Arial" w:cs="Arial" w:eastAsia="Arial" w:hAnsi="Arial"/>
                  <w:sz w:val="12"/>
                  <w:szCs w:val="12"/>
                  <w:color w:val="0000EE"/>
                  <w:w w:val="98"/>
                </w:rPr>
                <w:t>PART II. OTHER INFORMATION</w:t>
              </w:r>
            </w:hyperlink>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35">
              <w:r>
                <w:rPr>
                  <w:rFonts w:ascii="Arial" w:cs="Arial" w:eastAsia="Arial" w:hAnsi="Arial"/>
                  <w:sz w:val="12"/>
                  <w:szCs w:val="12"/>
                  <w:color w:val="0000EE"/>
                </w:rPr>
                <w:t>F- 32</w:t>
              </w:r>
            </w:hyperlink>
          </w:p>
        </w:tc>
      </w:tr>
      <w:tr>
        <w:trPr>
          <w:trHeight w:val="135"/>
        </w:trPr>
        <w:tc>
          <w:tcPr>
            <w:tcW w:w="20" w:type="dxa"/>
            <w:vAlign w:val="bottom"/>
            <w:tcBorders>
              <w:top w:val="single" w:sz="8" w:color="CCEEFF"/>
            </w:tcBorders>
          </w:tcPr>
          <w:p>
            <w:pPr>
              <w:spacing w:after="0"/>
              <w:rPr>
                <w:sz w:val="11"/>
                <w:szCs w:val="11"/>
                <w:color w:val="auto"/>
              </w:rPr>
            </w:pPr>
          </w:p>
        </w:tc>
        <w:tc>
          <w:tcPr>
            <w:tcW w:w="1700" w:type="dxa"/>
            <w:vAlign w:val="bottom"/>
            <w:tcBorders>
              <w:top w:val="single" w:sz="8" w:color="0000EE"/>
            </w:tcBorders>
          </w:tcPr>
          <w:p>
            <w:pPr>
              <w:ind w:left="320"/>
              <w:spacing w:after="0" w:line="135" w:lineRule="exact"/>
              <w:rPr>
                <w:rFonts w:ascii="Arial" w:cs="Arial" w:eastAsia="Arial" w:hAnsi="Arial"/>
                <w:sz w:val="12"/>
                <w:szCs w:val="12"/>
                <w:color w:val="0000EE"/>
              </w:rPr>
            </w:pPr>
            <w:hyperlink w:anchor="page35">
              <w:r>
                <w:rPr>
                  <w:rFonts w:ascii="Arial" w:cs="Arial" w:eastAsia="Arial" w:hAnsi="Arial"/>
                  <w:sz w:val="12"/>
                  <w:szCs w:val="12"/>
                  <w:color w:val="0000EE"/>
                </w:rPr>
                <w:t>ITEM 1.</w:t>
              </w:r>
            </w:hyperlink>
          </w:p>
        </w:tc>
        <w:tc>
          <w:tcPr>
            <w:tcW w:w="80" w:type="dxa"/>
            <w:vAlign w:val="bottom"/>
            <w:tcBorders>
              <w:top w:val="single" w:sz="8" w:color="CCEEFF"/>
            </w:tcBorders>
          </w:tcPr>
          <w:p>
            <w:pPr>
              <w:spacing w:after="0"/>
              <w:rPr>
                <w:sz w:val="11"/>
                <w:szCs w:val="11"/>
                <w:color w:val="auto"/>
              </w:rPr>
            </w:pPr>
          </w:p>
        </w:tc>
        <w:tc>
          <w:tcPr>
            <w:tcW w:w="6000" w:type="dxa"/>
            <w:vAlign w:val="bottom"/>
            <w:tcBorders>
              <w:top w:val="single" w:sz="8" w:color="CCEEFF"/>
            </w:tcBorders>
            <w:gridSpan w:val="13"/>
          </w:tcPr>
          <w:p>
            <w:pPr>
              <w:ind w:left="60"/>
              <w:spacing w:after="0" w:line="135" w:lineRule="exact"/>
              <w:rPr>
                <w:rFonts w:ascii="Arial" w:cs="Arial" w:eastAsia="Arial" w:hAnsi="Arial"/>
                <w:sz w:val="12"/>
                <w:szCs w:val="12"/>
                <w:color w:val="0000EE"/>
              </w:rPr>
            </w:pPr>
            <w:hyperlink w:anchor="page35">
              <w:r>
                <w:rPr>
                  <w:rFonts w:ascii="Arial" w:cs="Arial" w:eastAsia="Arial" w:hAnsi="Arial"/>
                  <w:sz w:val="12"/>
                  <w:szCs w:val="12"/>
                  <w:color w:val="0000EE"/>
                </w:rPr>
                <w:t>LEGAL PROCEEDINGS</w:t>
              </w:r>
            </w:hyperlink>
          </w:p>
        </w:tc>
        <w:tc>
          <w:tcPr>
            <w:tcW w:w="3400" w:type="dxa"/>
            <w:vAlign w:val="bottom"/>
            <w:tcBorders>
              <w:top w:val="single" w:sz="8" w:color="CCEEFF"/>
            </w:tcBorders>
          </w:tcPr>
          <w:p>
            <w:pPr>
              <w:spacing w:after="0"/>
              <w:rPr>
                <w:sz w:val="11"/>
                <w:szCs w:val="11"/>
                <w:color w:val="auto"/>
              </w:rPr>
            </w:pPr>
          </w:p>
        </w:tc>
        <w:tc>
          <w:tcPr>
            <w:tcW w:w="260" w:type="dxa"/>
            <w:vAlign w:val="bottom"/>
            <w:tcBorders>
              <w:top w:val="single" w:sz="8" w:color="0000EE"/>
            </w:tcBorders>
            <w:gridSpan w:val="3"/>
          </w:tcPr>
          <w:p>
            <w:pPr>
              <w:jc w:val="right"/>
              <w:spacing w:after="0" w:line="135" w:lineRule="exact"/>
              <w:rPr>
                <w:rFonts w:ascii="Arial" w:cs="Arial" w:eastAsia="Arial" w:hAnsi="Arial"/>
                <w:sz w:val="12"/>
                <w:szCs w:val="12"/>
                <w:color w:val="0000EE"/>
                <w:w w:val="85"/>
              </w:rPr>
            </w:pPr>
            <w:hyperlink w:anchor="page35">
              <w:r>
                <w:rPr>
                  <w:rFonts w:ascii="Arial" w:cs="Arial" w:eastAsia="Arial" w:hAnsi="Arial"/>
                  <w:sz w:val="12"/>
                  <w:szCs w:val="12"/>
                  <w:color w:val="0000EE"/>
                  <w:w w:val="85"/>
                </w:rPr>
                <w:t>F- 32</w:t>
              </w:r>
            </w:hyperlink>
          </w:p>
        </w:tc>
        <w:tc>
          <w:tcPr>
            <w:tcW w:w="20" w:type="dxa"/>
            <w:vAlign w:val="bottom"/>
            <w:tcBorders>
              <w:top w:val="single" w:sz="8" w:color="CCEEFF"/>
            </w:tcBorders>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1A.</w:t>
              </w:r>
            </w:hyperlink>
          </w:p>
        </w:tc>
        <w:tc>
          <w:tcPr>
            <w:tcW w:w="6000" w:type="dxa"/>
            <w:vAlign w:val="bottom"/>
            <w:gridSpan w:val="13"/>
            <w:shd w:val="clear" w:color="auto" w:fill="CCEEFF"/>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RISK FACTORS</w:t>
              </w:r>
            </w:hyperlink>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780" w:type="dxa"/>
            <w:vAlign w:val="bottom"/>
            <w:gridSpan w:val="2"/>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2.</w:t>
              </w:r>
            </w:hyperlink>
          </w:p>
        </w:tc>
        <w:tc>
          <w:tcPr>
            <w:tcW w:w="6000" w:type="dxa"/>
            <w:vAlign w:val="bottom"/>
            <w:gridSpan w:val="13"/>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UNREGISTERED SALES OF EQUITY SECURITIES AND USE OF PROCEEDS</w:t>
              </w:r>
            </w:hyperlink>
          </w:p>
        </w:tc>
        <w:tc>
          <w:tcPr>
            <w:tcW w:w="3680" w:type="dxa"/>
            <w:vAlign w:val="bottom"/>
            <w:gridSpan w:val="5"/>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25"/>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3.</w:t>
              </w:r>
            </w:hyperlink>
          </w:p>
        </w:tc>
        <w:tc>
          <w:tcPr>
            <w:tcW w:w="6000" w:type="dxa"/>
            <w:vAlign w:val="bottom"/>
            <w:gridSpan w:val="13"/>
            <w:shd w:val="clear" w:color="auto" w:fill="CCEEFF"/>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DEFAULTS UPON SENIOR SECURITIES</w:t>
              </w:r>
            </w:hyperlink>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780" w:type="dxa"/>
            <w:vAlign w:val="bottom"/>
            <w:gridSpan w:val="2"/>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4.</w:t>
              </w:r>
            </w:hyperlink>
          </w:p>
        </w:tc>
        <w:tc>
          <w:tcPr>
            <w:tcW w:w="6000" w:type="dxa"/>
            <w:vAlign w:val="bottom"/>
            <w:gridSpan w:val="13"/>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MINE SAFETY DISCLOSURES</w:t>
              </w:r>
            </w:hyperlink>
          </w:p>
        </w:tc>
        <w:tc>
          <w:tcPr>
            <w:tcW w:w="3680" w:type="dxa"/>
            <w:vAlign w:val="bottom"/>
            <w:gridSpan w:val="5"/>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25"/>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5.</w:t>
              </w:r>
            </w:hyperlink>
          </w:p>
        </w:tc>
        <w:tc>
          <w:tcPr>
            <w:tcW w:w="6000" w:type="dxa"/>
            <w:vAlign w:val="bottom"/>
            <w:gridSpan w:val="13"/>
            <w:shd w:val="clear" w:color="auto" w:fill="CCEEFF"/>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OTHER INFORMATION</w:t>
              </w:r>
            </w:hyperlink>
          </w:p>
        </w:tc>
        <w:tc>
          <w:tcPr>
            <w:tcW w:w="3680" w:type="dxa"/>
            <w:vAlign w:val="bottom"/>
            <w:gridSpan w:val="5"/>
            <w:shd w:val="clear" w:color="auto" w:fill="CCEEFF"/>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780" w:type="dxa"/>
            <w:vAlign w:val="bottom"/>
            <w:gridSpan w:val="2"/>
          </w:tcPr>
          <w:p>
            <w:pPr>
              <w:ind w:left="3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ITEM 6.</w:t>
              </w:r>
            </w:hyperlink>
          </w:p>
        </w:tc>
        <w:tc>
          <w:tcPr>
            <w:tcW w:w="6000" w:type="dxa"/>
            <w:vAlign w:val="bottom"/>
            <w:gridSpan w:val="13"/>
          </w:tcPr>
          <w:p>
            <w:pPr>
              <w:ind w:left="6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EXHIBITS</w:t>
              </w:r>
            </w:hyperlink>
          </w:p>
        </w:tc>
        <w:tc>
          <w:tcPr>
            <w:tcW w:w="3680" w:type="dxa"/>
            <w:vAlign w:val="bottom"/>
            <w:gridSpan w:val="5"/>
          </w:tcPr>
          <w:p>
            <w:pPr>
              <w:jc w:val="right"/>
              <w:ind w:right="20"/>
              <w:spacing w:after="0" w:line="135" w:lineRule="exact"/>
              <w:rPr>
                <w:rFonts w:ascii="Arial" w:cs="Arial" w:eastAsia="Arial" w:hAnsi="Arial"/>
                <w:sz w:val="12"/>
                <w:szCs w:val="12"/>
                <w:color w:val="0000EE"/>
              </w:rPr>
            </w:pPr>
            <w:hyperlink w:anchor="page36">
              <w:r>
                <w:rPr>
                  <w:rFonts w:ascii="Arial" w:cs="Arial" w:eastAsia="Arial" w:hAnsi="Arial"/>
                  <w:sz w:val="12"/>
                  <w:szCs w:val="12"/>
                  <w:color w:val="0000EE"/>
                </w:rPr>
                <w:t>F- 33</w:t>
              </w:r>
            </w:hyperlink>
          </w:p>
        </w:tc>
      </w:tr>
      <w:tr>
        <w:trPr>
          <w:trHeight w:val="619"/>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4"/>
                <w:szCs w:val="24"/>
                <w:color w:val="auto"/>
              </w:rPr>
            </w:pPr>
          </w:p>
        </w:tc>
        <w:tc>
          <w:tcPr>
            <w:tcW w:w="3500" w:type="dxa"/>
            <w:vAlign w:val="bottom"/>
            <w:gridSpan w:val="7"/>
          </w:tcPr>
          <w:p>
            <w:pPr>
              <w:jc w:val="right"/>
              <w:ind w:right="140"/>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595"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 (UNAUDITED)</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ARBUTUS BIOPHARMA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(Expressed in thousands of U.S. dollars, except share and per share amounts)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(Prepared in accordance with US GAAP)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60" w:type="dxa"/>
            <w:vAlign w:val="bottom"/>
          </w:tcPr>
          <w:p>
            <w:pPr>
              <w:jc w:val="right"/>
              <w:ind w:right="400"/>
              <w:spacing w:after="0"/>
              <w:rPr>
                <w:sz w:val="20"/>
                <w:szCs w:val="20"/>
                <w:color w:val="auto"/>
              </w:rPr>
            </w:pPr>
            <w:r>
              <w:rPr>
                <w:rFonts w:ascii="Arial" w:cs="Arial" w:eastAsia="Arial" w:hAnsi="Arial"/>
                <w:sz w:val="12"/>
                <w:szCs w:val="12"/>
                <w:b w:val="1"/>
                <w:bCs w:val="1"/>
                <w:color w:val="auto"/>
              </w:rPr>
              <w:t>June 30,</w:t>
            </w:r>
          </w:p>
        </w:tc>
        <w:tc>
          <w:tcPr>
            <w:tcW w:w="320" w:type="dxa"/>
            <w:vAlign w:val="bottom"/>
          </w:tcPr>
          <w:p>
            <w:pPr>
              <w:spacing w:after="0"/>
              <w:rPr>
                <w:sz w:val="13"/>
                <w:szCs w:val="13"/>
                <w:color w:val="auto"/>
              </w:rPr>
            </w:pPr>
          </w:p>
        </w:tc>
        <w:tc>
          <w:tcPr>
            <w:tcW w:w="1240" w:type="dxa"/>
            <w:vAlign w:val="bottom"/>
          </w:tcPr>
          <w:p>
            <w:pPr>
              <w:jc w:val="right"/>
              <w:ind w:right="3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0" w:type="dxa"/>
            <w:vAlign w:val="bottom"/>
          </w:tcPr>
          <w:p>
            <w:pPr>
              <w:spacing w:after="0"/>
              <w:rPr>
                <w:sz w:val="1"/>
                <w:szCs w:val="1"/>
                <w:color w:val="auto"/>
              </w:rPr>
            </w:pPr>
          </w:p>
        </w:tc>
      </w:tr>
      <w:tr>
        <w:trPr>
          <w:trHeight w:val="169"/>
        </w:trPr>
        <w:tc>
          <w:tcPr>
            <w:tcW w:w="596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2"/>
                <w:szCs w:val="12"/>
                <w:color w:val="auto"/>
              </w:rPr>
              <w:t>Cash and cash equivalents</w:t>
            </w:r>
          </w:p>
        </w:tc>
        <w:tc>
          <w:tcPr>
            <w:tcW w:w="290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10,193</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54,292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Short-term investments (note 2)</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144,676</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72,060</w:t>
            </w: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2"/>
                <w:szCs w:val="12"/>
                <w:color w:val="auto"/>
              </w:rPr>
              <w:t>Accounts receivable</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1,322</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Accrued revenue</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2"/>
                <w:szCs w:val="12"/>
                <w:color w:val="auto"/>
              </w:rPr>
              <w:t>Investment tax credits receivable</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342</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8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Prepaid expenses and other assets</w:t>
            </w:r>
          </w:p>
        </w:tc>
        <w:tc>
          <w:tcPr>
            <w:tcW w:w="29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1,236</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2,144</w:t>
            </w:r>
          </w:p>
        </w:tc>
        <w:tc>
          <w:tcPr>
            <w:tcW w:w="0" w:type="dxa"/>
            <w:vAlign w:val="bottom"/>
          </w:tcPr>
          <w:p>
            <w:pPr>
              <w:spacing w:after="0"/>
              <w:rPr>
                <w:sz w:val="1"/>
                <w:szCs w:val="1"/>
                <w:color w:val="auto"/>
              </w:rPr>
            </w:pPr>
          </w:p>
        </w:tc>
      </w:tr>
      <w:tr>
        <w:trPr>
          <w:trHeight w:val="169"/>
        </w:trPr>
        <w:tc>
          <w:tcPr>
            <w:tcW w:w="5960" w:type="dxa"/>
            <w:vAlign w:val="bottom"/>
          </w:tcPr>
          <w:p>
            <w:pPr>
              <w:ind w:left="20"/>
              <w:spacing w:after="0"/>
              <w:rPr>
                <w:sz w:val="20"/>
                <w:szCs w:val="20"/>
                <w:color w:val="auto"/>
              </w:rPr>
            </w:pPr>
            <w:r>
              <w:rPr>
                <w:rFonts w:ascii="Arial" w:cs="Arial" w:eastAsia="Arial" w:hAnsi="Arial"/>
                <w:sz w:val="12"/>
                <w:szCs w:val="12"/>
                <w:color w:val="auto"/>
              </w:rPr>
              <w:t>Total current assets</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157,769</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129,366</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cash (note 2)</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12,601</w:t>
            </w:r>
          </w:p>
        </w:tc>
        <w:tc>
          <w:tcPr>
            <w:tcW w:w="0" w:type="dxa"/>
            <w:vAlign w:val="bottom"/>
          </w:tcPr>
          <w:p>
            <w:pPr>
              <w:spacing w:after="0"/>
              <w:rPr>
                <w:sz w:val="1"/>
                <w:szCs w:val="1"/>
                <w:color w:val="auto"/>
              </w:rPr>
            </w:pPr>
          </w:p>
        </w:tc>
      </w:tr>
      <w:tr>
        <w:trPr>
          <w:trHeight w:val="171"/>
        </w:trPr>
        <w:tc>
          <w:tcPr>
            <w:tcW w:w="5960" w:type="dxa"/>
            <w:vAlign w:val="bottom"/>
          </w:tcPr>
          <w:p>
            <w:pPr>
              <w:ind w:left="20"/>
              <w:spacing w:after="0"/>
              <w:rPr>
                <w:sz w:val="20"/>
                <w:szCs w:val="20"/>
                <w:color w:val="auto"/>
              </w:rPr>
            </w:pPr>
            <w:r>
              <w:rPr>
                <w:rFonts w:ascii="Arial" w:cs="Arial" w:eastAsia="Arial" w:hAnsi="Arial"/>
                <w:sz w:val="12"/>
                <w:szCs w:val="12"/>
                <w:color w:val="auto"/>
              </w:rPr>
              <w:t>Investment in Genevant (note 3)</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27,446</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16,576</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24,854</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Less accumulated depreciation</w:t>
            </w:r>
          </w:p>
        </w:tc>
        <w:tc>
          <w:tcPr>
            <w:tcW w:w="29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(5,895)</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(12,671)</w:t>
            </w:r>
          </w:p>
        </w:tc>
        <w:tc>
          <w:tcPr>
            <w:tcW w:w="0" w:type="dxa"/>
            <w:vAlign w:val="bottom"/>
          </w:tcPr>
          <w:p>
            <w:pPr>
              <w:spacing w:after="0"/>
              <w:rPr>
                <w:sz w:val="1"/>
                <w:szCs w:val="1"/>
                <w:color w:val="auto"/>
              </w:rPr>
            </w:pPr>
          </w:p>
        </w:tc>
      </w:tr>
      <w:tr>
        <w:trPr>
          <w:trHeight w:val="178"/>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 of accumulated depreciation</w:t>
            </w:r>
          </w:p>
        </w:tc>
        <w:tc>
          <w:tcPr>
            <w:tcW w:w="29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10,681</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12,183</w:t>
            </w:r>
          </w:p>
        </w:tc>
        <w:tc>
          <w:tcPr>
            <w:tcW w:w="0" w:type="dxa"/>
            <w:vAlign w:val="bottom"/>
          </w:tcPr>
          <w:p>
            <w:pPr>
              <w:spacing w:after="0"/>
              <w:rPr>
                <w:sz w:val="1"/>
                <w:szCs w:val="1"/>
                <w:color w:val="auto"/>
              </w:rPr>
            </w:pPr>
          </w:p>
        </w:tc>
      </w:tr>
      <w:tr>
        <w:trPr>
          <w:trHeight w:val="171"/>
        </w:trPr>
        <w:tc>
          <w:tcPr>
            <w:tcW w:w="5960" w:type="dxa"/>
            <w:vAlign w:val="bottom"/>
          </w:tcPr>
          <w:p>
            <w:pPr>
              <w:ind w:left="20"/>
              <w:spacing w:after="0"/>
              <w:rPr>
                <w:sz w:val="20"/>
                <w:szCs w:val="20"/>
                <w:color w:val="auto"/>
              </w:rPr>
            </w:pPr>
            <w:r>
              <w:rPr>
                <w:rFonts w:ascii="Arial" w:cs="Arial" w:eastAsia="Arial" w:hAnsi="Arial"/>
                <w:sz w:val="12"/>
                <w:szCs w:val="12"/>
                <w:color w:val="auto"/>
              </w:rPr>
              <w:t>Intangible assets (note 4)</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58,647</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58,647</w:t>
            </w:r>
          </w:p>
        </w:tc>
        <w:tc>
          <w:tcPr>
            <w:tcW w:w="0" w:type="dxa"/>
            <w:vAlign w:val="bottom"/>
          </w:tcPr>
          <w:p>
            <w:pPr>
              <w:spacing w:after="0"/>
              <w:rPr>
                <w:sz w:val="1"/>
                <w:szCs w:val="1"/>
                <w:color w:val="auto"/>
              </w:rPr>
            </w:pPr>
          </w:p>
        </w:tc>
      </w:tr>
      <w:tr>
        <w:trPr>
          <w:trHeight w:val="18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Goodwill (note 4)</w:t>
            </w:r>
          </w:p>
        </w:tc>
        <w:tc>
          <w:tcPr>
            <w:tcW w:w="29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22,471</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24,364</w:t>
            </w: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2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277,014</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237,161</w:t>
            </w:r>
          </w:p>
        </w:tc>
        <w:tc>
          <w:tcPr>
            <w:tcW w:w="0" w:type="dxa"/>
            <w:vAlign w:val="bottom"/>
          </w:tcPr>
          <w:p>
            <w:pPr>
              <w:spacing w:after="0"/>
              <w:rPr>
                <w:sz w:val="1"/>
                <w:szCs w:val="1"/>
                <w:color w:val="auto"/>
              </w:rPr>
            </w:pPr>
          </w:p>
        </w:tc>
      </w:tr>
      <w:tr>
        <w:trPr>
          <w:trHeight w:val="178"/>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9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Accounts payable and accrued liabilities (note 7)</w:t>
            </w:r>
          </w:p>
        </w:tc>
        <w:tc>
          <w:tcPr>
            <w:tcW w:w="290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7,385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10,646</w:t>
            </w: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2"/>
                <w:szCs w:val="12"/>
                <w:color w:val="auto"/>
              </w:rPr>
              <w:t>Deferred revenue (note 5)</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974</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2,742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Liability-classified options (note 2)</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2,092</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1,239</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Site consolidation accrual (note 9)</w:t>
            </w:r>
          </w:p>
        </w:tc>
        <w:tc>
          <w:tcPr>
            <w:tcW w:w="29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1,090</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29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11,541</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14,627</w:t>
            </w:r>
          </w:p>
        </w:tc>
        <w:tc>
          <w:tcPr>
            <w:tcW w:w="0" w:type="dxa"/>
            <w:vAlign w:val="bottom"/>
          </w:tcPr>
          <w:p>
            <w:pPr>
              <w:spacing w:after="0"/>
              <w:rPr>
                <w:sz w:val="1"/>
                <w:szCs w:val="1"/>
                <w:color w:val="auto"/>
              </w:rPr>
            </w:pPr>
          </w:p>
        </w:tc>
      </w:tr>
      <w:tr>
        <w:trPr>
          <w:trHeight w:val="171"/>
        </w:trPr>
        <w:tc>
          <w:tcPr>
            <w:tcW w:w="5960" w:type="dxa"/>
            <w:vAlign w:val="bottom"/>
          </w:tcPr>
          <w:p>
            <w:pPr>
              <w:ind w:left="20"/>
              <w:spacing w:after="0"/>
              <w:rPr>
                <w:sz w:val="20"/>
                <w:szCs w:val="20"/>
                <w:color w:val="auto"/>
              </w:rPr>
            </w:pPr>
            <w:r>
              <w:rPr>
                <w:rFonts w:ascii="Arial" w:cs="Arial" w:eastAsia="Arial" w:hAnsi="Arial"/>
                <w:sz w:val="12"/>
                <w:szCs w:val="12"/>
                <w:color w:val="auto"/>
              </w:rPr>
              <w:t>Deferred lease incentives, net of current portion</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689</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 payable (note 8)</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12,001</w:t>
            </w:r>
          </w:p>
        </w:tc>
        <w:tc>
          <w:tcPr>
            <w:tcW w:w="0" w:type="dxa"/>
            <w:vAlign w:val="bottom"/>
          </w:tcPr>
          <w:p>
            <w:pPr>
              <w:spacing w:after="0"/>
              <w:rPr>
                <w:sz w:val="1"/>
                <w:szCs w:val="1"/>
                <w:color w:val="auto"/>
              </w:rPr>
            </w:pPr>
          </w:p>
        </w:tc>
      </w:tr>
      <w:tr>
        <w:trPr>
          <w:trHeight w:val="171"/>
        </w:trPr>
        <w:tc>
          <w:tcPr>
            <w:tcW w:w="5960" w:type="dxa"/>
            <w:vAlign w:val="bottom"/>
          </w:tcPr>
          <w:p>
            <w:pPr>
              <w:ind w:left="20"/>
              <w:spacing w:after="0"/>
              <w:rPr>
                <w:sz w:val="20"/>
                <w:szCs w:val="20"/>
                <w:color w:val="auto"/>
              </w:rPr>
            </w:pPr>
            <w:r>
              <w:rPr>
                <w:rFonts w:ascii="Arial" w:cs="Arial" w:eastAsia="Arial" w:hAnsi="Arial"/>
                <w:sz w:val="12"/>
                <w:szCs w:val="12"/>
                <w:color w:val="auto"/>
              </w:rPr>
              <w:t>Contingent consideration (notes 2 and 10)</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9,769</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10,424</w:t>
            </w:r>
          </w:p>
        </w:tc>
        <w:tc>
          <w:tcPr>
            <w:tcW w:w="0" w:type="dxa"/>
            <w:vAlign w:val="bottom"/>
          </w:tcPr>
          <w:p>
            <w:pPr>
              <w:spacing w:after="0"/>
              <w:rPr>
                <w:sz w:val="1"/>
                <w:szCs w:val="1"/>
                <w:color w:val="auto"/>
              </w:rPr>
            </w:pPr>
          </w:p>
        </w:tc>
      </w:tr>
      <w:tr>
        <w:trPr>
          <w:trHeight w:val="18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Deferred tax liability</w:t>
            </w:r>
          </w:p>
        </w:tc>
        <w:tc>
          <w:tcPr>
            <w:tcW w:w="29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16,943</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16,943</w:t>
            </w:r>
          </w:p>
        </w:tc>
        <w:tc>
          <w:tcPr>
            <w:tcW w:w="0" w:type="dxa"/>
            <w:vAlign w:val="bottom"/>
          </w:tcPr>
          <w:p>
            <w:pPr>
              <w:spacing w:after="0"/>
              <w:rPr>
                <w:sz w:val="1"/>
                <w:szCs w:val="1"/>
                <w:color w:val="auto"/>
              </w:rPr>
            </w:pPr>
          </w:p>
        </w:tc>
      </w:tr>
      <w:tr>
        <w:trPr>
          <w:trHeight w:val="169"/>
        </w:trPr>
        <w:tc>
          <w:tcPr>
            <w:tcW w:w="5960" w:type="dxa"/>
            <w:vAlign w:val="bottom"/>
          </w:tcPr>
          <w:p>
            <w:pPr>
              <w:ind w:left="20"/>
              <w:spacing w:after="0"/>
              <w:rPr>
                <w:sz w:val="20"/>
                <w:szCs w:val="20"/>
                <w:color w:val="auto"/>
              </w:rPr>
            </w:pPr>
            <w:r>
              <w:rPr>
                <w:rFonts w:ascii="Arial" w:cs="Arial" w:eastAsia="Arial" w:hAnsi="Arial"/>
                <w:sz w:val="12"/>
                <w:szCs w:val="12"/>
                <w:b w:val="1"/>
                <w:bCs w:val="1"/>
                <w:color w:val="auto"/>
              </w:rPr>
              <w:t>Total liabilities</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38,942</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54,688</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100"/>
              <w:spacing w:after="0"/>
              <w:rPr>
                <w:sz w:val="20"/>
                <w:szCs w:val="20"/>
                <w:color w:val="auto"/>
              </w:rPr>
            </w:pPr>
            <w:r>
              <w:rPr>
                <w:rFonts w:ascii="Arial" w:cs="Arial" w:eastAsia="Arial" w:hAnsi="Arial"/>
                <w:sz w:val="12"/>
                <w:szCs w:val="12"/>
                <w:color w:val="auto"/>
              </w:rPr>
              <w:t>Preferred shares (note 6)</w:t>
            </w: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Authorized - 1,164,000 with no par value</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120"/>
              <w:spacing w:after="0"/>
              <w:rPr>
                <w:sz w:val="20"/>
                <w:szCs w:val="20"/>
                <w:color w:val="auto"/>
              </w:rPr>
            </w:pPr>
            <w:r>
              <w:rPr>
                <w:rFonts w:ascii="Arial" w:cs="Arial" w:eastAsia="Arial" w:hAnsi="Arial"/>
                <w:sz w:val="12"/>
                <w:szCs w:val="12"/>
                <w:color w:val="auto"/>
              </w:rPr>
              <w:t>Issued and outstanding: 1,164,000 (December 31, 2017 - 500,000)</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120,922</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49,780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 shares</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180"/>
              <w:spacing w:after="0"/>
              <w:rPr>
                <w:sz w:val="20"/>
                <w:szCs w:val="20"/>
                <w:color w:val="auto"/>
              </w:rPr>
            </w:pPr>
            <w:r>
              <w:rPr>
                <w:rFonts w:ascii="Arial" w:cs="Arial" w:eastAsia="Arial" w:hAnsi="Arial"/>
                <w:sz w:val="12"/>
                <w:szCs w:val="12"/>
                <w:color w:val="auto"/>
              </w:rPr>
              <w:t>Authorized - unlimited number with no par value</w:t>
            </w: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Issued and outstanding: 55,325,250</w:t>
            </w:r>
          </w:p>
        </w:tc>
        <w:tc>
          <w:tcPr>
            <w:tcW w:w="29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878,191</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(December 31, 2017 - 55,060,662)</w:t>
            </w:r>
          </w:p>
        </w:tc>
        <w:tc>
          <w:tcPr>
            <w:tcW w:w="29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876,108</w:t>
            </w: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2"/>
                <w:szCs w:val="12"/>
                <w:color w:val="auto"/>
              </w:rPr>
              <w:t>Additional paid-in capital</w:t>
            </w:r>
          </w:p>
        </w:tc>
        <w:tc>
          <w:tcPr>
            <w:tcW w:w="290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44,429</w:t>
            </w:r>
          </w:p>
        </w:tc>
        <w:tc>
          <w:tcPr>
            <w:tcW w:w="32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42,840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Deficit</w:t>
            </w:r>
          </w:p>
        </w:tc>
        <w:tc>
          <w:tcPr>
            <w:tcW w:w="29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(757,285)</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(738,070)</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Accumulated other comprehensive loss</w:t>
            </w:r>
          </w:p>
        </w:tc>
        <w:tc>
          <w:tcPr>
            <w:tcW w:w="29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(48,185)</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(48,185)</w:t>
            </w: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 stockholders' equity</w:t>
            </w:r>
          </w:p>
        </w:tc>
        <w:tc>
          <w:tcPr>
            <w:tcW w:w="29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238,072</w:t>
            </w: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182,473</w:t>
            </w:r>
          </w:p>
        </w:tc>
        <w:tc>
          <w:tcPr>
            <w:tcW w:w="0" w:type="dxa"/>
            <w:vAlign w:val="bottom"/>
          </w:tcPr>
          <w:p>
            <w:pPr>
              <w:spacing w:after="0"/>
              <w:rPr>
                <w:sz w:val="1"/>
                <w:szCs w:val="1"/>
                <w:color w:val="auto"/>
              </w:rPr>
            </w:pPr>
          </w:p>
        </w:tc>
      </w:tr>
      <w:tr>
        <w:trPr>
          <w:trHeight w:val="176"/>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277,014</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237,161</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Nature of business and future operations (note 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Contingencies and commitments (note 10)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Related party transactions (note 12)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w:t>
      </w:r>
    </w:p>
    <w:p>
      <w:pPr>
        <w:sectPr>
          <w:pgSz w:w="11900" w:h="16838" w:orient="portrait"/>
          <w:cols w:equalWidth="0" w:num="1">
            <w:col w:w="11480"/>
          </w:cols>
          <w:pgMar w:left="220" w:top="595" w:right="1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t>ARBUTUS BIOPHARMA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Condensed Consolidated Statements of Operations and Comprehensive Income (Loss)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(Expressed in thousands of U.S. dollars, except share and per share amounts)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(Prepared in accordance with US GAAP)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Borders>
              <w:top w:val="single" w:sz="8" w:color="auto"/>
            </w:tcBorders>
          </w:tcPr>
          <w:p>
            <w:pPr>
              <w:spacing w:after="0"/>
              <w:rPr>
                <w:sz w:val="14"/>
                <w:szCs w:val="14"/>
                <w:color w:val="auto"/>
              </w:rPr>
            </w:pPr>
          </w:p>
        </w:tc>
      </w:tr>
      <w:tr>
        <w:trPr>
          <w:trHeight w:val="189"/>
        </w:trPr>
        <w:tc>
          <w:tcPr>
            <w:tcW w:w="4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4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2"/>
                <w:szCs w:val="12"/>
                <w:color w:val="auto"/>
              </w:rPr>
              <w:t>2017</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rPr>
              <w:t>2017</w:t>
            </w:r>
          </w:p>
        </w:tc>
      </w:tr>
      <w:tr>
        <w:trPr>
          <w:trHeight w:val="169"/>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 (note 5)</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1,244</w:t>
            </w:r>
          </w:p>
        </w:tc>
        <w:tc>
          <w:tcPr>
            <w:tcW w:w="6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1,039</w:t>
            </w:r>
          </w:p>
        </w:tc>
        <w:tc>
          <w:tcPr>
            <w:tcW w:w="3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2,680</w:t>
            </w:r>
          </w:p>
        </w:tc>
        <w:tc>
          <w:tcPr>
            <w:tcW w:w="6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1,274</w:t>
            </w:r>
          </w:p>
        </w:tc>
      </w:tr>
      <w:tr>
        <w:trPr>
          <w:trHeight w:val="214"/>
        </w:trPr>
        <w:tc>
          <w:tcPr>
            <w:tcW w:w="4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development, collaborations and contracts</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16,356</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15,445</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30,305</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29,317</w:t>
            </w: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130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3,775</w:t>
            </w:r>
          </w:p>
        </w:tc>
        <w:tc>
          <w:tcPr>
            <w:tcW w:w="64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4,599</w:t>
            </w:r>
          </w:p>
        </w:tc>
        <w:tc>
          <w:tcPr>
            <w:tcW w:w="38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b w:val="1"/>
                <w:bCs w:val="1"/>
                <w:color w:val="auto"/>
              </w:rPr>
              <w:t>7,444</w:t>
            </w:r>
          </w:p>
        </w:tc>
        <w:tc>
          <w:tcPr>
            <w:tcW w:w="6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8,927</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of property and equipment</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578</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480</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1,180</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814</w:t>
            </w:r>
          </w:p>
        </w:tc>
      </w:tr>
      <w:tr>
        <w:trPr>
          <w:trHeight w:val="17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Site consolidation (note 9)</w:t>
            </w:r>
          </w:p>
        </w:tc>
        <w:tc>
          <w:tcPr>
            <w:tcW w:w="1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2,581</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4,202</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expenses</w:t>
            </w: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23,290</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20,524</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43,131</w:t>
            </w:r>
          </w:p>
        </w:tc>
        <w:tc>
          <w:tcPr>
            <w:tcW w:w="6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39,058</w:t>
            </w:r>
          </w:p>
        </w:tc>
      </w:tr>
      <w:tr>
        <w:trPr>
          <w:trHeight w:val="214"/>
        </w:trPr>
        <w:tc>
          <w:tcPr>
            <w:tcW w:w="4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1"/>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Loss from operations</w:t>
            </w: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(22,046)</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(19,485)</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(40,451)</w:t>
            </w:r>
          </w:p>
        </w:tc>
        <w:tc>
          <w:tcPr>
            <w:tcW w:w="6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(37,784)</w:t>
            </w:r>
          </w:p>
        </w:tc>
      </w:tr>
      <w:tr>
        <w:trPr>
          <w:trHeight w:val="214"/>
        </w:trPr>
        <w:tc>
          <w:tcPr>
            <w:tcW w:w="4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(loss)</w:t>
            </w:r>
          </w:p>
        </w:tc>
        <w:tc>
          <w:tcPr>
            <w:tcW w:w="1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30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805</w:t>
            </w:r>
          </w:p>
        </w:tc>
        <w:tc>
          <w:tcPr>
            <w:tcW w:w="64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390</w:t>
            </w:r>
          </w:p>
        </w:tc>
        <w:tc>
          <w:tcPr>
            <w:tcW w:w="38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b w:val="1"/>
                <w:bCs w:val="1"/>
                <w:color w:val="auto"/>
              </w:rPr>
              <w:t>1,563</w:t>
            </w:r>
          </w:p>
        </w:tc>
        <w:tc>
          <w:tcPr>
            <w:tcW w:w="6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758</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(104)</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(110)</w:t>
            </w: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Foreign exchange (loss) gain</w:t>
            </w:r>
          </w:p>
        </w:tc>
        <w:tc>
          <w:tcPr>
            <w:tcW w:w="1300" w:type="dxa"/>
            <w:vAlign w:val="bottom"/>
          </w:tcPr>
          <w:p>
            <w:pPr>
              <w:spacing w:after="0"/>
              <w:rPr>
                <w:sz w:val="14"/>
                <w:szCs w:val="14"/>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(359)</w:t>
            </w:r>
          </w:p>
        </w:tc>
        <w:tc>
          <w:tcPr>
            <w:tcW w:w="64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798</w:t>
            </w:r>
          </w:p>
        </w:tc>
        <w:tc>
          <w:tcPr>
            <w:tcW w:w="38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b w:val="1"/>
                <w:bCs w:val="1"/>
                <w:color w:val="auto"/>
              </w:rPr>
              <w:t>(885)</w:t>
            </w:r>
          </w:p>
        </w:tc>
        <w:tc>
          <w:tcPr>
            <w:tcW w:w="6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1,225</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investment (note 3)</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24,884</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24,884</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Decrease (increase) in fair value of warrant liability</w:t>
            </w:r>
          </w:p>
        </w:tc>
        <w:tc>
          <w:tcPr>
            <w:tcW w:w="130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(22)</w:t>
            </w:r>
          </w:p>
        </w:tc>
      </w:tr>
      <w:tr>
        <w:trPr>
          <w:trHeight w:val="180"/>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Decrease (increase) in fair value of contingent consideration (note 10)</w:t>
            </w:r>
          </w:p>
        </w:tc>
        <w:tc>
          <w:tcPr>
            <w:tcW w:w="1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(193)</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110</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655</w:t>
            </w: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(949)</w:t>
            </w:r>
          </w:p>
        </w:tc>
      </w:tr>
      <w:tr>
        <w:trPr>
          <w:trHeight w:val="169"/>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other income (loss)</w:t>
            </w:r>
          </w:p>
        </w:tc>
        <w:tc>
          <w:tcPr>
            <w:tcW w:w="1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25,137</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1,230</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26,113</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902</w:t>
            </w:r>
          </w:p>
        </w:tc>
      </w:tr>
      <w:tr>
        <w:trPr>
          <w:trHeight w:val="214"/>
        </w:trPr>
        <w:tc>
          <w:tcPr>
            <w:tcW w:w="4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160"/>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Net income (loss)</w:t>
            </w:r>
          </w:p>
        </w:tc>
        <w:tc>
          <w:tcPr>
            <w:tcW w:w="1300" w:type="dxa"/>
            <w:vAlign w:val="bottom"/>
          </w:tcPr>
          <w:p>
            <w:pPr>
              <w:jc w:val="right"/>
              <w:ind w:right="220"/>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3,091</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(18,255)</w:t>
            </w:r>
          </w:p>
        </w:tc>
        <w:tc>
          <w:tcPr>
            <w:tcW w:w="380" w:type="dxa"/>
            <w:vAlign w:val="bottom"/>
          </w:tcPr>
          <w:p>
            <w:pPr>
              <w:jc w:val="right"/>
              <w:ind w:right="220"/>
              <w:spacing w:after="0"/>
              <w:rPr>
                <w:sz w:val="20"/>
                <w:szCs w:val="20"/>
                <w:color w:val="auto"/>
              </w:rPr>
            </w:pPr>
            <w:r>
              <w:rPr>
                <w:rFonts w:ascii="Arial" w:cs="Arial" w:eastAsia="Arial" w:hAnsi="Arial"/>
                <w:sz w:val="12"/>
                <w:szCs w:val="12"/>
                <w:b w:val="1"/>
                <w:bCs w:val="1"/>
                <w:color w:val="auto"/>
              </w:rPr>
              <w:t>$</w:t>
            </w:r>
          </w:p>
        </w:tc>
        <w:tc>
          <w:tcPr>
            <w:tcW w:w="1160" w:type="dxa"/>
            <w:vAlign w:val="bottom"/>
          </w:tcPr>
          <w:p>
            <w:pPr>
              <w:jc w:val="right"/>
              <w:ind w:right="40"/>
              <w:spacing w:after="0"/>
              <w:rPr>
                <w:sz w:val="20"/>
                <w:szCs w:val="20"/>
                <w:color w:val="auto"/>
              </w:rPr>
            </w:pPr>
            <w:r>
              <w:rPr>
                <w:rFonts w:ascii="Arial" w:cs="Arial" w:eastAsia="Arial" w:hAnsi="Arial"/>
                <w:sz w:val="12"/>
                <w:szCs w:val="12"/>
                <w:b w:val="1"/>
                <w:bCs w:val="1"/>
                <w:color w:val="auto"/>
              </w:rPr>
              <w:t>(14,338)</w:t>
            </w:r>
          </w:p>
        </w:tc>
        <w:tc>
          <w:tcPr>
            <w:tcW w:w="60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(36,882)</w:t>
            </w:r>
          </w:p>
        </w:tc>
      </w:tr>
      <w:tr>
        <w:trPr>
          <w:trHeight w:val="225"/>
        </w:trPr>
        <w:tc>
          <w:tcPr>
            <w:tcW w:w="4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Items applicable to preferred shares: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Accrual of coupon on convertible preferred shares</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(2,541)</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(4,877)</w:t>
            </w:r>
          </w:p>
        </w:tc>
        <w:tc>
          <w:tcPr>
            <w:tcW w:w="60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216"/>
        </w:trPr>
        <w:tc>
          <w:tcPr>
            <w:tcW w:w="4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60"/>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attributable to common shares</w:t>
            </w:r>
          </w:p>
        </w:tc>
        <w:tc>
          <w:tcPr>
            <w:tcW w:w="13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550</w:t>
            </w:r>
          </w:p>
        </w:tc>
        <w:tc>
          <w:tcPr>
            <w:tcW w:w="6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(18,255)</w:t>
            </w: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(19,215)</w:t>
            </w:r>
          </w:p>
        </w:tc>
        <w:tc>
          <w:tcPr>
            <w:tcW w:w="60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(36,882)</w:t>
            </w:r>
          </w:p>
        </w:tc>
      </w:tr>
      <w:tr>
        <w:trPr>
          <w:trHeight w:val="214"/>
        </w:trPr>
        <w:tc>
          <w:tcPr>
            <w:tcW w:w="4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common shareholders, per share</w:t>
            </w:r>
          </w:p>
        </w:tc>
        <w:tc>
          <w:tcPr>
            <w:tcW w:w="1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4340" w:type="dxa"/>
            <w:vAlign w:val="bottom"/>
          </w:tcPr>
          <w:p>
            <w:pPr>
              <w:ind w:left="180"/>
              <w:spacing w:after="0"/>
              <w:rPr>
                <w:sz w:val="20"/>
                <w:szCs w:val="20"/>
                <w:color w:val="auto"/>
              </w:rPr>
            </w:pPr>
            <w:r>
              <w:rPr>
                <w:rFonts w:ascii="Arial" w:cs="Arial" w:eastAsia="Arial" w:hAnsi="Arial"/>
                <w:sz w:val="12"/>
                <w:szCs w:val="12"/>
                <w:color w:val="auto"/>
              </w:rPr>
              <w:t>Basic</w:t>
            </w:r>
          </w:p>
        </w:tc>
        <w:tc>
          <w:tcPr>
            <w:tcW w:w="13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0.01</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(0.33)</w:t>
            </w:r>
          </w:p>
        </w:tc>
        <w:tc>
          <w:tcPr>
            <w:tcW w:w="380" w:type="dxa"/>
            <w:vAlign w:val="bottom"/>
          </w:tcPr>
          <w:p>
            <w:pPr>
              <w:jc w:val="right"/>
              <w:ind w:right="220"/>
              <w:spacing w:after="0"/>
              <w:rPr>
                <w:sz w:val="20"/>
                <w:szCs w:val="20"/>
                <w:color w:val="auto"/>
              </w:rPr>
            </w:pPr>
            <w:r>
              <w:rPr>
                <w:rFonts w:ascii="Arial" w:cs="Arial" w:eastAsia="Arial" w:hAnsi="Arial"/>
                <w:sz w:val="12"/>
                <w:szCs w:val="12"/>
                <w:b w:val="1"/>
                <w:bCs w:val="1"/>
                <w:color w:val="auto"/>
              </w:rPr>
              <w:t>$</w:t>
            </w:r>
          </w:p>
        </w:tc>
        <w:tc>
          <w:tcPr>
            <w:tcW w:w="1160" w:type="dxa"/>
            <w:vAlign w:val="bottom"/>
          </w:tcPr>
          <w:p>
            <w:pPr>
              <w:jc w:val="right"/>
              <w:ind w:right="40"/>
              <w:spacing w:after="0"/>
              <w:rPr>
                <w:sz w:val="20"/>
                <w:szCs w:val="20"/>
                <w:color w:val="auto"/>
              </w:rPr>
            </w:pPr>
            <w:r>
              <w:rPr>
                <w:rFonts w:ascii="Arial" w:cs="Arial" w:eastAsia="Arial" w:hAnsi="Arial"/>
                <w:sz w:val="12"/>
                <w:szCs w:val="12"/>
                <w:b w:val="1"/>
                <w:bCs w:val="1"/>
                <w:color w:val="auto"/>
              </w:rPr>
              <w:t>(0.35)</w:t>
            </w:r>
          </w:p>
        </w:tc>
        <w:tc>
          <w:tcPr>
            <w:tcW w:w="60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(0.68)</w:t>
            </w:r>
          </w:p>
        </w:tc>
      </w:tr>
      <w:tr>
        <w:trPr>
          <w:trHeight w:val="189"/>
        </w:trPr>
        <w:tc>
          <w:tcPr>
            <w:tcW w:w="4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1300" w:type="dxa"/>
            <w:vAlign w:val="bottom"/>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0.01</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(0.35)</w:t>
            </w:r>
          </w:p>
        </w:tc>
        <w:tc>
          <w:tcPr>
            <w:tcW w:w="60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(0.68)</w:t>
            </w: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Weighted average number of common shares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Basic</w:t>
            </w: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55,211,294</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54,647,944</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55,149,674</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54,478,221</w:t>
            </w:r>
          </w:p>
        </w:tc>
      </w:tr>
      <w:tr>
        <w:trPr>
          <w:trHeight w:val="162"/>
        </w:trPr>
        <w:tc>
          <w:tcPr>
            <w:tcW w:w="4340" w:type="dxa"/>
            <w:vAlign w:val="bottom"/>
          </w:tcPr>
          <w:p>
            <w:pPr>
              <w:ind w:left="180"/>
              <w:spacing w:after="0"/>
              <w:rPr>
                <w:sz w:val="20"/>
                <w:szCs w:val="20"/>
                <w:color w:val="auto"/>
              </w:rPr>
            </w:pPr>
            <w:r>
              <w:rPr>
                <w:rFonts w:ascii="Arial" w:cs="Arial" w:eastAsia="Arial" w:hAnsi="Arial"/>
                <w:sz w:val="12"/>
                <w:szCs w:val="12"/>
                <w:color w:val="auto"/>
              </w:rPr>
              <w:t>Diluted</w:t>
            </w:r>
          </w:p>
        </w:tc>
        <w:tc>
          <w:tcPr>
            <w:tcW w:w="130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56,487,220</w:t>
            </w:r>
          </w:p>
        </w:tc>
        <w:tc>
          <w:tcPr>
            <w:tcW w:w="64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54,647,944</w:t>
            </w:r>
          </w:p>
        </w:tc>
        <w:tc>
          <w:tcPr>
            <w:tcW w:w="38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b w:val="1"/>
                <w:bCs w:val="1"/>
                <w:color w:val="auto"/>
              </w:rPr>
              <w:t>55,149,674</w:t>
            </w:r>
          </w:p>
        </w:tc>
        <w:tc>
          <w:tcPr>
            <w:tcW w:w="6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54,478,221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w:t>
      </w:r>
    </w:p>
    <w:p>
      <w:pPr>
        <w:sectPr>
          <w:pgSz w:w="11900" w:h="16838" w:orient="portrait"/>
          <w:cols w:equalWidth="0" w:num="1">
            <w:col w:w="11480"/>
          </w:cols>
          <w:pgMar w:left="220" w:top="581" w:right="1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t>ARBUTUS BIOPHARMA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Condensed Consolidated Statement of Stockholders’ Equity</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(Expressed in thousands of U.S. dollars, except share and per share amounts)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89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571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1960" w:type="dxa"/>
            <w:vAlign w:val="bottom"/>
            <w:gridSpan w:val="3"/>
          </w:tcPr>
          <w:p>
            <w:pPr>
              <w:jc w:val="right"/>
              <w:ind w:right="368"/>
              <w:spacing w:after="0"/>
              <w:rPr>
                <w:sz w:val="20"/>
                <w:szCs w:val="20"/>
                <w:color w:val="auto"/>
              </w:rPr>
            </w:pPr>
            <w:r>
              <w:rPr>
                <w:rFonts w:ascii="Arial" w:cs="Arial" w:eastAsia="Arial" w:hAnsi="Arial"/>
                <w:sz w:val="11"/>
                <w:szCs w:val="11"/>
                <w:color w:val="auto"/>
              </w:rPr>
              <w:t>Convertible Preferred Shares</w:t>
            </w:r>
          </w:p>
        </w:tc>
        <w:tc>
          <w:tcPr>
            <w:tcW w:w="1620" w:type="dxa"/>
            <w:vAlign w:val="bottom"/>
            <w:gridSpan w:val="2"/>
          </w:tcPr>
          <w:p>
            <w:pPr>
              <w:jc w:val="right"/>
              <w:ind w:right="26"/>
              <w:spacing w:after="0"/>
              <w:rPr>
                <w:sz w:val="20"/>
                <w:szCs w:val="20"/>
                <w:color w:val="auto"/>
              </w:rPr>
            </w:pPr>
            <w:r>
              <w:rPr>
                <w:rFonts w:ascii="Arial" w:cs="Arial" w:eastAsia="Arial" w:hAnsi="Arial"/>
                <w:sz w:val="11"/>
                <w:szCs w:val="11"/>
                <w:color w:val="auto"/>
              </w:rPr>
              <w:t>Common Shares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4"/>
        </w:trPr>
        <w:tc>
          <w:tcPr>
            <w:tcW w:w="2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jc w:val="center"/>
              <w:ind w:right="150"/>
              <w:spacing w:after="0" w:line="94" w:lineRule="exact"/>
              <w:rPr>
                <w:sz w:val="20"/>
                <w:szCs w:val="20"/>
                <w:color w:val="auto"/>
              </w:rPr>
            </w:pPr>
            <w:r>
              <w:rPr>
                <w:rFonts w:ascii="Arial" w:cs="Arial" w:eastAsia="Arial" w:hAnsi="Arial"/>
                <w:sz w:val="10"/>
                <w:szCs w:val="10"/>
                <w:color w:val="auto"/>
                <w:w w:val="88"/>
              </w:rPr>
              <w:t>Accumulated other</w:t>
            </w:r>
          </w:p>
        </w:tc>
        <w:tc>
          <w:tcPr>
            <w:tcW w:w="260" w:type="dxa"/>
            <w:vAlign w:val="bottom"/>
          </w:tcPr>
          <w:p>
            <w:pPr>
              <w:spacing w:after="0"/>
              <w:rPr>
                <w:sz w:val="8"/>
                <w:szCs w:val="8"/>
                <w:color w:val="auto"/>
              </w:rPr>
            </w:pPr>
          </w:p>
        </w:tc>
        <w:tc>
          <w:tcPr>
            <w:tcW w:w="940" w:type="dxa"/>
            <w:vAlign w:val="bottom"/>
          </w:tcPr>
          <w:p>
            <w:pPr>
              <w:ind w:left="260"/>
              <w:spacing w:after="0" w:line="94" w:lineRule="exact"/>
              <w:rPr>
                <w:sz w:val="20"/>
                <w:szCs w:val="20"/>
                <w:color w:val="auto"/>
              </w:rPr>
            </w:pPr>
            <w:r>
              <w:rPr>
                <w:rFonts w:ascii="Arial" w:cs="Arial" w:eastAsia="Arial" w:hAnsi="Arial"/>
                <w:sz w:val="10"/>
                <w:szCs w:val="10"/>
                <w:color w:val="auto"/>
              </w:rPr>
              <w:t>Total</w:t>
            </w:r>
          </w:p>
        </w:tc>
      </w:tr>
      <w:tr>
        <w:trPr>
          <w:trHeight w:val="99"/>
        </w:trPr>
        <w:tc>
          <w:tcPr>
            <w:tcW w:w="2160" w:type="dxa"/>
            <w:vAlign w:val="bottom"/>
          </w:tcPr>
          <w:p>
            <w:pPr>
              <w:spacing w:after="0"/>
              <w:rPr>
                <w:sz w:val="8"/>
                <w:szCs w:val="8"/>
                <w:color w:val="auto"/>
              </w:rPr>
            </w:pPr>
          </w:p>
        </w:tc>
        <w:tc>
          <w:tcPr>
            <w:tcW w:w="920" w:type="dxa"/>
            <w:vAlign w:val="bottom"/>
          </w:tcPr>
          <w:p>
            <w:pPr>
              <w:jc w:val="right"/>
              <w:ind w:right="328"/>
              <w:spacing w:after="0" w:line="99" w:lineRule="exact"/>
              <w:rPr>
                <w:sz w:val="20"/>
                <w:szCs w:val="20"/>
                <w:color w:val="auto"/>
              </w:rPr>
            </w:pPr>
            <w:r>
              <w:rPr>
                <w:rFonts w:ascii="Arial" w:cs="Arial" w:eastAsia="Arial" w:hAnsi="Arial"/>
                <w:sz w:val="10"/>
                <w:szCs w:val="10"/>
                <w:color w:val="auto"/>
              </w:rPr>
              <w:t>Number</w:t>
            </w:r>
          </w:p>
        </w:tc>
        <w:tc>
          <w:tcPr>
            <w:tcW w:w="300" w:type="dxa"/>
            <w:vAlign w:val="bottom"/>
          </w:tcPr>
          <w:p>
            <w:pPr>
              <w:spacing w:after="0"/>
              <w:rPr>
                <w:sz w:val="8"/>
                <w:szCs w:val="8"/>
                <w:color w:val="auto"/>
              </w:rPr>
            </w:pPr>
          </w:p>
        </w:tc>
        <w:tc>
          <w:tcPr>
            <w:tcW w:w="740" w:type="dxa"/>
            <w:vAlign w:val="bottom"/>
            <w:tcBorders>
              <w:right w:val="single" w:sz="8" w:color="auto"/>
            </w:tcBorders>
          </w:tcPr>
          <w:p>
            <w:pPr>
              <w:jc w:val="right"/>
              <w:ind w:right="328"/>
              <w:spacing w:after="0" w:line="99" w:lineRule="exact"/>
              <w:rPr>
                <w:sz w:val="20"/>
                <w:szCs w:val="20"/>
                <w:color w:val="auto"/>
              </w:rPr>
            </w:pPr>
            <w:r>
              <w:rPr>
                <w:rFonts w:ascii="Arial" w:cs="Arial" w:eastAsia="Arial" w:hAnsi="Arial"/>
                <w:sz w:val="10"/>
                <w:szCs w:val="10"/>
                <w:color w:val="auto"/>
              </w:rPr>
              <w:t>Share</w:t>
            </w:r>
          </w:p>
        </w:tc>
        <w:tc>
          <w:tcPr>
            <w:tcW w:w="1140" w:type="dxa"/>
            <w:vAlign w:val="bottom"/>
          </w:tcPr>
          <w:p>
            <w:pPr>
              <w:jc w:val="right"/>
              <w:ind w:right="368"/>
              <w:spacing w:after="0" w:line="99" w:lineRule="exact"/>
              <w:rPr>
                <w:sz w:val="20"/>
                <w:szCs w:val="20"/>
                <w:color w:val="auto"/>
              </w:rPr>
            </w:pPr>
            <w:r>
              <w:rPr>
                <w:rFonts w:ascii="Arial" w:cs="Arial" w:eastAsia="Arial" w:hAnsi="Arial"/>
                <w:sz w:val="10"/>
                <w:szCs w:val="10"/>
                <w:color w:val="auto"/>
              </w:rPr>
              <w:t>Number</w:t>
            </w:r>
          </w:p>
        </w:tc>
        <w:tc>
          <w:tcPr>
            <w:tcW w:w="480" w:type="dxa"/>
            <w:vAlign w:val="bottom"/>
          </w:tcPr>
          <w:p>
            <w:pPr>
              <w:spacing w:after="0"/>
              <w:rPr>
                <w:sz w:val="8"/>
                <w:szCs w:val="8"/>
                <w:color w:val="auto"/>
              </w:rPr>
            </w:pPr>
          </w:p>
        </w:tc>
        <w:tc>
          <w:tcPr>
            <w:tcW w:w="780" w:type="dxa"/>
            <w:vAlign w:val="bottom"/>
          </w:tcPr>
          <w:p>
            <w:pPr>
              <w:jc w:val="right"/>
              <w:ind w:right="428"/>
              <w:spacing w:after="0" w:line="99" w:lineRule="exact"/>
              <w:rPr>
                <w:sz w:val="20"/>
                <w:szCs w:val="20"/>
                <w:color w:val="auto"/>
              </w:rPr>
            </w:pPr>
            <w:r>
              <w:rPr>
                <w:rFonts w:ascii="Arial" w:cs="Arial" w:eastAsia="Arial" w:hAnsi="Arial"/>
                <w:sz w:val="10"/>
                <w:szCs w:val="10"/>
                <w:color w:val="auto"/>
              </w:rPr>
              <w:t>Share</w:t>
            </w:r>
          </w:p>
        </w:tc>
        <w:tc>
          <w:tcPr>
            <w:tcW w:w="220" w:type="dxa"/>
            <w:vAlign w:val="bottom"/>
          </w:tcPr>
          <w:p>
            <w:pPr>
              <w:spacing w:after="0"/>
              <w:rPr>
                <w:sz w:val="8"/>
                <w:szCs w:val="8"/>
                <w:color w:val="auto"/>
              </w:rPr>
            </w:pPr>
          </w:p>
        </w:tc>
        <w:tc>
          <w:tcPr>
            <w:tcW w:w="920" w:type="dxa"/>
            <w:vAlign w:val="bottom"/>
          </w:tcPr>
          <w:p>
            <w:pPr>
              <w:jc w:val="right"/>
              <w:ind w:right="128"/>
              <w:spacing w:after="0" w:line="99" w:lineRule="exact"/>
              <w:rPr>
                <w:sz w:val="20"/>
                <w:szCs w:val="20"/>
                <w:color w:val="auto"/>
              </w:rPr>
            </w:pPr>
            <w:r>
              <w:rPr>
                <w:rFonts w:ascii="Arial" w:cs="Arial" w:eastAsia="Arial" w:hAnsi="Arial"/>
                <w:sz w:val="10"/>
                <w:szCs w:val="10"/>
                <w:color w:val="auto"/>
                <w:w w:val="93"/>
              </w:rPr>
              <w:t>Additional paid-in</w:t>
            </w: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jc w:val="center"/>
              <w:ind w:right="150"/>
              <w:spacing w:after="0" w:line="99" w:lineRule="exact"/>
              <w:rPr>
                <w:sz w:val="20"/>
                <w:szCs w:val="20"/>
                <w:color w:val="auto"/>
              </w:rPr>
            </w:pPr>
            <w:r>
              <w:rPr>
                <w:rFonts w:ascii="Arial" w:cs="Arial" w:eastAsia="Arial" w:hAnsi="Arial"/>
                <w:sz w:val="10"/>
                <w:szCs w:val="10"/>
                <w:color w:val="auto"/>
                <w:w w:val="85"/>
              </w:rPr>
              <w:t>comprehensive</w:t>
            </w:r>
          </w:p>
        </w:tc>
        <w:tc>
          <w:tcPr>
            <w:tcW w:w="260" w:type="dxa"/>
            <w:vAlign w:val="bottom"/>
          </w:tcPr>
          <w:p>
            <w:pPr>
              <w:spacing w:after="0"/>
              <w:rPr>
                <w:sz w:val="8"/>
                <w:szCs w:val="8"/>
                <w:color w:val="auto"/>
              </w:rPr>
            </w:pPr>
          </w:p>
        </w:tc>
        <w:tc>
          <w:tcPr>
            <w:tcW w:w="940" w:type="dxa"/>
            <w:vAlign w:val="bottom"/>
          </w:tcPr>
          <w:p>
            <w:pPr>
              <w:jc w:val="right"/>
              <w:ind w:right="288"/>
              <w:spacing w:after="0" w:line="99" w:lineRule="exact"/>
              <w:rPr>
                <w:sz w:val="20"/>
                <w:szCs w:val="20"/>
                <w:color w:val="auto"/>
              </w:rPr>
            </w:pPr>
            <w:r>
              <w:rPr>
                <w:rFonts w:ascii="Arial" w:cs="Arial" w:eastAsia="Arial" w:hAnsi="Arial"/>
                <w:sz w:val="10"/>
                <w:szCs w:val="10"/>
                <w:color w:val="auto"/>
                <w:w w:val="99"/>
              </w:rPr>
              <w:t>stockholders'</w:t>
            </w:r>
          </w:p>
        </w:tc>
      </w:tr>
      <w:tr>
        <w:trPr>
          <w:trHeight w:val="126"/>
        </w:trPr>
        <w:tc>
          <w:tcPr>
            <w:tcW w:w="2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rPr>
              <w:t>of shares</w:t>
            </w: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rPr>
              <w:t>capital</w:t>
            </w: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of shares</w:t>
            </w:r>
          </w:p>
        </w:tc>
        <w:tc>
          <w:tcPr>
            <w:tcW w:w="4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rPr>
              <w:t>capital</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rPr>
              <w:t>capital</w:t>
            </w: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color w:val="auto"/>
              </w:rPr>
              <w:t>Deficit</w:t>
            </w: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0"/>
                <w:szCs w:val="10"/>
                <w:color w:val="auto"/>
                <w:w w:val="78"/>
              </w:rPr>
              <w:t>loss</w:t>
            </w: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0"/>
                <w:szCs w:val="10"/>
                <w:color w:val="auto"/>
              </w:rPr>
              <w:t>equity</w:t>
            </w:r>
          </w:p>
        </w:tc>
      </w:tr>
      <w:tr>
        <w:trPr>
          <w:trHeight w:val="151"/>
        </w:trPr>
        <w:tc>
          <w:tcPr>
            <w:tcW w:w="2160" w:type="dxa"/>
            <w:vAlign w:val="bottom"/>
          </w:tcPr>
          <w:p>
            <w:pPr>
              <w:ind w:left="20"/>
              <w:spacing w:after="0"/>
              <w:rPr>
                <w:sz w:val="20"/>
                <w:szCs w:val="20"/>
                <w:color w:val="auto"/>
              </w:rPr>
            </w:pPr>
            <w:r>
              <w:rPr>
                <w:rFonts w:ascii="Arial" w:cs="Arial" w:eastAsia="Arial" w:hAnsi="Arial"/>
                <w:sz w:val="11"/>
                <w:szCs w:val="11"/>
                <w:b w:val="1"/>
                <w:bCs w:val="1"/>
                <w:color w:val="auto"/>
              </w:rPr>
              <w:t>December 31, 2017</w:t>
            </w:r>
          </w:p>
        </w:tc>
        <w:tc>
          <w:tcPr>
            <w:tcW w:w="920" w:type="dxa"/>
            <w:vAlign w:val="bottom"/>
          </w:tcPr>
          <w:p>
            <w:pPr>
              <w:jc w:val="right"/>
              <w:ind w:right="88"/>
              <w:spacing w:after="0"/>
              <w:rPr>
                <w:sz w:val="20"/>
                <w:szCs w:val="20"/>
                <w:color w:val="auto"/>
              </w:rPr>
            </w:pPr>
            <w:r>
              <w:rPr>
                <w:rFonts w:ascii="Arial" w:cs="Arial" w:eastAsia="Arial" w:hAnsi="Arial"/>
                <w:sz w:val="11"/>
                <w:szCs w:val="11"/>
                <w:b w:val="1"/>
                <w:bCs w:val="1"/>
                <w:color w:val="auto"/>
              </w:rPr>
              <w:t>500,000</w:t>
            </w:r>
          </w:p>
        </w:tc>
        <w:tc>
          <w:tcPr>
            <w:tcW w:w="30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740" w:type="dxa"/>
            <w:vAlign w:val="bottom"/>
            <w:tcBorders>
              <w:right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49,780</w:t>
            </w:r>
          </w:p>
        </w:tc>
        <w:tc>
          <w:tcPr>
            <w:tcW w:w="1140" w:type="dxa"/>
            <w:vAlign w:val="bottom"/>
          </w:tcPr>
          <w:p>
            <w:pPr>
              <w:jc w:val="right"/>
              <w:ind w:right="88"/>
              <w:spacing w:after="0"/>
              <w:rPr>
                <w:sz w:val="20"/>
                <w:szCs w:val="20"/>
                <w:color w:val="auto"/>
              </w:rPr>
            </w:pPr>
            <w:r>
              <w:rPr>
                <w:rFonts w:ascii="Arial" w:cs="Arial" w:eastAsia="Arial" w:hAnsi="Arial"/>
                <w:sz w:val="11"/>
                <w:szCs w:val="11"/>
                <w:b w:val="1"/>
                <w:bCs w:val="1"/>
                <w:color w:val="auto"/>
              </w:rPr>
              <w:t>55,060,662</w:t>
            </w:r>
          </w:p>
        </w:tc>
        <w:tc>
          <w:tcPr>
            <w:tcW w:w="48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88"/>
              <w:spacing w:after="0"/>
              <w:rPr>
                <w:sz w:val="20"/>
                <w:szCs w:val="20"/>
                <w:color w:val="auto"/>
              </w:rPr>
            </w:pPr>
            <w:r>
              <w:rPr>
                <w:rFonts w:ascii="Arial" w:cs="Arial" w:eastAsia="Arial" w:hAnsi="Arial"/>
                <w:sz w:val="11"/>
                <w:szCs w:val="11"/>
                <w:b w:val="1"/>
                <w:bCs w:val="1"/>
                <w:color w:val="auto"/>
              </w:rPr>
              <w:t>876,108</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1"/>
                <w:szCs w:val="11"/>
                <w:b w:val="1"/>
                <w:bCs w:val="1"/>
                <w:color w:val="auto"/>
              </w:rPr>
              <w:t>42,840</w:t>
            </w:r>
          </w:p>
        </w:tc>
        <w:tc>
          <w:tcPr>
            <w:tcW w:w="30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47"/>
              <w:spacing w:after="0"/>
              <w:rPr>
                <w:sz w:val="20"/>
                <w:szCs w:val="20"/>
                <w:color w:val="auto"/>
              </w:rPr>
            </w:pPr>
            <w:r>
              <w:rPr>
                <w:rFonts w:ascii="Arial" w:cs="Arial" w:eastAsia="Arial" w:hAnsi="Arial"/>
                <w:sz w:val="11"/>
                <w:szCs w:val="11"/>
                <w:b w:val="1"/>
                <w:bCs w:val="1"/>
                <w:color w:val="auto"/>
              </w:rPr>
              <w:t>(738,070)</w:t>
            </w:r>
          </w:p>
        </w:tc>
        <w:tc>
          <w:tcPr>
            <w:tcW w:w="24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1"/>
                <w:szCs w:val="11"/>
                <w:b w:val="1"/>
                <w:bCs w:val="1"/>
                <w:color w:val="auto"/>
              </w:rPr>
              <w:t>(48,185)</w:t>
            </w:r>
          </w:p>
        </w:tc>
        <w:tc>
          <w:tcPr>
            <w:tcW w:w="26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1"/>
                <w:szCs w:val="11"/>
                <w:b w:val="1"/>
                <w:bCs w:val="1"/>
                <w:color w:val="auto"/>
              </w:rPr>
              <w:t>182,473</w:t>
            </w:r>
          </w:p>
        </w:tc>
      </w:tr>
      <w:tr>
        <w:trPr>
          <w:trHeight w:val="22"/>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48"/>
        </w:trPr>
        <w:tc>
          <w:tcPr>
            <w:tcW w:w="2160" w:type="dxa"/>
            <w:vAlign w:val="bottom"/>
          </w:tcPr>
          <w:p>
            <w:pPr>
              <w:ind w:left="20"/>
              <w:spacing w:after="0"/>
              <w:rPr>
                <w:sz w:val="20"/>
                <w:szCs w:val="20"/>
                <w:color w:val="auto"/>
              </w:rPr>
            </w:pPr>
            <w:r>
              <w:rPr>
                <w:rFonts w:ascii="Arial" w:cs="Arial" w:eastAsia="Arial" w:hAnsi="Arial"/>
                <w:sz w:val="11"/>
                <w:szCs w:val="11"/>
                <w:color w:val="auto"/>
                <w:w w:val="94"/>
              </w:rPr>
              <w:t>Issuance of Preferred Shares, net of issuance</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6"/>
        </w:trPr>
        <w:tc>
          <w:tcPr>
            <w:tcW w:w="2160" w:type="dxa"/>
            <w:vAlign w:val="bottom"/>
          </w:tcPr>
          <w:p>
            <w:pPr>
              <w:ind w:left="20"/>
              <w:spacing w:after="0"/>
              <w:rPr>
                <w:sz w:val="20"/>
                <w:szCs w:val="20"/>
                <w:color w:val="auto"/>
              </w:rPr>
            </w:pPr>
            <w:r>
              <w:rPr>
                <w:rFonts w:ascii="Arial" w:cs="Arial" w:eastAsia="Arial" w:hAnsi="Arial"/>
                <w:sz w:val="11"/>
                <w:szCs w:val="11"/>
                <w:color w:val="auto"/>
              </w:rPr>
              <w:t>cost of $135</w:t>
            </w:r>
          </w:p>
        </w:tc>
        <w:tc>
          <w:tcPr>
            <w:tcW w:w="920" w:type="dxa"/>
            <w:vAlign w:val="bottom"/>
          </w:tcPr>
          <w:p>
            <w:pPr>
              <w:jc w:val="right"/>
              <w:ind w:right="88"/>
              <w:spacing w:after="0"/>
              <w:rPr>
                <w:sz w:val="20"/>
                <w:szCs w:val="20"/>
                <w:color w:val="auto"/>
              </w:rPr>
            </w:pPr>
            <w:r>
              <w:rPr>
                <w:rFonts w:ascii="Arial" w:cs="Arial" w:eastAsia="Arial" w:hAnsi="Arial"/>
                <w:sz w:val="11"/>
                <w:szCs w:val="11"/>
                <w:color w:val="auto"/>
              </w:rPr>
              <w:t>664,000</w:t>
            </w:r>
          </w:p>
        </w:tc>
        <w:tc>
          <w:tcPr>
            <w:tcW w:w="300" w:type="dxa"/>
            <w:vAlign w:val="bottom"/>
          </w:tcPr>
          <w:p>
            <w:pPr>
              <w:spacing w:after="0"/>
              <w:rPr>
                <w:sz w:val="11"/>
                <w:szCs w:val="11"/>
                <w:color w:val="auto"/>
              </w:rPr>
            </w:pPr>
          </w:p>
        </w:tc>
        <w:tc>
          <w:tcPr>
            <w:tcW w:w="740" w:type="dxa"/>
            <w:vAlign w:val="bottom"/>
            <w:tcBorders>
              <w:right w:val="single" w:sz="8" w:color="auto"/>
            </w:tcBorders>
          </w:tcPr>
          <w:p>
            <w:pPr>
              <w:jc w:val="right"/>
              <w:ind w:right="88"/>
              <w:spacing w:after="0"/>
              <w:rPr>
                <w:sz w:val="20"/>
                <w:szCs w:val="20"/>
                <w:color w:val="auto"/>
              </w:rPr>
            </w:pPr>
            <w:r>
              <w:rPr>
                <w:rFonts w:ascii="Arial" w:cs="Arial" w:eastAsia="Arial" w:hAnsi="Arial"/>
                <w:sz w:val="11"/>
                <w:szCs w:val="11"/>
                <w:color w:val="auto"/>
              </w:rPr>
              <w:t>66,265</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68"/>
              <w:spacing w:after="0"/>
              <w:rPr>
                <w:sz w:val="20"/>
                <w:szCs w:val="20"/>
                <w:color w:val="auto"/>
              </w:rPr>
            </w:pPr>
            <w:r>
              <w:rPr>
                <w:rFonts w:ascii="Arial" w:cs="Arial" w:eastAsia="Arial" w:hAnsi="Arial"/>
                <w:sz w:val="11"/>
                <w:szCs w:val="11"/>
                <w:color w:val="auto"/>
              </w:rPr>
              <w:t>66,265</w:t>
            </w:r>
          </w:p>
        </w:tc>
      </w:tr>
      <w:tr>
        <w:trPr>
          <w:trHeight w:val="22"/>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8"/>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Accrual of coupon on Preferred Shares (note</w:t>
            </w: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3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6)</w:t>
            </w:r>
          </w:p>
        </w:tc>
        <w:tc>
          <w:tcPr>
            <w:tcW w:w="9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color w:val="auto"/>
              </w:rPr>
              <w:t>4,877</w:t>
            </w:r>
          </w:p>
        </w:tc>
        <w:tc>
          <w:tcPr>
            <w:tcW w:w="1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(4,877)</w:t>
            </w:r>
          </w:p>
        </w:tc>
        <w:tc>
          <w:tcPr>
            <w:tcW w:w="2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w:t>
            </w: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3,372</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68"/>
              <w:spacing w:after="0"/>
              <w:rPr>
                <w:sz w:val="20"/>
                <w:szCs w:val="20"/>
                <w:color w:val="auto"/>
              </w:rPr>
            </w:pPr>
            <w:r>
              <w:rPr>
                <w:rFonts w:ascii="Arial" w:cs="Arial" w:eastAsia="Arial" w:hAnsi="Arial"/>
                <w:sz w:val="11"/>
                <w:szCs w:val="11"/>
                <w:color w:val="auto"/>
              </w:rPr>
              <w:t>3,372</w:t>
            </w:r>
          </w:p>
        </w:tc>
      </w:tr>
      <w:tr>
        <w:trPr>
          <w:trHeight w:val="22"/>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8"/>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Certain fair value adjustments to liability</w:t>
            </w: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3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 option awards</w:t>
            </w:r>
          </w:p>
        </w:tc>
        <w:tc>
          <w:tcPr>
            <w:tcW w:w="9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right w:val="single" w:sz="8" w:color="auto"/>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(538)</w:t>
            </w:r>
          </w:p>
        </w:tc>
        <w:tc>
          <w:tcPr>
            <w:tcW w:w="3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(538)</w:t>
            </w:r>
          </w:p>
        </w:tc>
      </w:tr>
      <w:tr>
        <w:trPr>
          <w:trHeight w:val="148"/>
        </w:trPr>
        <w:tc>
          <w:tcPr>
            <w:tcW w:w="2160" w:type="dxa"/>
            <w:vAlign w:val="bottom"/>
          </w:tcPr>
          <w:p>
            <w:pPr>
              <w:ind w:left="20"/>
              <w:spacing w:after="0"/>
              <w:rPr>
                <w:sz w:val="20"/>
                <w:szCs w:val="20"/>
                <w:color w:val="auto"/>
              </w:rPr>
            </w:pPr>
            <w:r>
              <w:rPr>
                <w:rFonts w:ascii="Arial" w:cs="Arial" w:eastAsia="Arial" w:hAnsi="Arial"/>
                <w:sz w:val="11"/>
                <w:szCs w:val="11"/>
                <w:color w:val="auto"/>
              </w:rPr>
              <w:t>Issuance of common shares pursuant to</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6"/>
        </w:trPr>
        <w:tc>
          <w:tcPr>
            <w:tcW w:w="2160" w:type="dxa"/>
            <w:vAlign w:val="bottom"/>
          </w:tcPr>
          <w:p>
            <w:pPr>
              <w:ind w:left="20"/>
              <w:spacing w:after="0"/>
              <w:rPr>
                <w:sz w:val="20"/>
                <w:szCs w:val="20"/>
                <w:color w:val="auto"/>
              </w:rPr>
            </w:pPr>
            <w:r>
              <w:rPr>
                <w:rFonts w:ascii="Arial" w:cs="Arial" w:eastAsia="Arial" w:hAnsi="Arial"/>
                <w:sz w:val="11"/>
                <w:szCs w:val="11"/>
                <w:color w:val="auto"/>
              </w:rPr>
              <w:t>exercise of options</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40" w:type="dxa"/>
            <w:vAlign w:val="bottom"/>
          </w:tcPr>
          <w:p>
            <w:pPr>
              <w:jc w:val="right"/>
              <w:ind w:right="88"/>
              <w:spacing w:after="0"/>
              <w:rPr>
                <w:sz w:val="20"/>
                <w:szCs w:val="20"/>
                <w:color w:val="auto"/>
              </w:rPr>
            </w:pPr>
            <w:r>
              <w:rPr>
                <w:rFonts w:ascii="Arial" w:cs="Arial" w:eastAsia="Arial" w:hAnsi="Arial"/>
                <w:sz w:val="11"/>
                <w:szCs w:val="11"/>
                <w:color w:val="auto"/>
              </w:rPr>
              <w:t>264,588</w:t>
            </w:r>
          </w:p>
        </w:tc>
        <w:tc>
          <w:tcPr>
            <w:tcW w:w="480" w:type="dxa"/>
            <w:vAlign w:val="bottom"/>
          </w:tcPr>
          <w:p>
            <w:pPr>
              <w:spacing w:after="0"/>
              <w:rPr>
                <w:sz w:val="11"/>
                <w:szCs w:val="11"/>
                <w:color w:val="auto"/>
              </w:rPr>
            </w:pPr>
          </w:p>
        </w:tc>
        <w:tc>
          <w:tcPr>
            <w:tcW w:w="780" w:type="dxa"/>
            <w:vAlign w:val="bottom"/>
          </w:tcPr>
          <w:p>
            <w:pPr>
              <w:jc w:val="right"/>
              <w:ind w:right="88"/>
              <w:spacing w:after="0"/>
              <w:rPr>
                <w:sz w:val="20"/>
                <w:szCs w:val="20"/>
                <w:color w:val="auto"/>
              </w:rPr>
            </w:pPr>
            <w:r>
              <w:rPr>
                <w:rFonts w:ascii="Arial" w:cs="Arial" w:eastAsia="Arial" w:hAnsi="Arial"/>
                <w:sz w:val="11"/>
                <w:szCs w:val="11"/>
                <w:color w:val="auto"/>
              </w:rPr>
              <w:t>2,083</w:t>
            </w:r>
          </w:p>
        </w:tc>
        <w:tc>
          <w:tcPr>
            <w:tcW w:w="220" w:type="dxa"/>
            <w:vAlign w:val="bottom"/>
          </w:tcPr>
          <w:p>
            <w:pPr>
              <w:spacing w:after="0"/>
              <w:rPr>
                <w:sz w:val="11"/>
                <w:szCs w:val="11"/>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(1,245)</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68"/>
              <w:spacing w:after="0"/>
              <w:rPr>
                <w:sz w:val="20"/>
                <w:szCs w:val="20"/>
                <w:color w:val="auto"/>
              </w:rPr>
            </w:pPr>
            <w:r>
              <w:rPr>
                <w:rFonts w:ascii="Arial" w:cs="Arial" w:eastAsia="Arial" w:hAnsi="Arial"/>
                <w:sz w:val="11"/>
                <w:szCs w:val="11"/>
                <w:color w:val="auto"/>
              </w:rPr>
              <w:t>838</w:t>
            </w:r>
          </w:p>
        </w:tc>
      </w:tr>
      <w:tr>
        <w:trPr>
          <w:trHeight w:val="22"/>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9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(14,338)</w:t>
            </w: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(14,338)</w:t>
            </w:r>
          </w:p>
        </w:tc>
      </w:tr>
      <w:tr>
        <w:trPr>
          <w:trHeight w:val="147"/>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Balance, June 30, 2018</w:t>
            </w:r>
          </w:p>
        </w:tc>
        <w:tc>
          <w:tcPr>
            <w:tcW w:w="920" w:type="dxa"/>
            <w:vAlign w:val="bottom"/>
            <w:tcBorders>
              <w:top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1,164,000</w:t>
            </w:r>
          </w:p>
        </w:tc>
        <w:tc>
          <w:tcPr>
            <w:tcW w:w="3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120,922</w:t>
            </w:r>
          </w:p>
        </w:tc>
        <w:tc>
          <w:tcPr>
            <w:tcW w:w="1140" w:type="dxa"/>
            <w:vAlign w:val="bottom"/>
            <w:tcBorders>
              <w:top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55,325,250</w:t>
            </w:r>
          </w:p>
        </w:tc>
        <w:tc>
          <w:tcPr>
            <w:tcW w:w="48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w:t>
            </w: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878,191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b w:val="1"/>
                <w:bCs w:val="1"/>
                <w:color w:val="auto"/>
              </w:rPr>
              <w:t>44,429</w:t>
            </w:r>
          </w:p>
        </w:tc>
        <w:tc>
          <w:tcPr>
            <w:tcW w:w="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8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(757,285)</w:t>
            </w:r>
          </w:p>
        </w:tc>
        <w:tc>
          <w:tcPr>
            <w:tcW w:w="2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(48,185)</w:t>
            </w:r>
          </w:p>
        </w:tc>
        <w:tc>
          <w:tcPr>
            <w:tcW w:w="2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b w:val="1"/>
                <w:bCs w:val="1"/>
                <w:color w:val="auto"/>
              </w:rPr>
              <w:t>238,072</w:t>
            </w: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F- 3</w:t>
      </w:r>
    </w:p>
    <w:p>
      <w:pPr>
        <w:sectPr>
          <w:pgSz w:w="11900" w:h="16838" w:orient="portrait"/>
          <w:cols w:equalWidth="0" w:num="1">
            <w:col w:w="11320"/>
          </w:cols>
          <w:pgMar w:left="220" w:top="581" w:right="35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ARBUTUS BIOPHARMA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Condensed Consolidated Statements of Cash Flow</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(Expressed in thousands of U.S. dollars)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2751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5195" cy="571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gridSpan w:val="2"/>
          </w:tcPr>
          <w:p>
            <w:pPr>
              <w:jc w:val="center"/>
              <w:ind w:left="566"/>
              <w:spacing w:after="0"/>
              <w:rPr>
                <w:sz w:val="20"/>
                <w:szCs w:val="20"/>
                <w:color w:val="auto"/>
              </w:rPr>
            </w:pPr>
            <w:r>
              <w:rPr>
                <w:rFonts w:ascii="Arial" w:cs="Arial" w:eastAsia="Arial" w:hAnsi="Arial"/>
                <w:sz w:val="11"/>
                <w:szCs w:val="11"/>
                <w:b w:val="1"/>
                <w:bCs w:val="1"/>
                <w:color w:val="auto"/>
                <w:w w:val="86"/>
              </w:rPr>
              <w:t>Three months ended</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2"/>
          </w:tcPr>
          <w:p>
            <w:pPr>
              <w:jc w:val="center"/>
              <w:ind w:left="606"/>
              <w:spacing w:after="0"/>
              <w:rPr>
                <w:sz w:val="20"/>
                <w:szCs w:val="20"/>
                <w:color w:val="auto"/>
              </w:rPr>
            </w:pPr>
            <w:r>
              <w:rPr>
                <w:rFonts w:ascii="Arial" w:cs="Arial" w:eastAsia="Arial" w:hAnsi="Arial"/>
                <w:sz w:val="11"/>
                <w:szCs w:val="11"/>
                <w:b w:val="1"/>
                <w:bCs w:val="1"/>
                <w:color w:val="auto"/>
                <w:w w:val="86"/>
              </w:rPr>
              <w:t>Six months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gridSpan w:val="2"/>
          </w:tcPr>
          <w:p>
            <w:pPr>
              <w:jc w:val="center"/>
              <w:ind w:left="566"/>
              <w:spacing w:after="0"/>
              <w:rPr>
                <w:sz w:val="20"/>
                <w:szCs w:val="20"/>
                <w:color w:val="auto"/>
              </w:rPr>
            </w:pPr>
            <w:r>
              <w:rPr>
                <w:rFonts w:ascii="Arial" w:cs="Arial" w:eastAsia="Arial" w:hAnsi="Arial"/>
                <w:sz w:val="11"/>
                <w:szCs w:val="11"/>
                <w:b w:val="1"/>
                <w:bCs w:val="1"/>
                <w:color w:val="auto"/>
                <w:w w:val="86"/>
              </w:rPr>
              <w:t>June 30,</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2"/>
          </w:tcPr>
          <w:p>
            <w:pPr>
              <w:jc w:val="center"/>
              <w:ind w:left="606"/>
              <w:spacing w:after="0"/>
              <w:rPr>
                <w:sz w:val="20"/>
                <w:szCs w:val="20"/>
                <w:color w:val="auto"/>
              </w:rPr>
            </w:pPr>
            <w:r>
              <w:rPr>
                <w:rFonts w:ascii="Arial" w:cs="Arial" w:eastAsia="Arial" w:hAnsi="Arial"/>
                <w:sz w:val="11"/>
                <w:szCs w:val="11"/>
                <w:b w:val="1"/>
                <w:bCs w:val="1"/>
                <w:color w:val="auto"/>
                <w:w w:val="86"/>
              </w:rPr>
              <w:t>June 30,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626"/>
              <w:spacing w:after="0"/>
              <w:rPr>
                <w:sz w:val="20"/>
                <w:szCs w:val="20"/>
                <w:color w:val="auto"/>
              </w:rPr>
            </w:pPr>
            <w:r>
              <w:rPr>
                <w:rFonts w:ascii="Arial" w:cs="Arial" w:eastAsia="Arial" w:hAnsi="Arial"/>
                <w:sz w:val="11"/>
                <w:szCs w:val="11"/>
                <w:b w:val="1"/>
                <w:bCs w:val="1"/>
                <w:color w:val="auto"/>
              </w:rPr>
              <w:t>2018</w:t>
            </w:r>
          </w:p>
        </w:tc>
        <w:tc>
          <w:tcPr>
            <w:tcW w:w="620" w:type="dxa"/>
            <w:vAlign w:val="bottom"/>
          </w:tcPr>
          <w:p>
            <w:pPr>
              <w:spacing w:after="0"/>
              <w:rPr>
                <w:sz w:val="12"/>
                <w:szCs w:val="12"/>
                <w:color w:val="auto"/>
              </w:rPr>
            </w:pPr>
          </w:p>
        </w:tc>
        <w:tc>
          <w:tcPr>
            <w:tcW w:w="920" w:type="dxa"/>
            <w:vAlign w:val="bottom"/>
          </w:tcPr>
          <w:p>
            <w:pPr>
              <w:jc w:val="right"/>
              <w:ind w:right="545"/>
              <w:spacing w:after="0"/>
              <w:rPr>
                <w:sz w:val="20"/>
                <w:szCs w:val="20"/>
                <w:color w:val="auto"/>
              </w:rPr>
            </w:pPr>
            <w:r>
              <w:rPr>
                <w:rFonts w:ascii="Arial" w:cs="Arial" w:eastAsia="Arial" w:hAnsi="Arial"/>
                <w:sz w:val="11"/>
                <w:szCs w:val="11"/>
                <w:color w:val="auto"/>
              </w:rPr>
              <w:t>2017</w:t>
            </w:r>
          </w:p>
        </w:tc>
        <w:tc>
          <w:tcPr>
            <w:tcW w:w="400" w:type="dxa"/>
            <w:vAlign w:val="bottom"/>
          </w:tcPr>
          <w:p>
            <w:pPr>
              <w:spacing w:after="0"/>
              <w:rPr>
                <w:sz w:val="12"/>
                <w:szCs w:val="12"/>
                <w:color w:val="auto"/>
              </w:rPr>
            </w:pPr>
          </w:p>
        </w:tc>
        <w:tc>
          <w:tcPr>
            <w:tcW w:w="1160" w:type="dxa"/>
            <w:vAlign w:val="bottom"/>
          </w:tcPr>
          <w:p>
            <w:pPr>
              <w:jc w:val="right"/>
              <w:ind w:right="606"/>
              <w:spacing w:after="0"/>
              <w:rPr>
                <w:sz w:val="20"/>
                <w:szCs w:val="20"/>
                <w:color w:val="auto"/>
              </w:rPr>
            </w:pPr>
            <w:r>
              <w:rPr>
                <w:rFonts w:ascii="Arial" w:cs="Arial" w:eastAsia="Arial" w:hAnsi="Arial"/>
                <w:sz w:val="11"/>
                <w:szCs w:val="11"/>
                <w:b w:val="1"/>
                <w:bCs w:val="1"/>
                <w:color w:val="auto"/>
              </w:rPr>
              <w:t>2018</w:t>
            </w:r>
          </w:p>
        </w:tc>
        <w:tc>
          <w:tcPr>
            <w:tcW w:w="560" w:type="dxa"/>
            <w:vAlign w:val="bottom"/>
          </w:tcPr>
          <w:p>
            <w:pPr>
              <w:spacing w:after="0"/>
              <w:rPr>
                <w:sz w:val="12"/>
                <w:szCs w:val="12"/>
                <w:color w:val="auto"/>
              </w:rPr>
            </w:pPr>
          </w:p>
        </w:tc>
        <w:tc>
          <w:tcPr>
            <w:tcW w:w="980" w:type="dxa"/>
            <w:vAlign w:val="bottom"/>
          </w:tcPr>
          <w:p>
            <w:pPr>
              <w:jc w:val="right"/>
              <w:ind w:right="565"/>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31"/>
        </w:trPr>
        <w:tc>
          <w:tcPr>
            <w:tcW w:w="4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104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1"/>
                <w:szCs w:val="11"/>
                <w:color w:val="auto"/>
              </w:rPr>
              <w:t>Net income (loss) for the period</w:t>
            </w: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3,091</w:t>
            </w:r>
          </w:p>
        </w:tc>
        <w:tc>
          <w:tcPr>
            <w:tcW w:w="620" w:type="dxa"/>
            <w:vAlign w:val="bottom"/>
          </w:tcPr>
          <w:p>
            <w:pPr>
              <w:ind w:left="10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(18,255)</w:t>
            </w:r>
          </w:p>
        </w:tc>
        <w:tc>
          <w:tcPr>
            <w:tcW w:w="40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1160" w:type="dxa"/>
            <w:vAlign w:val="bottom"/>
          </w:tcPr>
          <w:p>
            <w:pPr>
              <w:jc w:val="right"/>
              <w:ind w:right="46"/>
              <w:spacing w:after="0"/>
              <w:rPr>
                <w:sz w:val="20"/>
                <w:szCs w:val="20"/>
                <w:color w:val="auto"/>
              </w:rPr>
            </w:pPr>
            <w:r>
              <w:rPr>
                <w:rFonts w:ascii="Arial" w:cs="Arial" w:eastAsia="Arial" w:hAnsi="Arial"/>
                <w:sz w:val="11"/>
                <w:szCs w:val="11"/>
                <w:b w:val="1"/>
                <w:bCs w:val="1"/>
                <w:color w:val="auto"/>
              </w:rPr>
              <w:t>(14,338)</w:t>
            </w:r>
          </w:p>
        </w:tc>
        <w:tc>
          <w:tcPr>
            <w:tcW w:w="560" w:type="dxa"/>
            <w:vAlign w:val="bottom"/>
          </w:tcPr>
          <w:p>
            <w:pPr>
              <w:ind w:left="10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(36,882)</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Items not involving cash:</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1"/>
                <w:szCs w:val="11"/>
                <w:color w:val="auto"/>
              </w:rPr>
              <w:t>Depreciation of property and equipment</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578</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480</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1,180</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 research, development, collaborations and contract expenses</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1,867</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3,055</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2,650</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5,678</w:t>
            </w:r>
          </w:p>
        </w:tc>
        <w:tc>
          <w:tcPr>
            <w:tcW w:w="0" w:type="dxa"/>
            <w:vAlign w:val="bottom"/>
          </w:tcPr>
          <w:p>
            <w:pPr>
              <w:spacing w:after="0"/>
              <w:rPr>
                <w:sz w:val="1"/>
                <w:szCs w:val="1"/>
                <w:color w:val="auto"/>
              </w:rPr>
            </w:pPr>
          </w:p>
        </w:tc>
      </w:tr>
      <w:tr>
        <w:trPr>
          <w:trHeight w:val="148"/>
        </w:trPr>
        <w:tc>
          <w:tcPr>
            <w:tcW w:w="4580" w:type="dxa"/>
            <w:vAlign w:val="bottom"/>
          </w:tcPr>
          <w:p>
            <w:pPr>
              <w:ind w:left="20"/>
              <w:spacing w:after="0"/>
              <w:rPr>
                <w:sz w:val="20"/>
                <w:szCs w:val="20"/>
                <w:color w:val="auto"/>
              </w:rPr>
            </w:pPr>
            <w:r>
              <w:rPr>
                <w:rFonts w:ascii="Arial" w:cs="Arial" w:eastAsia="Arial" w:hAnsi="Arial"/>
                <w:sz w:val="11"/>
                <w:szCs w:val="11"/>
                <w:color w:val="auto"/>
              </w:rPr>
              <w:t>Stock-based compensation - general and administrative</w:t>
            </w:r>
          </w:p>
        </w:tc>
        <w:tc>
          <w:tcPr>
            <w:tcW w:w="1040" w:type="dxa"/>
            <w:vAlign w:val="bottom"/>
          </w:tcPr>
          <w:p>
            <w:pPr>
              <w:spacing w:after="0"/>
              <w:rPr>
                <w:sz w:val="12"/>
                <w:szCs w:val="12"/>
                <w:color w:val="auto"/>
              </w:rPr>
            </w:pPr>
          </w:p>
        </w:tc>
        <w:tc>
          <w:tcPr>
            <w:tcW w:w="11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794</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966</w:t>
            </w: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0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2,048</w:t>
            </w:r>
          </w:p>
        </w:tc>
        <w:tc>
          <w:tcPr>
            <w:tcW w:w="4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3,929</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Unrealized foreign exchange (gains) losses</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361</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(824)</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926</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(1,250)</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Change in fair value of warrant liability</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 in fair value of contingent consideration</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193</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(655)</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949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1"/>
                <w:szCs w:val="11"/>
                <w:color w:val="auto"/>
              </w:rPr>
              <w:t>Site consolidation non-cash portion</w:t>
            </w:r>
          </w:p>
        </w:tc>
        <w:tc>
          <w:tcPr>
            <w:tcW w:w="104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395</w:t>
            </w:r>
          </w:p>
        </w:tc>
        <w:tc>
          <w:tcPr>
            <w:tcW w:w="620" w:type="dxa"/>
            <w:vAlign w:val="bottom"/>
          </w:tcPr>
          <w:p>
            <w:pPr>
              <w:spacing w:after="0"/>
              <w:rPr>
                <w:sz w:val="14"/>
                <w:szCs w:val="14"/>
                <w:color w:val="auto"/>
              </w:rPr>
            </w:pPr>
          </w:p>
        </w:tc>
        <w:tc>
          <w:tcPr>
            <w:tcW w:w="920" w:type="dxa"/>
            <w:vAlign w:val="bottom"/>
          </w:tcPr>
          <w:p>
            <w:pPr>
              <w:jc w:val="right"/>
              <w:ind w:right="25"/>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395</w:t>
            </w:r>
          </w:p>
        </w:tc>
        <w:tc>
          <w:tcPr>
            <w:tcW w:w="5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Gain on equity investment</w:t>
            </w:r>
          </w:p>
        </w:tc>
        <w:tc>
          <w:tcPr>
            <w:tcW w:w="10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(24,884)</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(24,884)</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580" w:type="dxa"/>
            <w:vAlign w:val="bottom"/>
          </w:tcPr>
          <w:p>
            <w:pPr>
              <w:ind w:left="20"/>
              <w:spacing w:after="0"/>
              <w:rPr>
                <w:sz w:val="20"/>
                <w:szCs w:val="20"/>
                <w:color w:val="auto"/>
              </w:rPr>
            </w:pPr>
            <w:r>
              <w:rPr>
                <w:rFonts w:ascii="Arial" w:cs="Arial" w:eastAsia="Arial" w:hAnsi="Arial"/>
                <w:sz w:val="11"/>
                <w:szCs w:val="11"/>
                <w:color w:val="auto"/>
              </w:rPr>
              <w:t>Net change in non-cash operating items:</w:t>
            </w: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receivable</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(603)</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6,691</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(920)</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(914)</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Accrued revenue</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128</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128</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 tax credits receivable</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294</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(2)</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279</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Prepaid expenses and other assets</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222</w:t>
            </w:r>
          </w:p>
        </w:tc>
        <w:tc>
          <w:tcPr>
            <w:tcW w:w="6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909</w:t>
            </w:r>
          </w:p>
        </w:tc>
        <w:tc>
          <w:tcPr>
            <w:tcW w:w="56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and accrued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921</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2,205</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(3,266)</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(1,708)</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Deferred revenue</w:t>
            </w:r>
          </w:p>
        </w:tc>
        <w:tc>
          <w:tcPr>
            <w:tcW w:w="104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b w:val="1"/>
                <w:bCs w:val="1"/>
                <w:color w:val="auto"/>
              </w:rPr>
              <w:t>(746)</w:t>
            </w:r>
          </w:p>
        </w:tc>
        <w:tc>
          <w:tcPr>
            <w:tcW w:w="6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(653)</w:t>
            </w:r>
          </w:p>
        </w:tc>
        <w:tc>
          <w:tcPr>
            <w:tcW w:w="40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b w:val="1"/>
                <w:bCs w:val="1"/>
                <w:color w:val="auto"/>
              </w:rPr>
              <w:t>(1,768)</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6,739</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Site consolidation accrual</w:t>
            </w:r>
          </w:p>
        </w:tc>
        <w:tc>
          <w:tcPr>
            <w:tcW w:w="10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61</w:t>
            </w:r>
          </w:p>
        </w:tc>
        <w:tc>
          <w:tcPr>
            <w:tcW w:w="6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1,090</w:t>
            </w:r>
          </w:p>
        </w:tc>
        <w:tc>
          <w:tcPr>
            <w:tcW w:w="5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Net cash used in operating activities</w:t>
            </w:r>
          </w:p>
        </w:tc>
        <w:tc>
          <w:tcPr>
            <w:tcW w:w="10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(17,622)</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(5,078)</w:t>
            </w: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(37,589)</w:t>
            </w: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(22,617)</w:t>
            </w: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104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Disposition (acquisition) of short and long-term investments, net</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15,403</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1,731</w:t>
            </w:r>
          </w:p>
        </w:tc>
        <w:tc>
          <w:tcPr>
            <w:tcW w:w="40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b w:val="1"/>
                <w:bCs w:val="1"/>
                <w:color w:val="auto"/>
              </w:rPr>
              <w:t>(60,015)</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28,349</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Proceeds from sale of property and equipment</w:t>
            </w:r>
          </w:p>
        </w:tc>
        <w:tc>
          <w:tcPr>
            <w:tcW w:w="10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Acquisition of property and equipment</w:t>
            </w:r>
          </w:p>
        </w:tc>
        <w:tc>
          <w:tcPr>
            <w:tcW w:w="104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b w:val="1"/>
                <w:bCs w:val="1"/>
                <w:color w:val="auto"/>
              </w:rPr>
              <w:t>(425)</w:t>
            </w:r>
          </w:p>
        </w:tc>
        <w:tc>
          <w:tcPr>
            <w:tcW w:w="6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(3,121)</w:t>
            </w:r>
          </w:p>
        </w:tc>
        <w:tc>
          <w:tcPr>
            <w:tcW w:w="40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b w:val="1"/>
                <w:bCs w:val="1"/>
                <w:color w:val="auto"/>
              </w:rPr>
              <w:t>(673)</w:t>
            </w:r>
          </w:p>
        </w:tc>
        <w:tc>
          <w:tcPr>
            <w:tcW w:w="56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(6,539)</w:t>
            </w: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(used) in investing activities</w:t>
            </w:r>
          </w:p>
        </w:tc>
        <w:tc>
          <w:tcPr>
            <w:tcW w:w="10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14,980</w:t>
            </w: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(1,390)</w:t>
            </w:r>
          </w:p>
        </w:tc>
        <w:tc>
          <w:tcPr>
            <w:tcW w:w="4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(60,686)</w:t>
            </w:r>
          </w:p>
        </w:tc>
        <w:tc>
          <w:tcPr>
            <w:tcW w:w="5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21,810</w:t>
            </w:r>
          </w:p>
        </w:tc>
        <w:tc>
          <w:tcPr>
            <w:tcW w:w="0" w:type="dxa"/>
            <w:vAlign w:val="bottom"/>
          </w:tcPr>
          <w:p>
            <w:pPr>
              <w:spacing w:after="0"/>
              <w:rPr>
                <w:sz w:val="1"/>
                <w:szCs w:val="1"/>
                <w:color w:val="auto"/>
              </w:rPr>
            </w:pPr>
          </w:p>
        </w:tc>
      </w:tr>
      <w:tr>
        <w:trPr>
          <w:trHeight w:val="138"/>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10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Promissory note repayment (note 8)</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(12,001)</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4580" w:type="dxa"/>
            <w:vAlign w:val="bottom"/>
          </w:tcPr>
          <w:p>
            <w:pPr>
              <w:ind w:left="40"/>
              <w:spacing w:after="0"/>
              <w:rPr>
                <w:sz w:val="20"/>
                <w:szCs w:val="20"/>
                <w:color w:val="auto"/>
              </w:rPr>
            </w:pPr>
            <w:r>
              <w:rPr>
                <w:rFonts w:ascii="Arial" w:cs="Arial" w:eastAsia="Arial" w:hAnsi="Arial"/>
                <w:sz w:val="11"/>
                <w:szCs w:val="11"/>
                <w:color w:val="auto"/>
              </w:rPr>
              <w:t>Proceeds from sale of Series A Preferred Shares, net of issuance</w:t>
            </w: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80" w:type="dxa"/>
            <w:vAlign w:val="bottom"/>
          </w:tcPr>
          <w:p>
            <w:pPr>
              <w:ind w:left="60"/>
              <w:spacing w:after="0"/>
              <w:rPr>
                <w:sz w:val="20"/>
                <w:szCs w:val="20"/>
                <w:color w:val="auto"/>
              </w:rPr>
            </w:pPr>
            <w:r>
              <w:rPr>
                <w:rFonts w:ascii="Arial" w:cs="Arial" w:eastAsia="Arial" w:hAnsi="Arial"/>
                <w:sz w:val="11"/>
                <w:szCs w:val="11"/>
                <w:color w:val="auto"/>
              </w:rPr>
              <w:t>costs</w:t>
            </w:r>
          </w:p>
        </w:tc>
        <w:tc>
          <w:tcPr>
            <w:tcW w:w="1040" w:type="dxa"/>
            <w:vAlign w:val="bottom"/>
          </w:tcPr>
          <w:p>
            <w:pPr>
              <w:spacing w:after="0"/>
              <w:rPr>
                <w:sz w:val="11"/>
                <w:szCs w:val="11"/>
                <w:color w:val="auto"/>
              </w:rPr>
            </w:pPr>
          </w:p>
        </w:tc>
        <w:tc>
          <w:tcPr>
            <w:tcW w:w="11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spacing w:after="0"/>
              <w:rPr>
                <w:sz w:val="11"/>
                <w:szCs w:val="11"/>
                <w:color w:val="auto"/>
              </w:rPr>
            </w:pPr>
          </w:p>
        </w:tc>
        <w:tc>
          <w:tcPr>
            <w:tcW w:w="92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66,265</w:t>
            </w:r>
          </w:p>
        </w:tc>
        <w:tc>
          <w:tcPr>
            <w:tcW w:w="560" w:type="dxa"/>
            <w:vAlign w:val="bottom"/>
          </w:tcPr>
          <w:p>
            <w:pPr>
              <w:spacing w:after="0"/>
              <w:rPr>
                <w:sz w:val="11"/>
                <w:szCs w:val="11"/>
                <w:color w:val="auto"/>
              </w:rPr>
            </w:pPr>
          </w:p>
        </w:tc>
        <w:tc>
          <w:tcPr>
            <w:tcW w:w="980" w:type="dxa"/>
            <w:vAlign w:val="bottom"/>
            <w:vMerge w:val="restart"/>
          </w:tcPr>
          <w:p>
            <w:pPr>
              <w:jc w:val="right"/>
              <w:ind w:right="4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Issuance of common shares pursuant to exercise of options</w:t>
            </w:r>
          </w:p>
        </w:tc>
        <w:tc>
          <w:tcPr>
            <w:tcW w:w="10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735</w:t>
            </w: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w:t>
            </w:r>
          </w:p>
        </w:tc>
        <w:tc>
          <w:tcPr>
            <w:tcW w:w="4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838</w:t>
            </w:r>
          </w:p>
        </w:tc>
        <w:tc>
          <w:tcPr>
            <w:tcW w:w="5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8"/>
        </w:trPr>
        <w:tc>
          <w:tcPr>
            <w:tcW w:w="4580" w:type="dxa"/>
            <w:vAlign w:val="bottom"/>
          </w:tcPr>
          <w:p>
            <w:pPr>
              <w:ind w:left="40"/>
              <w:spacing w:after="0"/>
              <w:rPr>
                <w:sz w:val="20"/>
                <w:szCs w:val="20"/>
                <w:color w:val="auto"/>
              </w:rPr>
            </w:pPr>
            <w:r>
              <w:rPr>
                <w:rFonts w:ascii="Arial" w:cs="Arial" w:eastAsia="Arial" w:hAnsi="Arial"/>
                <w:sz w:val="11"/>
                <w:szCs w:val="11"/>
                <w:color w:val="auto"/>
              </w:rPr>
              <w:t>Issuance of common shares pursuant to exercise of warrants</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353</w:t>
            </w: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financing activities</w:t>
            </w:r>
          </w:p>
        </w:tc>
        <w:tc>
          <w:tcPr>
            <w:tcW w:w="10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735</w:t>
            </w: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w:t>
            </w:r>
          </w:p>
        </w:tc>
        <w:tc>
          <w:tcPr>
            <w:tcW w:w="4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55,102</w:t>
            </w:r>
          </w:p>
        </w:tc>
        <w:tc>
          <w:tcPr>
            <w:tcW w:w="5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14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Effect of foreign exchange rate changes on cash and cash equivalents</w:t>
            </w:r>
          </w:p>
        </w:tc>
        <w:tc>
          <w:tcPr>
            <w:tcW w:w="10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(361)</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825</w:t>
            </w: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(926)</w:t>
            </w: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1,248</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(Decrease) Increase in cash and cash equivalents</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(2,268)</w:t>
            </w: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(5,639)</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(44,099)</w:t>
            </w: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799</w:t>
            </w: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1"/>
                <w:szCs w:val="11"/>
                <w:color w:val="auto"/>
              </w:rPr>
              <w:t>Cash and cash equivalents, beginning of period</w:t>
            </w:r>
          </w:p>
        </w:tc>
        <w:tc>
          <w:tcPr>
            <w:tcW w:w="1040" w:type="dxa"/>
            <w:vAlign w:val="bottom"/>
          </w:tcPr>
          <w:p>
            <w:pPr>
              <w:spacing w:after="0"/>
              <w:rPr>
                <w:sz w:val="13"/>
                <w:szCs w:val="13"/>
                <w:color w:val="auto"/>
              </w:rPr>
            </w:pP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12,461</w:t>
            </w:r>
          </w:p>
        </w:tc>
        <w:tc>
          <w:tcPr>
            <w:tcW w:w="62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29,851</w:t>
            </w:r>
          </w:p>
        </w:tc>
        <w:tc>
          <w:tcPr>
            <w:tcW w:w="40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54,292</w:t>
            </w:r>
          </w:p>
        </w:tc>
        <w:tc>
          <w:tcPr>
            <w:tcW w:w="560" w:type="dxa"/>
            <w:vAlign w:val="bottom"/>
          </w:tcPr>
          <w:p>
            <w:pPr>
              <w:spacing w:after="0"/>
              <w:rPr>
                <w:sz w:val="13"/>
                <w:szCs w:val="13"/>
                <w:color w:val="auto"/>
              </w:rPr>
            </w:pP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23,413</w:t>
            </w: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end of period</w:t>
            </w:r>
          </w:p>
        </w:tc>
        <w:tc>
          <w:tcPr>
            <w:tcW w:w="104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b w:val="1"/>
                <w:bCs w:val="1"/>
                <w:color w:val="auto"/>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10,193</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24,212</w:t>
            </w:r>
          </w:p>
        </w:tc>
        <w:tc>
          <w:tcPr>
            <w:tcW w:w="40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10,193</w:t>
            </w:r>
          </w:p>
        </w:tc>
        <w:tc>
          <w:tcPr>
            <w:tcW w:w="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24,212</w:t>
            </w:r>
          </w:p>
        </w:tc>
        <w:tc>
          <w:tcPr>
            <w:tcW w:w="0" w:type="dxa"/>
            <w:vAlign w:val="bottom"/>
          </w:tcPr>
          <w:p>
            <w:pPr>
              <w:spacing w:after="0"/>
              <w:rPr>
                <w:sz w:val="1"/>
                <w:szCs w:val="1"/>
                <w:color w:val="auto"/>
              </w:rPr>
            </w:pPr>
          </w:p>
        </w:tc>
      </w:tr>
      <w:tr>
        <w:trPr>
          <w:trHeight w:val="138"/>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Supplemental cash flow information</w:t>
            </w:r>
          </w:p>
        </w:tc>
        <w:tc>
          <w:tcPr>
            <w:tcW w:w="10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transactions:</w:t>
            </w:r>
          </w:p>
        </w:tc>
        <w:tc>
          <w:tcPr>
            <w:tcW w:w="10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1"/>
                <w:szCs w:val="11"/>
                <w:color w:val="auto"/>
              </w:rPr>
              <w:t>Investment tax credit received</w:t>
            </w: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ind w:left="10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108</w:t>
            </w:r>
          </w:p>
        </w:tc>
        <w:tc>
          <w:tcPr>
            <w:tcW w:w="40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ind w:left="10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5"/>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Acquired property and equipment in trade payables</w:t>
            </w:r>
          </w:p>
        </w:tc>
        <w:tc>
          <w:tcPr>
            <w:tcW w:w="104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b w:val="1"/>
                <w:bCs w:val="1"/>
                <w:color w:val="auto"/>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72</w:t>
            </w:r>
          </w:p>
        </w:tc>
        <w:tc>
          <w:tcPr>
            <w:tcW w:w="40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rPr>
                <w:sz w:val="20"/>
                <w:szCs w:val="20"/>
                <w:color w:val="auto"/>
              </w:rPr>
            </w:pPr>
            <w:r>
              <w:rPr>
                <w:rFonts w:ascii="Arial" w:cs="Arial" w:eastAsia="Arial" w:hAnsi="Arial"/>
                <w:sz w:val="11"/>
                <w:szCs w:val="11"/>
                <w:color w:val="auto"/>
              </w:rPr>
              <w:t>Preferred shares dividends accrued</w:t>
            </w: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jc w:val="right"/>
              <w:ind w:right="106"/>
              <w:spacing w:after="0"/>
              <w:rPr>
                <w:sz w:val="20"/>
                <w:szCs w:val="20"/>
                <w:color w:val="auto"/>
              </w:rPr>
            </w:pPr>
            <w:r>
              <w:rPr>
                <w:rFonts w:ascii="Arial" w:cs="Arial" w:eastAsia="Arial" w:hAnsi="Arial"/>
                <w:sz w:val="11"/>
                <w:szCs w:val="11"/>
                <w:b w:val="1"/>
                <w:bCs w:val="1"/>
                <w:color w:val="auto"/>
              </w:rPr>
              <w:t>2,541</w:t>
            </w:r>
          </w:p>
        </w:tc>
        <w:tc>
          <w:tcPr>
            <w:tcW w:w="620" w:type="dxa"/>
            <w:vAlign w:val="bottom"/>
          </w:tcPr>
          <w:p>
            <w:pPr>
              <w:ind w:left="1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5"/>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1160" w:type="dxa"/>
            <w:vAlign w:val="bottom"/>
          </w:tcPr>
          <w:p>
            <w:pPr>
              <w:jc w:val="right"/>
              <w:ind w:right="86"/>
              <w:spacing w:after="0"/>
              <w:rPr>
                <w:sz w:val="20"/>
                <w:szCs w:val="20"/>
                <w:color w:val="auto"/>
              </w:rPr>
            </w:pPr>
            <w:r>
              <w:rPr>
                <w:rFonts w:ascii="Arial" w:cs="Arial" w:eastAsia="Arial" w:hAnsi="Arial"/>
                <w:sz w:val="11"/>
                <w:szCs w:val="11"/>
                <w:b w:val="1"/>
                <w:bCs w:val="1"/>
                <w:color w:val="auto"/>
              </w:rPr>
              <w:t>4,877</w:t>
            </w:r>
          </w:p>
        </w:tc>
        <w:tc>
          <w:tcPr>
            <w:tcW w:w="560" w:type="dxa"/>
            <w:vAlign w:val="bottom"/>
          </w:tcPr>
          <w:p>
            <w:pPr>
              <w:ind w:left="1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F- 4</w:t>
      </w:r>
    </w:p>
    <w:p>
      <w:pPr>
        <w:sectPr>
          <w:pgSz w:w="11900" w:h="16838" w:orient="portrait"/>
          <w:cols w:equalWidth="0" w:num="1">
            <w:col w:w="11440"/>
          </w:cols>
          <w:pgMar w:left="220" w:top="364" w:right="23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b w:val="1"/>
          <w:bCs w:val="1"/>
          <w:color w:val="auto"/>
        </w:rPr>
        <w:t>ARBUTUS BIOPHARMA CORPORATION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(Tabular amounts in thousands of US Dollars, except share and per share amounts)</w:t>
      </w:r>
    </w:p>
    <w:p>
      <w:pPr>
        <w:spacing w:after="0" w:line="209" w:lineRule="exact"/>
        <w:rPr>
          <w:sz w:val="20"/>
          <w:szCs w:val="20"/>
          <w:color w:val="auto"/>
        </w:rPr>
      </w:pPr>
    </w:p>
    <w:p>
      <w:pPr>
        <w:ind w:left="268" w:hanging="268"/>
        <w:spacing w:after="0"/>
        <w:tabs>
          <w:tab w:leader="none" w:pos="26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Nature of business and future operations</w:t>
      </w:r>
    </w:p>
    <w:p>
      <w:pPr>
        <w:spacing w:after="0" w:line="154" w:lineRule="exact"/>
        <w:rPr>
          <w:sz w:val="20"/>
          <w:szCs w:val="20"/>
          <w:color w:val="auto"/>
        </w:rPr>
      </w:pPr>
    </w:p>
    <w:p>
      <w:pPr>
        <w:ind w:left="8" w:right="120"/>
        <w:spacing w:after="0" w:line="263" w:lineRule="auto"/>
        <w:rPr>
          <w:sz w:val="20"/>
          <w:szCs w:val="20"/>
          <w:color w:val="auto"/>
        </w:rPr>
      </w:pPr>
      <w:r>
        <w:rPr>
          <w:rFonts w:ascii="Arial" w:cs="Arial" w:eastAsia="Arial" w:hAnsi="Arial"/>
          <w:sz w:val="12"/>
          <w:szCs w:val="12"/>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w:t>
      </w:r>
    </w:p>
    <w:p>
      <w:pPr>
        <w:spacing w:after="0" w:line="123"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263" w:lineRule="exact"/>
        <w:rPr>
          <w:sz w:val="20"/>
          <w:szCs w:val="20"/>
          <w:color w:val="auto"/>
        </w:rPr>
      </w:pPr>
    </w:p>
    <w:p>
      <w:pPr>
        <w:ind w:left="268" w:hanging="268"/>
        <w:spacing w:after="0"/>
        <w:tabs>
          <w:tab w:leader="none" w:pos="26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ind w:left="8" w:right="80"/>
        <w:spacing w:after="0" w:line="283" w:lineRule="auto"/>
        <w:rPr>
          <w:sz w:val="20"/>
          <w:szCs w:val="20"/>
          <w:color w:val="auto"/>
        </w:rPr>
      </w:pPr>
      <w:r>
        <w:rPr>
          <w:rFonts w:ascii="Arial" w:cs="Arial" w:eastAsia="Arial" w:hAnsi="Arial"/>
          <w:sz w:val="11"/>
          <w:szCs w:val="11"/>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2017 and included in the Company’s Annual Report on Form 10-K for the year ended December 31, 2017. The unaudited condensed consolidated financial statements reflect, in the opinion of management, all adjustments and reclassifications necessary to present fairly the financial position, results of operations and cash flows at June 30, 2018 and for all periods presented. The results of operations for the three and six months ended June 30, 2018 and June 30, 2017, respectively,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2017, except as described below.</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50"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These unaudited condensed consolidated financial statements include the accounts of the Company and its two wholly-owned subsidiaries, Arbutus Biopharma Inc. ("Arbutus Inc.") and Protiva Biotherapeutics Inc. ("Protiva"). On January 1, 2018, Protiva was amalgamated with Arbutus Biopharma Corporation. All intercompany transactions and balances have been eliminated on consolidation.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Income or loss per share</w:t>
      </w:r>
    </w:p>
    <w:p>
      <w:pPr>
        <w:spacing w:after="0" w:line="150"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The Company follows the two-class method when computing net loss attributable to common shareholders per share as the Company has issued Preferred Shares (note 6) that meet the definition of participating securities. The Preferred Shares entitle the holders to participate in dividends but do not require the holders to participate in losses of the Company. Accordingly, if the Company reports a net loss attributable to common shareholders net losses are not allocated to Preferred Shareholders.</w:t>
      </w:r>
    </w:p>
    <w:p>
      <w:pPr>
        <w:spacing w:after="0" w:line="213"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F- 5</w:t>
      </w:r>
    </w:p>
    <w:p>
      <w:pPr>
        <w:sectPr>
          <w:pgSz w:w="11900" w:h="16838" w:orient="portrait"/>
          <w:cols w:equalWidth="0" w:num="1">
            <w:col w:w="11408"/>
          </w:cols>
          <w:pgMar w:left="212" w:top="433" w:right="279" w:bottom="1440" w:gutter="0" w:footer="0" w:header="0"/>
        </w:sectPr>
      </w:pPr>
    </w:p>
    <w:bookmarkStart w:id="8" w:name="page9"/>
    <w:bookmarkEnd w:id="8"/>
    <w:p>
      <w:pPr>
        <w:spacing w:after="0" w:line="257" w:lineRule="auto"/>
        <w:rPr>
          <w:sz w:val="20"/>
          <w:szCs w:val="20"/>
          <w:color w:val="auto"/>
        </w:rPr>
      </w:pPr>
      <w:r>
        <w:rPr>
          <w:rFonts w:ascii="Arial" w:cs="Arial" w:eastAsia="Arial" w:hAnsi="Arial"/>
          <w:sz w:val="12"/>
          <w:szCs w:val="12"/>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six months ended June 30, 2018, potential common shares of 23,934,679, (six months ended June 30, 2017 – 5,848,138) consisting of the as-if converted number of Class A Preferred shares and stock options, were excluded from the calculation of loss per common share because their inclusion would be anti-dilutive. During the three months ended June 30, 2018, dilutive, in-the-money stock options, calculated using the treasury stock method, were included in the diluted income per share calculation but potential common shares of 17,136,957 (three months ended June 30, 2017 – nil) consisting of the as-if converted number of Class A Preferred shares were excluded from the calculation because their inclusion would be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out the computation of basic and diluted net income (loss) attributable to shareholders per share:</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800" w:type="dxa"/>
            <w:vAlign w:val="bottom"/>
            <w:tcBorders>
              <w:top w:val="single" w:sz="8" w:color="auto"/>
            </w:tcBorders>
            <w:gridSpan w:val="3"/>
            <w:shd w:val="clear" w:color="auto" w:fill="CCEEFF"/>
          </w:tcPr>
          <w:p>
            <w:pPr>
              <w:jc w:val="center"/>
              <w:ind w:right="140"/>
              <w:spacing w:after="0"/>
              <w:rPr>
                <w:sz w:val="20"/>
                <w:szCs w:val="20"/>
                <w:color w:val="auto"/>
              </w:rPr>
            </w:pPr>
            <w:r>
              <w:rPr>
                <w:rFonts w:ascii="Arial" w:cs="Arial" w:eastAsia="Arial" w:hAnsi="Arial"/>
                <w:sz w:val="12"/>
                <w:szCs w:val="12"/>
                <w:b w:val="1"/>
                <w:bCs w:val="1"/>
                <w:color w:val="auto"/>
                <w:w w:val="89"/>
              </w:rPr>
              <w:t>For the three months ended June 30,</w:t>
            </w:r>
          </w:p>
        </w:tc>
        <w:tc>
          <w:tcPr>
            <w:tcW w:w="260" w:type="dxa"/>
            <w:vAlign w:val="bottom"/>
            <w:tcBorders>
              <w:top w:val="single" w:sz="8" w:color="auto"/>
            </w:tcBorders>
            <w:shd w:val="clear" w:color="auto" w:fill="CCEEFF"/>
          </w:tcPr>
          <w:p>
            <w:pPr>
              <w:spacing w:after="0"/>
              <w:rPr>
                <w:sz w:val="16"/>
                <w:szCs w:val="16"/>
                <w:color w:val="auto"/>
              </w:rPr>
            </w:pPr>
          </w:p>
        </w:tc>
        <w:tc>
          <w:tcPr>
            <w:tcW w:w="2480" w:type="dxa"/>
            <w:vAlign w:val="bottom"/>
            <w:tcBorders>
              <w:top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For the six months ended June 30,</w:t>
            </w:r>
          </w:p>
        </w:tc>
      </w:tr>
      <w:tr>
        <w:trPr>
          <w:trHeight w:val="171"/>
        </w:trPr>
        <w:tc>
          <w:tcPr>
            <w:tcW w:w="4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2018</w:t>
            </w:r>
          </w:p>
        </w:tc>
        <w:tc>
          <w:tcPr>
            <w:tcW w:w="1140" w:type="dxa"/>
            <w:vAlign w:val="bottom"/>
            <w:tcBorders>
              <w:bottom w:val="single" w:sz="8" w:color="auto"/>
            </w:tcBorders>
          </w:tcPr>
          <w:p>
            <w:pPr>
              <w:spacing w:after="0"/>
              <w:rPr>
                <w:sz w:val="14"/>
                <w:szCs w:val="14"/>
                <w:color w:val="auto"/>
              </w:rPr>
            </w:pPr>
          </w:p>
        </w:tc>
      </w:tr>
      <w:tr>
        <w:trPr>
          <w:trHeight w:val="178"/>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Numerator:</w:t>
            </w: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8"/>
              </w:rPr>
              <w:t>Common Shares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97"/>
              </w:rPr>
              <w:t>Preferred Shares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4"/>
              </w:rPr>
              <w:t>Common Shares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90"/>
              </w:rPr>
              <w:t>Preferred Shares</w:t>
            </w:r>
          </w:p>
        </w:tc>
      </w:tr>
      <w:tr>
        <w:trPr>
          <w:trHeight w:val="171"/>
        </w:trPr>
        <w:tc>
          <w:tcPr>
            <w:tcW w:w="4180" w:type="dxa"/>
            <w:vAlign w:val="bottom"/>
          </w:tcPr>
          <w:p>
            <w:pPr>
              <w:ind w:left="20"/>
              <w:spacing w:after="0"/>
              <w:rPr>
                <w:sz w:val="20"/>
                <w:szCs w:val="20"/>
                <w:color w:val="auto"/>
              </w:rPr>
            </w:pPr>
            <w:r>
              <w:rPr>
                <w:rFonts w:ascii="Arial" w:cs="Arial" w:eastAsia="Arial" w:hAnsi="Arial"/>
                <w:sz w:val="12"/>
                <w:szCs w:val="12"/>
                <w:color w:val="auto"/>
              </w:rPr>
              <w:t>Allocation of distributable earnings</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2,541</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4,877</w:t>
            </w:r>
          </w:p>
        </w:tc>
      </w:tr>
      <w:tr>
        <w:trPr>
          <w:trHeight w:val="180"/>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Allocation of undistributed income (loss)</w:t>
            </w:r>
          </w:p>
        </w:tc>
        <w:tc>
          <w:tcPr>
            <w:tcW w:w="1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(19,215)</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Allocation of income (loss) attributed to shareholders</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2,541</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(19,215)</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4,877</w:t>
            </w:r>
          </w:p>
        </w:tc>
      </w:tr>
      <w:tr>
        <w:trPr>
          <w:trHeight w:val="178"/>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Denominator:</w:t>
            </w: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2"/>
                <w:szCs w:val="12"/>
                <w:color w:val="auto"/>
              </w:rPr>
              <w:t>Weighted average number of shares - basic</w:t>
            </w:r>
          </w:p>
        </w:tc>
        <w:tc>
          <w:tcPr>
            <w:tcW w:w="1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55,211,294</w:t>
            </w:r>
          </w:p>
        </w:tc>
        <w:tc>
          <w:tcPr>
            <w:tcW w:w="3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1,164,000</w:t>
            </w:r>
          </w:p>
        </w:tc>
        <w:tc>
          <w:tcPr>
            <w:tcW w:w="26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55,149,674</w:t>
            </w:r>
          </w:p>
        </w:tc>
        <w:tc>
          <w:tcPr>
            <w:tcW w:w="2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1,119,978</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number of shares - diluted</w:t>
            </w: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56,487,220</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1,164,000</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55,149,674</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1,119,978</w:t>
            </w:r>
          </w:p>
        </w:tc>
      </w:tr>
      <w:tr>
        <w:trPr>
          <w:trHeight w:val="171"/>
        </w:trPr>
        <w:tc>
          <w:tcPr>
            <w:tcW w:w="4180" w:type="dxa"/>
            <w:vAlign w:val="bottom"/>
          </w:tcPr>
          <w:p>
            <w:pPr>
              <w:ind w:left="20"/>
              <w:spacing w:after="0"/>
              <w:rPr>
                <w:sz w:val="20"/>
                <w:szCs w:val="20"/>
                <w:color w:val="auto"/>
              </w:rPr>
            </w:pPr>
            <w:r>
              <w:rPr>
                <w:rFonts w:ascii="Arial" w:cs="Arial" w:eastAsia="Arial" w:hAnsi="Arial"/>
                <w:sz w:val="12"/>
                <w:szCs w:val="12"/>
                <w:color w:val="auto"/>
              </w:rPr>
              <w:t>Basic net income (loss) attributable to shareholders per share</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0.01</w:t>
            </w:r>
          </w:p>
        </w:tc>
        <w:tc>
          <w:tcPr>
            <w:tcW w:w="3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2.18</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(0.35)</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4.35</w:t>
            </w:r>
          </w:p>
        </w:tc>
      </w:tr>
      <w:tr>
        <w:trPr>
          <w:trHeight w:val="180"/>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Diluted net income (loss) attributable to shareholders per share</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2.18</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Company measures certain financial instruments and other items at fair value.</w:t>
      </w:r>
    </w:p>
    <w:p>
      <w:pPr>
        <w:spacing w:after="0" w:line="150"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05" w:lineRule="exact"/>
        <w:rPr>
          <w:sz w:val="20"/>
          <w:szCs w:val="20"/>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1 inputs are quoted market prices for identical instruments available in active markets.</w:t>
      </w:r>
    </w:p>
    <w:p>
      <w:pPr>
        <w:spacing w:after="0" w:line="14" w:lineRule="exact"/>
        <w:rPr>
          <w:rFonts w:ascii="Arial" w:cs="Arial" w:eastAsia="Arial" w:hAnsi="Arial"/>
          <w:sz w:val="12"/>
          <w:szCs w:val="12"/>
          <w:color w:val="auto"/>
        </w:rPr>
      </w:pPr>
    </w:p>
    <w:p>
      <w:pPr>
        <w:ind w:left="640" w:right="60" w:hanging="324"/>
        <w:spacing w:after="0" w:line="250" w:lineRule="auto"/>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3 inputs are unobservable inputs for the asset or liability and will reflect management’s assumptions about market assumptions that would be used to price the asset or liability.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F- 6</w:t>
      </w:r>
    </w:p>
    <w:p>
      <w:pPr>
        <w:sectPr>
          <w:pgSz w:w="11900" w:h="16838" w:orient="portrait"/>
          <w:cols w:equalWidth="0" w:num="1">
            <w:col w:w="11460"/>
          </w:cols>
          <w:pgMar w:left="220" w:top="509" w:right="219" w:bottom="1440" w:gutter="0" w:footer="0" w:header="0"/>
        </w:sectPr>
      </w:pPr>
    </w:p>
    <w:bookmarkStart w:id="9" w:name="page10"/>
    <w:bookmarkEnd w:id="9"/>
    <w:p>
      <w:pPr>
        <w:spacing w:after="0"/>
        <w:rPr>
          <w:sz w:val="20"/>
          <w:szCs w:val="20"/>
          <w:color w:val="auto"/>
        </w:rPr>
      </w:pPr>
      <w:r>
        <w:rPr>
          <w:rFonts w:ascii="Arial" w:cs="Arial" w:eastAsia="Arial" w:hAnsi="Arial"/>
          <w:sz w:val="11"/>
          <w:szCs w:val="11"/>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4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2"/>
                <w:szCs w:val="12"/>
                <w:color w:val="auto"/>
              </w:rPr>
              <w:t>Level 1</w:t>
            </w:r>
          </w:p>
        </w:tc>
        <w:tc>
          <w:tcPr>
            <w:tcW w:w="5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Level 2</w:t>
            </w:r>
          </w:p>
        </w:tc>
        <w:tc>
          <w:tcPr>
            <w:tcW w:w="5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2"/>
                <w:szCs w:val="12"/>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June 30, 2018</w:t>
            </w:r>
          </w:p>
        </w:tc>
      </w:tr>
      <w:tr>
        <w:trPr>
          <w:trHeight w:val="178"/>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32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4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10,193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10,193</w:t>
            </w:r>
          </w:p>
        </w:tc>
      </w:tr>
      <w:tr>
        <w:trPr>
          <w:trHeight w:val="18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Short-term investments</w:t>
            </w:r>
          </w:p>
        </w:tc>
        <w:tc>
          <w:tcPr>
            <w:tcW w:w="2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144,676</w:t>
            </w: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144,676</w:t>
            </w:r>
          </w:p>
        </w:tc>
      </w:tr>
      <w:tr>
        <w:trPr>
          <w:trHeight w:val="16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w:t>
            </w:r>
          </w:p>
        </w:tc>
        <w:tc>
          <w:tcPr>
            <w:tcW w:w="2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154,869</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154,869</w:t>
            </w:r>
          </w:p>
        </w:tc>
      </w:tr>
      <w:tr>
        <w:trPr>
          <w:trHeight w:val="178"/>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3240" w:type="dxa"/>
            <w:vAlign w:val="bottom"/>
          </w:tcPr>
          <w:p>
            <w:pPr>
              <w:ind w:left="20"/>
              <w:spacing w:after="0"/>
              <w:rPr>
                <w:sz w:val="20"/>
                <w:szCs w:val="20"/>
                <w:color w:val="auto"/>
              </w:rPr>
            </w:pPr>
            <w:r>
              <w:rPr>
                <w:rFonts w:ascii="Arial" w:cs="Arial" w:eastAsia="Arial" w:hAnsi="Arial"/>
                <w:sz w:val="12"/>
                <w:szCs w:val="12"/>
                <w:color w:val="auto"/>
              </w:rPr>
              <w:t>Liability-classified options</w:t>
            </w:r>
          </w:p>
        </w:tc>
        <w:tc>
          <w:tcPr>
            <w:tcW w:w="24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2,092</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2,092</w:t>
            </w:r>
          </w:p>
        </w:tc>
      </w:tr>
      <w:tr>
        <w:trPr>
          <w:trHeight w:val="18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Contingent consideration</w:t>
            </w:r>
          </w:p>
        </w:tc>
        <w:tc>
          <w:tcPr>
            <w:tcW w:w="24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9,769</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9,769</w:t>
            </w:r>
          </w:p>
        </w:tc>
      </w:tr>
      <w:tr>
        <w:trPr>
          <w:trHeight w:val="16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w:t>
            </w:r>
          </w:p>
        </w:tc>
        <w:tc>
          <w:tcPr>
            <w:tcW w:w="2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11,861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11,861</w:t>
            </w:r>
          </w:p>
        </w:tc>
      </w:tr>
      <w:tr>
        <w:trPr>
          <w:trHeight w:val="232"/>
        </w:trPr>
        <w:tc>
          <w:tcPr>
            <w:tcW w:w="3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0"/>
        </w:trPr>
        <w:tc>
          <w:tcPr>
            <w:tcW w:w="32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color w:val="auto"/>
              </w:rPr>
              <w:t>Level 1</w:t>
            </w: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Level 2</w:t>
            </w: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color w:val="auto"/>
              </w:rPr>
              <w:t>Level 3</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2017</w:t>
            </w:r>
          </w:p>
        </w:tc>
      </w:tr>
      <w:tr>
        <w:trPr>
          <w:trHeight w:val="178"/>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32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4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54,292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54,292</w:t>
            </w: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Short-term investments</w:t>
            </w:r>
          </w:p>
        </w:tc>
        <w:tc>
          <w:tcPr>
            <w:tcW w:w="2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72,060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72,060</w:t>
            </w: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Restricted cash</w:t>
            </w:r>
          </w:p>
        </w:tc>
        <w:tc>
          <w:tcPr>
            <w:tcW w:w="2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12,601</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12,601</w:t>
            </w:r>
          </w:p>
        </w:tc>
      </w:tr>
      <w:tr>
        <w:trPr>
          <w:trHeight w:val="169"/>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4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138,953</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138,953</w:t>
            </w:r>
          </w:p>
        </w:tc>
      </w:tr>
      <w:tr>
        <w:trPr>
          <w:trHeight w:val="169"/>
        </w:trPr>
        <w:tc>
          <w:tcPr>
            <w:tcW w:w="324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Liability-classified options</w:t>
            </w:r>
          </w:p>
        </w:tc>
        <w:tc>
          <w:tcPr>
            <w:tcW w:w="24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1,239</w:t>
            </w:r>
          </w:p>
        </w:tc>
      </w:tr>
      <w:tr>
        <w:trPr>
          <w:trHeight w:val="171"/>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Contingent consideration</w:t>
            </w:r>
          </w:p>
        </w:tc>
        <w:tc>
          <w:tcPr>
            <w:tcW w:w="2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10,424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10,424</w:t>
            </w:r>
          </w:p>
        </w:tc>
      </w:tr>
      <w:tr>
        <w:trPr>
          <w:trHeight w:val="169"/>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4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11,663</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11,663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changes in fair value of the Company’s liability-classified stock option awards: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rPr>
              <w:t>Increase in fair</w:t>
            </w:r>
          </w:p>
        </w:tc>
        <w:tc>
          <w:tcPr>
            <w:tcW w:w="34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right"/>
              <w:ind w:right="640"/>
              <w:spacing w:after="0"/>
              <w:rPr>
                <w:sz w:val="20"/>
                <w:szCs w:val="20"/>
                <w:color w:val="auto"/>
              </w:rPr>
            </w:pPr>
            <w:r>
              <w:rPr>
                <w:rFonts w:ascii="Arial" w:cs="Arial" w:eastAsia="Arial" w:hAnsi="Arial"/>
                <w:sz w:val="12"/>
                <w:szCs w:val="12"/>
                <w:color w:val="auto"/>
              </w:rPr>
              <w:t>Liability at end</w:t>
            </w:r>
          </w:p>
        </w:tc>
        <w:tc>
          <w:tcPr>
            <w:tcW w:w="80" w:type="dxa"/>
            <w:vAlign w:val="bottom"/>
          </w:tcPr>
          <w:p>
            <w:pPr>
              <w:spacing w:after="0"/>
              <w:rPr>
                <w:sz w:val="14"/>
                <w:szCs w:val="14"/>
                <w:color w:val="auto"/>
              </w:rPr>
            </w:pPr>
          </w:p>
        </w:tc>
      </w:tr>
      <w:tr>
        <w:trPr>
          <w:trHeight w:val="162"/>
        </w:trPr>
        <w:tc>
          <w:tcPr>
            <w:tcW w:w="4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6"/>
              </w:rPr>
              <w:t>Liability at beginning of the period</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value of liability</w:t>
            </w: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rPr>
              <w:t>of the period</w:t>
            </w:r>
          </w:p>
        </w:tc>
        <w:tc>
          <w:tcPr>
            <w:tcW w:w="80" w:type="dxa"/>
            <w:vAlign w:val="bottom"/>
          </w:tcPr>
          <w:p>
            <w:pPr>
              <w:spacing w:after="0"/>
              <w:rPr>
                <w:sz w:val="14"/>
                <w:szCs w:val="14"/>
                <w:color w:val="auto"/>
              </w:rPr>
            </w:pPr>
          </w:p>
        </w:tc>
      </w:tr>
      <w:tr>
        <w:trPr>
          <w:trHeight w:val="17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Six months ended June 30, 2017</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430</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983</w:t>
            </w:r>
          </w:p>
        </w:tc>
        <w:tc>
          <w:tcPr>
            <w:tcW w:w="80" w:type="dxa"/>
            <w:vAlign w:val="bottom"/>
          </w:tcPr>
          <w:p>
            <w:pPr>
              <w:spacing w:after="0"/>
              <w:rPr>
                <w:sz w:val="15"/>
                <w:szCs w:val="15"/>
                <w:color w:val="auto"/>
              </w:rPr>
            </w:pPr>
          </w:p>
        </w:tc>
      </w:tr>
      <w:tr>
        <w:trPr>
          <w:trHeight w:val="162"/>
        </w:trPr>
        <w:tc>
          <w:tcPr>
            <w:tcW w:w="4700" w:type="dxa"/>
            <w:vAlign w:val="bottom"/>
          </w:tcPr>
          <w:p>
            <w:pPr>
              <w:ind w:left="20"/>
              <w:spacing w:after="0"/>
              <w:rPr>
                <w:sz w:val="20"/>
                <w:szCs w:val="20"/>
                <w:color w:val="auto"/>
              </w:rPr>
            </w:pPr>
            <w:r>
              <w:rPr>
                <w:rFonts w:ascii="Arial" w:cs="Arial" w:eastAsia="Arial" w:hAnsi="Arial"/>
                <w:sz w:val="12"/>
                <w:szCs w:val="12"/>
                <w:color w:val="auto"/>
              </w:rPr>
              <w:t>Six months ended June 30, 2018</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1,239</w:t>
            </w:r>
          </w:p>
        </w:tc>
        <w:tc>
          <w:tcPr>
            <w:tcW w:w="160" w:type="dxa"/>
            <w:vAlign w:val="bottom"/>
          </w:tcPr>
          <w:p>
            <w:pPr>
              <w:spacing w:after="0"/>
              <w:rPr>
                <w:sz w:val="14"/>
                <w:szCs w:val="14"/>
                <w:color w:val="auto"/>
              </w:rPr>
            </w:pP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tcPr>
          <w:p>
            <w:pPr>
              <w:ind w:left="1340"/>
              <w:spacing w:after="0"/>
              <w:rPr>
                <w:sz w:val="20"/>
                <w:szCs w:val="20"/>
                <w:color w:val="auto"/>
              </w:rPr>
            </w:pPr>
            <w:r>
              <w:rPr>
                <w:rFonts w:ascii="Arial" w:cs="Arial" w:eastAsia="Arial" w:hAnsi="Arial"/>
                <w:sz w:val="12"/>
                <w:szCs w:val="12"/>
                <w:color w:val="auto"/>
              </w:rPr>
              <w:t>853</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860" w:type="dxa"/>
            <w:vAlign w:val="bottom"/>
          </w:tcPr>
          <w:p>
            <w:pPr>
              <w:jc w:val="right"/>
              <w:ind w:right="40"/>
              <w:spacing w:after="0"/>
              <w:rPr>
                <w:sz w:val="20"/>
                <w:szCs w:val="20"/>
                <w:color w:val="auto"/>
              </w:rPr>
            </w:pPr>
            <w:r>
              <w:rPr>
                <w:rFonts w:ascii="Arial" w:cs="Arial" w:eastAsia="Arial" w:hAnsi="Arial"/>
                <w:sz w:val="12"/>
                <w:szCs w:val="12"/>
                <w:color w:val="auto"/>
              </w:rPr>
              <w:t>2,092</w:t>
            </w:r>
          </w:p>
        </w:tc>
        <w:tc>
          <w:tcPr>
            <w:tcW w:w="80" w:type="dxa"/>
            <w:vAlign w:val="bottom"/>
          </w:tcPr>
          <w:p>
            <w:pPr>
              <w:spacing w:after="0"/>
              <w:rPr>
                <w:sz w:val="14"/>
                <w:szCs w:val="14"/>
                <w:color w:val="auto"/>
              </w:rPr>
            </w:pPr>
          </w:p>
        </w:tc>
      </w:tr>
      <w:tr>
        <w:trPr>
          <w:trHeight w:val="306"/>
        </w:trPr>
        <w:tc>
          <w:tcPr>
            <w:tcW w:w="4700" w:type="dxa"/>
            <w:vAlign w:val="bottom"/>
          </w:tcPr>
          <w:p>
            <w:pPr>
              <w:spacing w:after="0"/>
              <w:rPr>
                <w:sz w:val="20"/>
                <w:szCs w:val="20"/>
                <w:color w:val="auto"/>
              </w:rPr>
            </w:pPr>
            <w:r>
              <w:rPr>
                <w:rFonts w:ascii="Arial" w:cs="Arial" w:eastAsia="Arial" w:hAnsi="Arial"/>
                <w:sz w:val="12"/>
                <w:szCs w:val="12"/>
                <w:color w:val="auto"/>
                <w:w w:val="90"/>
              </w:rPr>
              <w:t>The following table presents the changes in fair value of the Company’s contingent consideration:</w:t>
            </w: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0"/>
        </w:trPr>
        <w:tc>
          <w:tcPr>
            <w:tcW w:w="47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142"/>
        </w:trPr>
        <w:tc>
          <w:tcPr>
            <w:tcW w:w="4700" w:type="dxa"/>
            <w:vAlign w:val="bottom"/>
          </w:tcPr>
          <w:p>
            <w:pPr>
              <w:spacing w:after="0"/>
              <w:rPr>
                <w:sz w:val="12"/>
                <w:szCs w:val="12"/>
                <w:color w:val="auto"/>
              </w:rPr>
            </w:pPr>
          </w:p>
        </w:tc>
        <w:tc>
          <w:tcPr>
            <w:tcW w:w="2300" w:type="dxa"/>
            <w:vAlign w:val="bottom"/>
            <w:gridSpan w:val="2"/>
          </w:tcPr>
          <w:p>
            <w:pPr>
              <w:jc w:val="right"/>
              <w:ind w:right="300"/>
              <w:spacing w:after="0"/>
              <w:rPr>
                <w:sz w:val="20"/>
                <w:szCs w:val="20"/>
                <w:color w:val="auto"/>
              </w:rPr>
            </w:pPr>
            <w:r>
              <w:rPr>
                <w:rFonts w:ascii="Arial" w:cs="Arial" w:eastAsia="Arial" w:hAnsi="Arial"/>
                <w:sz w:val="12"/>
                <w:szCs w:val="12"/>
                <w:color w:val="auto"/>
              </w:rPr>
              <w:t>Liability at beginning of the period</w:t>
            </w:r>
          </w:p>
        </w:tc>
        <w:tc>
          <w:tcPr>
            <w:tcW w:w="160" w:type="dxa"/>
            <w:vAlign w:val="bottom"/>
          </w:tcPr>
          <w:p>
            <w:pPr>
              <w:spacing w:after="0"/>
              <w:rPr>
                <w:sz w:val="12"/>
                <w:szCs w:val="12"/>
                <w:color w:val="auto"/>
              </w:rPr>
            </w:pPr>
          </w:p>
        </w:tc>
        <w:tc>
          <w:tcPr>
            <w:tcW w:w="2040" w:type="dxa"/>
            <w:vAlign w:val="bottom"/>
            <w:gridSpan w:val="2"/>
          </w:tcPr>
          <w:p>
            <w:pPr>
              <w:ind w:left="100"/>
              <w:spacing w:after="0"/>
              <w:rPr>
                <w:sz w:val="20"/>
                <w:szCs w:val="20"/>
                <w:color w:val="auto"/>
              </w:rPr>
            </w:pPr>
            <w:r>
              <w:rPr>
                <w:rFonts w:ascii="Arial" w:cs="Arial" w:eastAsia="Arial" w:hAnsi="Arial"/>
                <w:sz w:val="12"/>
                <w:szCs w:val="12"/>
                <w:color w:val="auto"/>
              </w:rPr>
              <w:t>Increase in fair value of Contingent</w:t>
            </w:r>
          </w:p>
        </w:tc>
        <w:tc>
          <w:tcPr>
            <w:tcW w:w="340" w:type="dxa"/>
            <w:vAlign w:val="bottom"/>
          </w:tcPr>
          <w:p>
            <w:pPr>
              <w:spacing w:after="0"/>
              <w:rPr>
                <w:sz w:val="12"/>
                <w:szCs w:val="12"/>
                <w:color w:val="auto"/>
              </w:rPr>
            </w:pPr>
          </w:p>
        </w:tc>
        <w:tc>
          <w:tcPr>
            <w:tcW w:w="1860" w:type="dxa"/>
            <w:vAlign w:val="bottom"/>
          </w:tcPr>
          <w:p>
            <w:pPr>
              <w:jc w:val="right"/>
              <w:ind w:right="260"/>
              <w:spacing w:after="0"/>
              <w:rPr>
                <w:sz w:val="20"/>
                <w:szCs w:val="20"/>
                <w:color w:val="auto"/>
              </w:rPr>
            </w:pPr>
            <w:r>
              <w:rPr>
                <w:rFonts w:ascii="Arial" w:cs="Arial" w:eastAsia="Arial" w:hAnsi="Arial"/>
                <w:sz w:val="12"/>
                <w:szCs w:val="12"/>
                <w:color w:val="auto"/>
              </w:rPr>
              <w:t>Liability at end of the period</w:t>
            </w:r>
          </w:p>
        </w:tc>
        <w:tc>
          <w:tcPr>
            <w:tcW w:w="80" w:type="dxa"/>
            <w:vAlign w:val="bottom"/>
          </w:tcPr>
          <w:p>
            <w:pPr>
              <w:spacing w:after="0"/>
              <w:rPr>
                <w:sz w:val="12"/>
                <w:szCs w:val="12"/>
                <w:color w:val="auto"/>
              </w:rPr>
            </w:pPr>
          </w:p>
        </w:tc>
      </w:tr>
      <w:tr>
        <w:trPr>
          <w:trHeight w:val="162"/>
        </w:trPr>
        <w:tc>
          <w:tcPr>
            <w:tcW w:w="4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Consideration</w:t>
            </w: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shd w:val="clear" w:color="auto" w:fill="CCEEFF"/>
              </w:rPr>
              <w:t>Six months ended June 30, 2017</w:t>
            </w:r>
          </w:p>
        </w:tc>
        <w:tc>
          <w:tcPr>
            <w:tcW w:w="46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rPr>
              <w:t>9,065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2"/>
                <w:szCs w:val="12"/>
                <w:color w:val="auto"/>
              </w:rPr>
              <w:t>949</w:t>
            </w:r>
          </w:p>
        </w:tc>
        <w:tc>
          <w:tcPr>
            <w:tcW w:w="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10,014</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71"/>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Six months ended June 30, 2018</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10,424</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1340"/>
              <w:spacing w:after="0"/>
              <w:rPr>
                <w:sz w:val="20"/>
                <w:szCs w:val="20"/>
                <w:color w:val="auto"/>
              </w:rPr>
            </w:pPr>
            <w:r>
              <w:rPr>
                <w:rFonts w:ascii="Arial" w:cs="Arial" w:eastAsia="Arial" w:hAnsi="Arial"/>
                <w:sz w:val="12"/>
                <w:szCs w:val="12"/>
                <w:color w:val="auto"/>
              </w:rPr>
              <w:t>(655)</w:t>
            </w: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9,769</w:t>
            </w:r>
          </w:p>
        </w:tc>
        <w:tc>
          <w:tcPr>
            <w:tcW w:w="80" w:type="dxa"/>
            <w:vAlign w:val="bottom"/>
            <w:tcBorders>
              <w:bottom w:val="single" w:sz="8" w:color="auto"/>
            </w:tcBorders>
          </w:tcPr>
          <w:p>
            <w:pPr>
              <w:spacing w:after="0"/>
              <w:rPr>
                <w:sz w:val="14"/>
                <w:szCs w:val="14"/>
                <w:color w:val="auto"/>
              </w:rPr>
            </w:pPr>
          </w:p>
        </w:tc>
      </w:tr>
      <w:tr>
        <w:trPr>
          <w:trHeight w:val="376"/>
        </w:trPr>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jc w:val="right"/>
              <w:ind w:right="1100"/>
              <w:spacing w:after="0"/>
              <w:rPr>
                <w:sz w:val="20"/>
                <w:szCs w:val="20"/>
                <w:color w:val="auto"/>
              </w:rPr>
            </w:pPr>
            <w:r>
              <w:rPr>
                <w:rFonts w:ascii="Arial" w:cs="Arial" w:eastAsia="Arial" w:hAnsi="Arial"/>
                <w:sz w:val="12"/>
                <w:szCs w:val="12"/>
                <w:color w:val="auto"/>
              </w:rPr>
              <w:t>F- 7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Equity method investment</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 xml:space="preserve">We account for our investment in associated companies in accordance with ASC 323, </w:t>
      </w:r>
      <w:r>
        <w:rPr>
          <w:rFonts w:ascii="Arial" w:cs="Arial" w:eastAsia="Arial" w:hAnsi="Arial"/>
          <w:sz w:val="12"/>
          <w:szCs w:val="12"/>
          <w:i w:val="1"/>
          <w:iCs w:val="1"/>
          <w:color w:val="auto"/>
        </w:rPr>
        <w:t>Investments - Equity Method and Joint Ventures</w:t>
      </w:r>
      <w:r>
        <w:rPr>
          <w:rFonts w:ascii="Arial" w:cs="Arial" w:eastAsia="Arial" w:hAnsi="Arial"/>
          <w:sz w:val="12"/>
          <w:szCs w:val="12"/>
          <w:color w:val="auto"/>
        </w:rPr>
        <w:t>. In accordance with ASC 323, associated companies are accounted for as equity method investments. Results of associated companies are presented on a one-line basis. Investments in, and advances to, associated companies are presented on a one-line basis in the caption “Investment in Genevant” in our Consolidated Balance Sheet, net of allowance for losses, which represents our best estimate of probable losses inherent in such assets. The Company's proportionate share of the associated company's net income or loss is presented on a one-line basis in the caption "Gain (loss) on Investment in our Consolidated Statement of Operations and Comprehensive Loss. Transactions between the Company and the associated company are eliminated on a basis proportional to the Company's ownership interest. Financial results of Genevant are recorded on a one-quarter lag basis.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5"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new revenue standard (Accounting Standards Codification “ASC" 606) became effective for the Company on January 1, 2018, and was adopted using the modified retrospective method under which previously presented financial statements are not restated and the cumulative effect of adopting the new revenue standard on contracts in process is recognized by an adjustment to retained earnings at the effective date. The adoption of the new revenue standard did not change the Company’s recognized revenue under its ongoing significant collaborative research and license agreements and no cumulative effect adjustment was required.</w:t>
      </w:r>
    </w:p>
    <w:p>
      <w:pPr>
        <w:spacing w:after="0" w:line="10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new guidance in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23" w:lineRule="exact"/>
        <w:rPr>
          <w:sz w:val="20"/>
          <w:szCs w:val="20"/>
          <w:color w:val="auto"/>
        </w:rPr>
      </w:pPr>
    </w:p>
    <w:p>
      <w:pPr>
        <w:ind w:right="440"/>
        <w:spacing w:after="0" w:line="380" w:lineRule="auto"/>
        <w:rPr>
          <w:sz w:val="20"/>
          <w:szCs w:val="20"/>
          <w:color w:val="auto"/>
        </w:rPr>
      </w:pPr>
      <w:r>
        <w:rPr>
          <w:rFonts w:ascii="Arial" w:cs="Arial" w:eastAsia="Arial" w:hAnsi="Arial"/>
          <w:sz w:val="10"/>
          <w:szCs w:val="10"/>
          <w:color w:val="auto"/>
        </w:rPr>
        <w:t>The Company generates revenue primarily through collaboration agreements. Such agreements may require the Company to deliver various rights and/or services, including intellectual property rights or licenses and research and development services. Under such collaboration agreements, the Company is generally eligible to receive non-refundable upfront payments, funding for research and development services, milestone payments, and royalties.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126" w:lineRule="exact"/>
        <w:rPr>
          <w:sz w:val="20"/>
          <w:szCs w:val="20"/>
          <w:color w:val="auto"/>
        </w:rPr>
      </w:pPr>
    </w:p>
    <w:p>
      <w:pPr>
        <w:ind w:right="260"/>
        <w:spacing w:after="0" w:line="340" w:lineRule="auto"/>
        <w:rPr>
          <w:sz w:val="20"/>
          <w:szCs w:val="20"/>
          <w:color w:val="auto"/>
        </w:rPr>
      </w:pPr>
      <w:r>
        <w:rPr>
          <w:rFonts w:ascii="Arial" w:cs="Arial" w:eastAsia="Arial" w:hAnsi="Arial"/>
          <w:sz w:val="10"/>
          <w:szCs w:val="10"/>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F- 8</w:t>
      </w:r>
    </w:p>
    <w:p>
      <w:pPr>
        <w:sectPr>
          <w:pgSz w:w="11900" w:h="16838" w:orient="portrait"/>
          <w:cols w:equalWidth="0" w:num="1">
            <w:col w:w="11400"/>
          </w:cols>
          <w:pgMar w:left="220" w:top="581" w:right="279" w:bottom="1440" w:gutter="0" w:footer="0" w:header="0"/>
        </w:sectPr>
      </w:pPr>
    </w:p>
    <w:bookmarkStart w:id="11" w:name="page12"/>
    <w:bookmarkEnd w:id="11"/>
    <w:p>
      <w:pPr>
        <w:ind w:left="8" w:right="40"/>
        <w:spacing w:after="0" w:line="259" w:lineRule="auto"/>
        <w:rPr>
          <w:sz w:val="20"/>
          <w:szCs w:val="20"/>
          <w:color w:val="auto"/>
        </w:rPr>
      </w:pPr>
      <w:r>
        <w:rPr>
          <w:rFonts w:ascii="Arial" w:cs="Arial" w:eastAsia="Arial" w:hAnsi="Arial"/>
          <w:sz w:val="12"/>
          <w:szCs w:val="12"/>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2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August 2016, the FASB issued ASU No. 2016-15, Statement of Cash Flows (Topic 230): Classification of Certain Cash Receipts and Cash Payments. The new standard clarifies certain aspects of the statement of cash flows, and aims to reduce diversity in practice regarding how certain transactions are classified in the statement of cash flows. This standard was effective January 1, 2018. The Company adopted ASU No. 2016-15 in the first quarter of 2018. The adoption of this guidance did not have a material impact on the Company's financial position and results of operations.</w:t>
      </w:r>
    </w:p>
    <w:p>
      <w:pPr>
        <w:spacing w:after="0" w:line="123"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In October 2016 the FASB issued ASU No. 2016-16, Income Taxes (Topic 740): Intra-Entity Transfer of Assets Other Than Inventory. This new standard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 The Company adopted ASU No. 2016-16 in the first quarter of 2018. The adoption of this guidance did not have a material impact on the Company's financial position and results of operations.</w:t>
      </w:r>
    </w:p>
    <w:p>
      <w:pPr>
        <w:spacing w:after="0" w:line="123"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color w:val="auto"/>
        </w:rPr>
        <w:t>In November 2016, the FASB issued a new standard that clarifies how entities should present restricted cash in the statement of cash flows. Under the new standard, changes in total cash, inclusive of restricted cash, should be reflected in the statement of cash flows. As a result, transfers between cash and restricted cash will no longer be reflected as activity within the statement of cash flows. The Company adopted the new standard on January 1, 2018. The adoption of this standard did not have a material impact on the Company's condensed consolidated statements of cash flows.</w:t>
      </w:r>
    </w:p>
    <w:p>
      <w:pPr>
        <w:spacing w:after="0" w:line="123" w:lineRule="exact"/>
        <w:rPr>
          <w:sz w:val="20"/>
          <w:szCs w:val="20"/>
          <w:color w:val="auto"/>
        </w:rPr>
      </w:pPr>
    </w:p>
    <w:p>
      <w:pPr>
        <w:ind w:left="8" w:right="360"/>
        <w:spacing w:after="0" w:line="298" w:lineRule="auto"/>
        <w:rPr>
          <w:sz w:val="20"/>
          <w:szCs w:val="20"/>
          <w:color w:val="auto"/>
        </w:rPr>
      </w:pPr>
      <w:r>
        <w:rPr>
          <w:rFonts w:ascii="Arial" w:cs="Arial" w:eastAsia="Arial" w:hAnsi="Arial"/>
          <w:sz w:val="11"/>
          <w:szCs w:val="11"/>
          <w:color w:val="auto"/>
        </w:rPr>
        <w:t>In June 2018, the FASB issued ASU 2018-07, Compensation-Stock Compensation (Topic 718), Improvements to Nonemployee Share-Based Payment Accounting. The amendments in this Update provide guidance about aligning nonemployee and employee share-based payment accounting. The amendments in this Update are effective for all entities for annual periods, and interim periods within those annual periods, beginning after December 15, 2018. The Company early adopted the new standard as of January 1, 2018. The adoption of this standard did not have a material impact on the Company's financial position and results of operations.</w:t>
      </w:r>
    </w:p>
    <w:p>
      <w:pPr>
        <w:spacing w:after="0" w:line="390" w:lineRule="exact"/>
        <w:rPr>
          <w:sz w:val="20"/>
          <w:szCs w:val="20"/>
          <w:color w:val="auto"/>
        </w:rPr>
      </w:pPr>
    </w:p>
    <w:p>
      <w:pPr>
        <w:ind w:left="268" w:hanging="268"/>
        <w:spacing w:after="0"/>
        <w:tabs>
          <w:tab w:leader="none" w:pos="26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Equity method investment</w:t>
      </w:r>
    </w:p>
    <w:p>
      <w:pPr>
        <w:spacing w:after="0" w:line="154"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On April 11, 2018, the Company entered into an agreement with Roivant Sciences ("Roivant") to launch Genevant Sciences ("Genevant"), a jointly-owned company focused on the discovery, development, and commercialization of a broad range of RNA-based therapeutics enabled by Arbutus' proprietary lipid nanoparticle ("LNP") and ligand conjugate delivery technologies.</w:t>
      </w:r>
    </w:p>
    <w:p>
      <w:pPr>
        <w:spacing w:after="0" w:line="115" w:lineRule="exact"/>
        <w:rPr>
          <w:sz w:val="20"/>
          <w:szCs w:val="20"/>
          <w:color w:val="auto"/>
        </w:rPr>
      </w:pPr>
    </w:p>
    <w:p>
      <w:pPr>
        <w:ind w:left="8" w:right="140"/>
        <w:spacing w:after="0" w:line="290" w:lineRule="auto"/>
        <w:rPr>
          <w:sz w:val="20"/>
          <w:szCs w:val="20"/>
          <w:color w:val="auto"/>
        </w:rPr>
      </w:pPr>
      <w:r>
        <w:rPr>
          <w:rFonts w:ascii="Arial" w:cs="Arial" w:eastAsia="Arial" w:hAnsi="Arial"/>
          <w:sz w:val="11"/>
          <w:szCs w:val="11"/>
          <w:color w:val="auto"/>
        </w:rPr>
        <w:t>Under the terms of the agreement, the Company has contributed a license to the delivery technologies, and fixed assets with a carrying value of $600,000. The contributed license provides Genevant with exclusive rights to the LNP and ligand conjugate delivery platforms for RNA-based applications outside of HBV. Roivant contributed $37,500,000 in transaction-related seed capital for Genevant, consisting of an initial capital contribution of $22,500,000 and a subsequent investment of $15,000,000 at a pre-determined, stepped-up valuation. The Company retains all rights to the LNP and conjugate delivery platforms for HBV, and is entitled to a tiered low single-digit royalty from Genevant on future sales of products enabled by those delivery platforms. The Company also retains the entirety of its royalty entitlement on the commercialization of Alnylam's patisiran.</w:t>
      </w:r>
    </w:p>
    <w:p>
      <w:pPr>
        <w:spacing w:after="0" w:line="34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F- 9</w:t>
      </w:r>
    </w:p>
    <w:p>
      <w:pPr>
        <w:sectPr>
          <w:pgSz w:w="11900" w:h="16838" w:orient="portrait"/>
          <w:cols w:equalWidth="0" w:num="1">
            <w:col w:w="11468"/>
          </w:cols>
          <w:pgMar w:left="212" w:top="437" w:right="219" w:bottom="1440" w:gutter="0" w:footer="0" w:header="0"/>
        </w:sectPr>
      </w:pPr>
    </w:p>
    <w:bookmarkStart w:id="12" w:name="page13"/>
    <w:bookmarkEnd w:id="12"/>
    <w:p>
      <w:pPr>
        <w:jc w:val="both"/>
        <w:ind w:left="8" w:right="100"/>
        <w:spacing w:after="0" w:line="298" w:lineRule="auto"/>
        <w:rPr>
          <w:sz w:val="20"/>
          <w:szCs w:val="20"/>
          <w:color w:val="auto"/>
        </w:rPr>
      </w:pPr>
      <w:r>
        <w:rPr>
          <w:rFonts w:ascii="Arial" w:cs="Arial" w:eastAsia="Arial" w:hAnsi="Arial"/>
          <w:sz w:val="11"/>
          <w:szCs w:val="11"/>
          <w:color w:val="auto"/>
        </w:rPr>
        <w:t>The Company determined that since the agreement stipulates that significant decisions relating to the management of Genevant must be shared between the Principal Shareholders (being the Company and Roivant), the Company does not control Genevant but does exercise significant influence over it and, will therefore, account for its investment in Genevant using the equity method. On April 11, 2018, the Company and Roivant each received a 50% ownership interest in Genevant. As a result of the subsequent investment in Genevant completed in June 2018 by Roivant and other parties, the Company owned 41% of the common equity of Genevant as at June 30, 2018.</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allocated $1,893,000 of goodwill to Genevant based upon the relative fair value of Genevant to the Company as at April 11, 2018.</w:t>
      </w:r>
    </w:p>
    <w:p>
      <w:pPr>
        <w:spacing w:after="0" w:line="150"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As a result of the contribution of assets and goodwill to Genevant in exchange for its equity interest, the Company recorded a gain of $24,884,000 in the Consolidated Statement of Operations and Comprehensive Loss. The fair value of equity in Genevant received by the Company was based on a valuation performed by external valuation experts.</w:t>
      </w:r>
    </w:p>
    <w:p>
      <w:pPr>
        <w:spacing w:after="0" w:line="187"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The following table illustrates the changes in the Equity investment balance and the Gain on investment recorded in the Consolidated Statement of Operations and Comprehensive Income (Loss) for the three months ended June 30,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135890</wp:posOffset>
            </wp:positionV>
            <wp:extent cx="34715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5715"/>
                    </a:xfrm>
                    <a:prstGeom prst="rect">
                      <a:avLst/>
                    </a:prstGeom>
                    <a:noFill/>
                  </pic:spPr>
                </pic:pic>
              </a:graphicData>
            </a:graphic>
          </wp:anchor>
        </w:drawing>
      </w:r>
    </w:p>
    <w:p>
      <w:pPr>
        <w:spacing w:after="0" w:line="208" w:lineRule="exact"/>
        <w:rPr>
          <w:sz w:val="20"/>
          <w:szCs w:val="20"/>
          <w:color w:val="auto"/>
        </w:rPr>
      </w:pPr>
    </w:p>
    <w:p>
      <w:pPr>
        <w:ind w:left="6388"/>
        <w:spacing w:after="0"/>
        <w:rPr>
          <w:sz w:val="20"/>
          <w:szCs w:val="20"/>
          <w:color w:val="auto"/>
        </w:rPr>
      </w:pPr>
      <w:r>
        <w:rPr>
          <w:rFonts w:ascii="Arial" w:cs="Arial" w:eastAsia="Arial" w:hAnsi="Arial"/>
          <w:sz w:val="12"/>
          <w:szCs w:val="12"/>
          <w:b w:val="1"/>
          <w:bCs w:val="1"/>
          <w:color w:val="auto"/>
        </w:rPr>
        <w:t>Three months ended June 30, 2018</w:t>
      </w:r>
    </w:p>
    <w:p>
      <w:pPr>
        <w:spacing w:after="0" w:line="19" w:lineRule="exact"/>
        <w:rPr>
          <w:sz w:val="20"/>
          <w:szCs w:val="20"/>
          <w:color w:val="auto"/>
        </w:rPr>
      </w:pPr>
    </w:p>
    <w:tbl>
      <w:tblPr>
        <w:tblLayout w:type="fixed"/>
        <w:tblInd w:w="3008" w:type="dxa"/>
        <w:tblCellMar>
          <w:top w:w="0" w:type="dxa"/>
          <w:left w:w="0" w:type="dxa"/>
          <w:bottom w:w="0" w:type="dxa"/>
          <w:right w:w="0" w:type="dxa"/>
        </w:tblCellMar>
      </w:tblPr>
      <w:tr>
        <w:trPr>
          <w:trHeight w:val="178"/>
        </w:trPr>
        <w:tc>
          <w:tcPr>
            <w:tcW w:w="28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0"/>
              </w:rPr>
              <w:t>Equity investment</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Gain on investment</w:t>
            </w: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in Genevant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27,377</w:t>
            </w:r>
          </w:p>
        </w:tc>
      </w:tr>
      <w:tr>
        <w:trPr>
          <w:trHeight w:val="171"/>
        </w:trPr>
        <w:tc>
          <w:tcPr>
            <w:tcW w:w="2860" w:type="dxa"/>
            <w:vAlign w:val="bottom"/>
          </w:tcPr>
          <w:p>
            <w:pPr>
              <w:ind w:left="20"/>
              <w:spacing w:after="0"/>
              <w:rPr>
                <w:sz w:val="20"/>
                <w:szCs w:val="20"/>
                <w:color w:val="auto"/>
              </w:rPr>
            </w:pPr>
            <w:r>
              <w:rPr>
                <w:rFonts w:ascii="Arial" w:cs="Arial" w:eastAsia="Arial" w:hAnsi="Arial"/>
                <w:sz w:val="12"/>
                <w:szCs w:val="12"/>
                <w:color w:val="auto"/>
                <w:w w:val="97"/>
              </w:rPr>
              <w:t>Net book value of fixed assets transferred to Genevant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(600)</w:t>
            </w: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allocated to Genevant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(1,893)</w:t>
            </w:r>
          </w:p>
        </w:tc>
      </w:tr>
      <w:tr>
        <w:trPr>
          <w:trHeight w:val="171"/>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based compensation expense</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As at June 30, 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24,884</w:t>
            </w:r>
          </w:p>
        </w:tc>
      </w:tr>
    </w:tbl>
    <w:p>
      <w:pPr>
        <w:spacing w:after="0" w:line="200" w:lineRule="exact"/>
        <w:rPr>
          <w:sz w:val="20"/>
          <w:szCs w:val="20"/>
          <w:color w:val="auto"/>
        </w:rPr>
      </w:pPr>
    </w:p>
    <w:p>
      <w:pPr>
        <w:spacing w:after="0" w:line="364" w:lineRule="exact"/>
        <w:rPr>
          <w:sz w:val="20"/>
          <w:szCs w:val="20"/>
          <w:color w:val="auto"/>
        </w:rPr>
      </w:pPr>
    </w:p>
    <w:p>
      <w:pPr>
        <w:ind w:left="268" w:hanging="268"/>
        <w:spacing w:after="0"/>
        <w:tabs>
          <w:tab w:leader="none" w:pos="26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 and goodwill</w:t>
      </w:r>
    </w:p>
    <w:p>
      <w:pPr>
        <w:spacing w:after="0" w:line="208" w:lineRule="exact"/>
        <w:rPr>
          <w:sz w:val="20"/>
          <w:szCs w:val="20"/>
          <w:color w:val="auto"/>
        </w:rPr>
      </w:pPr>
    </w:p>
    <w:p>
      <w:pPr>
        <w:jc w:val="both"/>
        <w:ind w:left="8" w:right="120"/>
        <w:spacing w:after="0" w:line="298" w:lineRule="auto"/>
        <w:rPr>
          <w:sz w:val="20"/>
          <w:szCs w:val="20"/>
          <w:color w:val="auto"/>
        </w:rPr>
      </w:pPr>
      <w:r>
        <w:rPr>
          <w:rFonts w:ascii="Arial" w:cs="Arial" w:eastAsia="Arial" w:hAnsi="Arial"/>
          <w:sz w:val="11"/>
          <w:szCs w:val="11"/>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carrying values of the intangible assets as at June 30, 2018:</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4300" w:type="dxa"/>
            <w:vAlign w:val="bottom"/>
            <w:tcBorders>
              <w:top w:val="single" w:sz="8" w:color="auto"/>
              <w:bottom w:val="single" w:sz="8" w:color="auto"/>
            </w:tcBorders>
          </w:tcPr>
          <w:p>
            <w:pPr>
              <w:spacing w:after="0"/>
              <w:rPr>
                <w:sz w:val="15"/>
                <w:szCs w:val="15"/>
                <w:color w:val="auto"/>
              </w:rPr>
            </w:pPr>
          </w:p>
        </w:tc>
        <w:tc>
          <w:tcPr>
            <w:tcW w:w="35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June 30, 2018</w:t>
            </w:r>
          </w:p>
        </w:tc>
        <w:tc>
          <w:tcPr>
            <w:tcW w:w="6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2017</w:t>
            </w:r>
          </w:p>
        </w:tc>
      </w:tr>
      <w:tr>
        <w:trPr>
          <w:trHeight w:val="178"/>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IPR&amp;D – Immune Modulators</w:t>
            </w:r>
          </w:p>
        </w:tc>
        <w:tc>
          <w:tcPr>
            <w:tcW w:w="3540" w:type="dxa"/>
            <w:vAlign w:val="bottom"/>
            <w:shd w:val="clear" w:color="auto" w:fill="CCEEFF"/>
          </w:tcPr>
          <w:p>
            <w:pPr>
              <w:jc w:val="right"/>
              <w:ind w:right="580"/>
              <w:spacing w:after="0"/>
              <w:rPr>
                <w:sz w:val="20"/>
                <w:szCs w:val="20"/>
                <w:color w:val="auto"/>
              </w:rPr>
            </w:pPr>
            <w:r>
              <w:rPr>
                <w:rFonts w:ascii="Arial" w:cs="Arial" w:eastAsia="Arial" w:hAnsi="Arial"/>
                <w:sz w:val="12"/>
                <w:szCs w:val="12"/>
                <w:b w:val="1"/>
                <w:bCs w:val="1"/>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300" w:type="dxa"/>
            <w:vAlign w:val="bottom"/>
          </w:tcPr>
          <w:p>
            <w:pPr>
              <w:ind w:left="20"/>
              <w:spacing w:after="0"/>
              <w:rPr>
                <w:sz w:val="20"/>
                <w:szCs w:val="20"/>
                <w:color w:val="auto"/>
              </w:rPr>
            </w:pPr>
            <w:r>
              <w:rPr>
                <w:rFonts w:ascii="Arial" w:cs="Arial" w:eastAsia="Arial" w:hAnsi="Arial"/>
                <w:sz w:val="12"/>
                <w:szCs w:val="12"/>
                <w:color w:val="auto"/>
              </w:rPr>
              <w:t>IPR&amp;D – Antigen Inhibitors</w:t>
            </w:r>
          </w:p>
        </w:tc>
        <w:tc>
          <w:tcPr>
            <w:tcW w:w="354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b w:val="1"/>
                <w:bCs w:val="1"/>
                <w:color w:val="auto"/>
              </w:rPr>
              <w:t>14,811</w:t>
            </w:r>
          </w:p>
        </w:tc>
        <w:tc>
          <w:tcPr>
            <w:tcW w:w="640" w:type="dxa"/>
            <w:vAlign w:val="bottom"/>
          </w:tcPr>
          <w:p>
            <w:pPr>
              <w:spacing w:after="0"/>
              <w:rPr>
                <w:sz w:val="14"/>
                <w:szCs w:val="14"/>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14,811</w:t>
            </w:r>
          </w:p>
        </w:tc>
      </w:tr>
      <w:tr>
        <w:trPr>
          <w:trHeight w:val="18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IPR&amp;D – cccDNA Sterilizers</w:t>
            </w:r>
          </w:p>
        </w:tc>
        <w:tc>
          <w:tcPr>
            <w:tcW w:w="35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43,836</w:t>
            </w:r>
          </w:p>
        </w:tc>
        <w:tc>
          <w:tcPr>
            <w:tcW w:w="6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43,836</w:t>
            </w:r>
          </w:p>
        </w:tc>
      </w:tr>
      <w:tr>
        <w:trPr>
          <w:trHeight w:val="169"/>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Intangible Assets</w:t>
            </w:r>
          </w:p>
        </w:tc>
        <w:tc>
          <w:tcPr>
            <w:tcW w:w="35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58,647</w:t>
            </w: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58,647</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Impairment evaluation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June 30, 2018, the Company did not identify any indicators of impairment. No impairment charge on intangible assets or goodwill was recorded for the period ended June 30, 2018 (three and six months ended June 30, 2017 - nil).</w:t>
      </w:r>
    </w:p>
    <w:p>
      <w:pPr>
        <w:spacing w:after="0" w:line="162"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In the three months ended June 30, 2018, the Company allocated $1,893,000 of goodwill to its investment in Genevant based upon the relative fair value of Genevant to the Company as at April 11, 2018 (see note 3 above), as a result of which the carrying value of goodwill decreased by this same amount.</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F- 10</w:t>
      </w:r>
    </w:p>
    <w:p>
      <w:pPr>
        <w:sectPr>
          <w:pgSz w:w="11900" w:h="16838" w:orient="portrait"/>
          <w:cols w:equalWidth="0" w:num="1">
            <w:col w:w="11488"/>
          </w:cols>
          <w:pgMar w:left="212" w:top="437" w:right="199" w:bottom="1440" w:gutter="0" w:footer="0" w:header="0"/>
        </w:sectPr>
      </w:pPr>
    </w:p>
    <w:bookmarkStart w:id="13" w:name="page14"/>
    <w:bookmarkEnd w:id="13"/>
    <w:p>
      <w:pPr>
        <w:ind w:left="268" w:hanging="268"/>
        <w:spacing w:after="0"/>
        <w:tabs>
          <w:tab w:leader="none" w:pos="26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Collaborations, contracts and licensing agreements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 forth revenue recognized under collaborations, contracts and licensing agreements, in thousands:</w:t>
      </w: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47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22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Three months ended June 30,</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Six months ended June 30,</w:t>
            </w:r>
          </w:p>
        </w:tc>
        <w:tc>
          <w:tcPr>
            <w:tcW w:w="680" w:type="dxa"/>
            <w:vAlign w:val="bottom"/>
            <w:tcBorders>
              <w:top w:val="single" w:sz="8" w:color="auto"/>
              <w:bottom w:val="single" w:sz="8" w:color="auto"/>
            </w:tcBorders>
          </w:tcPr>
          <w:p>
            <w:pPr>
              <w:spacing w:after="0"/>
              <w:rPr>
                <w:sz w:val="15"/>
                <w:szCs w:val="15"/>
                <w:color w:val="auto"/>
              </w:rPr>
            </w:pPr>
          </w:p>
        </w:tc>
      </w:tr>
      <w:tr>
        <w:trPr>
          <w:trHeight w:val="169"/>
        </w:trPr>
        <w:tc>
          <w:tcPr>
            <w:tcW w:w="47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2018</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2017</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2017</w:t>
            </w:r>
          </w:p>
        </w:tc>
      </w:tr>
      <w:tr>
        <w:trPr>
          <w:trHeight w:val="17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Alexion (a)</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0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318</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10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336</w:t>
            </w: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Gritstone (b)</w:t>
            </w:r>
          </w:p>
        </w:tc>
        <w:tc>
          <w:tcPr>
            <w:tcW w:w="500" w:type="dxa"/>
            <w:vAlign w:val="bottom"/>
          </w:tcPr>
          <w:p>
            <w:pPr>
              <w:spacing w:after="0"/>
              <w:rPr>
                <w:sz w:val="14"/>
                <w:szCs w:val="14"/>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rPr>
              <w:t>937</w:t>
            </w:r>
          </w:p>
        </w:tc>
        <w:tc>
          <w:tcPr>
            <w:tcW w:w="108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b w:val="1"/>
                <w:bCs w:val="1"/>
                <w:color w:val="auto"/>
              </w:rPr>
              <w:t>2,087</w:t>
            </w:r>
          </w:p>
        </w:tc>
        <w:tc>
          <w:tcPr>
            <w:tcW w:w="102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Department of Defense ("DoD") (c)</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263</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263</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4700" w:type="dxa"/>
            <w:vAlign w:val="bottom"/>
          </w:tcPr>
          <w:p>
            <w:pPr>
              <w:ind w:left="20"/>
              <w:spacing w:after="0"/>
              <w:rPr>
                <w:sz w:val="20"/>
                <w:szCs w:val="20"/>
                <w:color w:val="auto"/>
              </w:rPr>
            </w:pPr>
            <w:r>
              <w:rPr>
                <w:rFonts w:ascii="Arial" w:cs="Arial" w:eastAsia="Arial" w:hAnsi="Arial"/>
                <w:sz w:val="12"/>
                <w:szCs w:val="12"/>
                <w:color w:val="auto"/>
              </w:rPr>
              <w:t>Other milestone and royalty payments</w:t>
            </w:r>
          </w:p>
        </w:tc>
        <w:tc>
          <w:tcPr>
            <w:tcW w:w="50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rPr>
              <w:t>44</w:t>
            </w:r>
          </w:p>
        </w:tc>
        <w:tc>
          <w:tcPr>
            <w:tcW w:w="1080" w:type="dxa"/>
            <w:vAlign w:val="bottom"/>
          </w:tcPr>
          <w:p>
            <w:pPr>
              <w:spacing w:after="0"/>
              <w:rPr>
                <w:sz w:val="12"/>
                <w:szCs w:val="12"/>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721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b w:val="1"/>
                <w:bCs w:val="1"/>
                <w:color w:val="auto"/>
              </w:rPr>
              <w:t>330</w:t>
            </w:r>
          </w:p>
        </w:tc>
        <w:tc>
          <w:tcPr>
            <w:tcW w:w="1020" w:type="dxa"/>
            <w:vAlign w:val="bottom"/>
          </w:tcPr>
          <w:p>
            <w:pPr>
              <w:spacing w:after="0"/>
              <w:rPr>
                <w:sz w:val="12"/>
                <w:szCs w:val="12"/>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938</w:t>
            </w:r>
          </w:p>
        </w:tc>
      </w:tr>
      <w:tr>
        <w:trPr>
          <w:trHeight w:val="27"/>
        </w:trPr>
        <w:tc>
          <w:tcPr>
            <w:tcW w:w="4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7"/>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revenue</w:t>
            </w: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1,244</w:t>
            </w:r>
          </w:p>
        </w:tc>
        <w:tc>
          <w:tcPr>
            <w:tcW w:w="108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1,039</w:t>
            </w:r>
          </w:p>
        </w:tc>
        <w:tc>
          <w:tcPr>
            <w:tcW w:w="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2,680</w:t>
            </w:r>
          </w:p>
        </w:tc>
        <w:tc>
          <w:tcPr>
            <w:tcW w:w="10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1,274</w:t>
            </w:r>
          </w:p>
        </w:tc>
      </w:tr>
    </w:tbl>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The following table sets forth deferred collaborations and contracts revenue:</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90"/>
        </w:trPr>
        <w:tc>
          <w:tcPr>
            <w:tcW w:w="5460" w:type="dxa"/>
            <w:vAlign w:val="bottom"/>
            <w:tcBorders>
              <w:bottom w:val="single" w:sz="8" w:color="646464"/>
            </w:tcBorders>
          </w:tcPr>
          <w:p>
            <w:pPr>
              <w:spacing w:after="0"/>
              <w:rPr>
                <w:sz w:val="7"/>
                <w:szCs w:val="7"/>
                <w:color w:val="auto"/>
              </w:rPr>
            </w:pPr>
          </w:p>
        </w:tc>
        <w:tc>
          <w:tcPr>
            <w:tcW w:w="2440" w:type="dxa"/>
            <w:vAlign w:val="bottom"/>
            <w:tcBorders>
              <w:bottom w:val="single" w:sz="8" w:color="646464"/>
            </w:tcBorders>
          </w:tcPr>
          <w:p>
            <w:pPr>
              <w:spacing w:after="0"/>
              <w:rPr>
                <w:sz w:val="7"/>
                <w:szCs w:val="7"/>
                <w:color w:val="auto"/>
              </w:rPr>
            </w:pPr>
          </w:p>
        </w:tc>
        <w:tc>
          <w:tcPr>
            <w:tcW w:w="1420" w:type="dxa"/>
            <w:vAlign w:val="bottom"/>
            <w:tcBorders>
              <w:bottom w:val="single" w:sz="8" w:color="646464"/>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646464"/>
            </w:tcBorders>
          </w:tcPr>
          <w:p>
            <w:pPr>
              <w:spacing w:after="0"/>
              <w:rPr>
                <w:sz w:val="7"/>
                <w:szCs w:val="7"/>
                <w:color w:val="auto"/>
              </w:rPr>
            </w:pPr>
          </w:p>
        </w:tc>
        <w:tc>
          <w:tcPr>
            <w:tcW w:w="1520" w:type="dxa"/>
            <w:vAlign w:val="bottom"/>
            <w:tcBorders>
              <w:bottom w:val="single" w:sz="8" w:color="646464"/>
            </w:tcBorders>
          </w:tcPr>
          <w:p>
            <w:pPr>
              <w:spacing w:after="0"/>
              <w:rPr>
                <w:sz w:val="7"/>
                <w:szCs w:val="7"/>
                <w:color w:val="auto"/>
              </w:rPr>
            </w:pPr>
          </w:p>
        </w:tc>
      </w:tr>
      <w:tr>
        <w:trPr>
          <w:trHeight w:val="160"/>
        </w:trPr>
        <w:tc>
          <w:tcPr>
            <w:tcW w:w="54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600"/>
              <w:spacing w:after="0"/>
              <w:rPr>
                <w:sz w:val="20"/>
                <w:szCs w:val="20"/>
                <w:color w:val="auto"/>
              </w:rPr>
            </w:pPr>
            <w:r>
              <w:rPr>
                <w:rFonts w:ascii="Arial" w:cs="Arial" w:eastAsia="Arial" w:hAnsi="Arial"/>
                <w:sz w:val="12"/>
                <w:szCs w:val="12"/>
                <w:b w:val="1"/>
                <w:bCs w:val="1"/>
                <w:color w:val="auto"/>
              </w:rPr>
              <w:t>June 30, 2018</w:t>
            </w: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2017</w:t>
            </w:r>
          </w:p>
        </w:tc>
      </w:tr>
      <w:tr>
        <w:trPr>
          <w:trHeight w:val="178"/>
        </w:trPr>
        <w:tc>
          <w:tcPr>
            <w:tcW w:w="5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Gritstone (b)</w:t>
            </w:r>
          </w:p>
        </w:tc>
        <w:tc>
          <w:tcPr>
            <w:tcW w:w="2440" w:type="dxa"/>
            <w:vAlign w:val="bottom"/>
            <w:shd w:val="clear" w:color="auto" w:fill="CCEEFF"/>
          </w:tcPr>
          <w:p>
            <w:pPr>
              <w:jc w:val="right"/>
              <w:ind w:right="520"/>
              <w:spacing w:after="0"/>
              <w:rPr>
                <w:sz w:val="20"/>
                <w:szCs w:val="20"/>
                <w:color w:val="auto"/>
              </w:rPr>
            </w:pPr>
            <w:r>
              <w:rPr>
                <w:rFonts w:ascii="Arial" w:cs="Arial" w:eastAsia="Arial" w:hAnsi="Arial"/>
                <w:sz w:val="12"/>
                <w:szCs w:val="12"/>
                <w:b w:val="1"/>
                <w:bCs w:val="1"/>
                <w:color w:val="auto"/>
              </w:rPr>
              <w:t>$</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974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2,727</w:t>
            </w:r>
          </w:p>
        </w:tc>
      </w:tr>
      <w:tr>
        <w:trPr>
          <w:trHeight w:val="171"/>
        </w:trPr>
        <w:tc>
          <w:tcPr>
            <w:tcW w:w="5460" w:type="dxa"/>
            <w:vAlign w:val="bottom"/>
          </w:tcPr>
          <w:p>
            <w:pPr>
              <w:ind w:left="20"/>
              <w:spacing w:after="0"/>
              <w:rPr>
                <w:sz w:val="20"/>
                <w:szCs w:val="20"/>
                <w:color w:val="auto"/>
              </w:rPr>
            </w:pPr>
            <w:r>
              <w:rPr>
                <w:rFonts w:ascii="Arial" w:cs="Arial" w:eastAsia="Arial" w:hAnsi="Arial"/>
                <w:sz w:val="12"/>
                <w:szCs w:val="12"/>
                <w:color w:val="auto"/>
              </w:rPr>
              <w:t>Department of Defense ("DoD") (c)</w:t>
            </w:r>
          </w:p>
        </w:tc>
        <w:tc>
          <w:tcPr>
            <w:tcW w:w="244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15</w:t>
            </w:r>
          </w:p>
        </w:tc>
      </w:tr>
      <w:tr>
        <w:trPr>
          <w:trHeight w:val="18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Deferred revenue, current portion</w:t>
            </w:r>
          </w:p>
        </w:tc>
        <w:tc>
          <w:tcPr>
            <w:tcW w:w="2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974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2,742</w:t>
            </w:r>
          </w:p>
        </w:tc>
      </w:tr>
      <w:tr>
        <w:trPr>
          <w:trHeight w:val="17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deferred revenue</w:t>
            </w:r>
          </w:p>
        </w:tc>
        <w:tc>
          <w:tcPr>
            <w:tcW w:w="24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974</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2,742</w:t>
            </w:r>
          </w:p>
        </w:tc>
      </w:tr>
    </w:tbl>
    <w:p>
      <w:pPr>
        <w:spacing w:after="0" w:line="131" w:lineRule="exact"/>
        <w:rPr>
          <w:sz w:val="20"/>
          <w:szCs w:val="20"/>
          <w:color w:val="auto"/>
        </w:rPr>
      </w:pPr>
    </w:p>
    <w:p>
      <w:pPr>
        <w:ind w:left="328" w:hanging="328"/>
        <w:spacing w:after="0"/>
        <w:tabs>
          <w:tab w:leader="none" w:pos="32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License Agreement with Alexion Pharmaceuticals, Inc. ("Alexion")</w:t>
      </w:r>
    </w:p>
    <w:p>
      <w:pPr>
        <w:spacing w:after="0" w:line="154" w:lineRule="exact"/>
        <w:rPr>
          <w:sz w:val="20"/>
          <w:szCs w:val="20"/>
          <w:color w:val="auto"/>
        </w:rPr>
      </w:pPr>
    </w:p>
    <w:p>
      <w:pPr>
        <w:ind w:left="8" w:right="80"/>
        <w:spacing w:after="0" w:line="263" w:lineRule="auto"/>
        <w:rPr>
          <w:sz w:val="20"/>
          <w:szCs w:val="20"/>
          <w:color w:val="auto"/>
        </w:rPr>
      </w:pPr>
      <w:r>
        <w:rPr>
          <w:rFonts w:ascii="Arial" w:cs="Arial" w:eastAsia="Arial" w:hAnsi="Arial"/>
          <w:sz w:val="12"/>
          <w:szCs w:val="12"/>
          <w:color w:val="auto"/>
        </w:rPr>
        <w:t>On March 16, 2017, the Company signed a license agreement with Alexion that entitles Alexion to research, develop, manufacture, and commercialize products with the Company's lipid nanoparticle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23"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recorded the remaining deferred revenue balance, as well as any revenue and costs related to closeout procedures in the statement of operations and comprehensive loss for the period ended September 30, 2017.</w:t>
      </w:r>
    </w:p>
    <w:p>
      <w:pPr>
        <w:spacing w:after="0" w:line="119"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License agreement with Gritstone</w:t>
      </w:r>
    </w:p>
    <w:p>
      <w:pPr>
        <w:spacing w:after="0" w:line="154" w:lineRule="exact"/>
        <w:rPr>
          <w:sz w:val="20"/>
          <w:szCs w:val="20"/>
          <w:color w:val="auto"/>
        </w:rPr>
      </w:pPr>
    </w:p>
    <w:p>
      <w:pPr>
        <w:ind w:left="8" w:right="220"/>
        <w:spacing w:after="0" w:line="298" w:lineRule="auto"/>
        <w:rPr>
          <w:sz w:val="20"/>
          <w:szCs w:val="20"/>
          <w:color w:val="auto"/>
        </w:rPr>
      </w:pPr>
      <w:r>
        <w:rPr>
          <w:rFonts w:ascii="Arial" w:cs="Arial" w:eastAsia="Arial" w:hAnsi="Arial"/>
          <w:sz w:val="11"/>
          <w:szCs w:val="11"/>
          <w:color w:val="auto"/>
        </w:rPr>
        <w:t>On October 16, 2017, the Company entered into a license agreement with Gritstone that entitles Gritstone to research, develop, manufacture and commercialize products with the Company’s LNP technology. The Company received an upfront payment in November 2017, and is eligible to receive future potential payments including research services, development and commercial milestone payments and royalty payments on future product sales. As a result of the Company's agreement with Genevant (see note 3 for details), from April 11, 2018 going forward Genevant is entitled to 50% of the revenues earned by the Company from Gritstone.</w:t>
      </w:r>
    </w:p>
    <w:p>
      <w:pPr>
        <w:spacing w:after="0" w:line="105"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The Company determined the promised goods and services under the Agreements included the rights and license granted, involvement in the joint steering committee, and other services provided, as determined under the research plan. The license and involvement in the joint steering committee have been determined by the Company to be distinct. Therefore, these promised goods and services are treated as one performance obligation and recognized as revenue over the performance period as the Company transfers the technical "know-how" for the customized formulations.</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F- 11</w:t>
      </w:r>
    </w:p>
    <w:p>
      <w:pPr>
        <w:sectPr>
          <w:pgSz w:w="11900" w:h="16838" w:orient="portrait"/>
          <w:cols w:equalWidth="0" w:num="1">
            <w:col w:w="11488"/>
          </w:cols>
          <w:pgMar w:left="212" w:top="721" w:right="199" w:bottom="1440" w:gutter="0" w:footer="0" w:header="0"/>
        </w:sectPr>
      </w:pPr>
    </w:p>
    <w:bookmarkStart w:id="14" w:name="page15"/>
    <w:bookmarkEnd w:id="14"/>
    <w:p>
      <w:pPr>
        <w:ind w:left="8" w:right="120"/>
        <w:spacing w:after="0" w:line="276" w:lineRule="auto"/>
        <w:rPr>
          <w:sz w:val="20"/>
          <w:szCs w:val="20"/>
          <w:color w:val="auto"/>
        </w:rPr>
      </w:pPr>
      <w:r>
        <w:rPr>
          <w:rFonts w:ascii="Arial" w:cs="Arial" w:eastAsia="Arial" w:hAnsi="Arial"/>
          <w:sz w:val="12"/>
          <w:szCs w:val="12"/>
          <w:color w:val="auto"/>
        </w:rPr>
        <w:t>The Company has determined that other materials and services provided have standalone value. The relative fair values are estimated upon the execution of each activity and charged at rates comparable to market with embedded margins on each service activity.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 Department of Defense ("DoD")</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July 14, 2010, the Company signed a contract with the DoD to advance TKM-Ebola, an RNAi therapeutic utilizing the Company’s lipid nanoparticle technology to treat Ebola virus infection. The contract work completed in 2015.</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Contract close out procedures were finalized in the three months ended June 30, 2018 and resulted in additional revenue of $263,000 being recognized.</w:t>
      </w:r>
    </w:p>
    <w:p>
      <w:pPr>
        <w:spacing w:after="0" w:line="2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Share capital</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Series A participating convertible preferred shares ("Preferred Shares")</w:t>
      </w:r>
    </w:p>
    <w:p>
      <w:pPr>
        <w:spacing w:after="0" w:line="154" w:lineRule="exact"/>
        <w:rPr>
          <w:sz w:val="20"/>
          <w:szCs w:val="20"/>
          <w:color w:val="auto"/>
        </w:rPr>
      </w:pPr>
    </w:p>
    <w:p>
      <w:pPr>
        <w:ind w:left="8" w:right="160"/>
        <w:spacing w:after="0" w:line="305" w:lineRule="auto"/>
        <w:rPr>
          <w:sz w:val="20"/>
          <w:szCs w:val="20"/>
          <w:color w:val="auto"/>
        </w:rPr>
      </w:pPr>
      <w:r>
        <w:rPr>
          <w:rFonts w:ascii="Arial" w:cs="Arial" w:eastAsia="Arial" w:hAnsi="Arial"/>
          <w:sz w:val="10"/>
          <w:szCs w:val="10"/>
          <w:color w:val="auto"/>
        </w:rPr>
        <w:t>On October 2, 2017, the Company announced that it entered into a subscription agreement with Roivant for the sale of Preferred Shares to Roivant for gross proceeds of $116,400,000. The Preferred Shares are non-voting and are convertible into common shares at a conversion price of $7.13 per share. The purchase price for the Preferred Shares plus an amount equal to 8.75% per annum, compounded annually,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October 2, 2017, Roivant would hold 49.90% of the Company's common shares. Roivant has agreed to</w:t>
      </w:r>
    </w:p>
    <w:p>
      <w:pPr>
        <w:spacing w:after="0" w:line="1" w:lineRule="exact"/>
        <w:rPr>
          <w:sz w:val="20"/>
          <w:szCs w:val="20"/>
          <w:color w:val="auto"/>
        </w:rPr>
      </w:pPr>
    </w:p>
    <w:p>
      <w:pPr>
        <w:ind w:left="8" w:right="320"/>
        <w:spacing w:after="0" w:line="261" w:lineRule="auto"/>
        <w:rPr>
          <w:sz w:val="20"/>
          <w:szCs w:val="20"/>
          <w:color w:val="auto"/>
        </w:rPr>
      </w:pPr>
      <w:r>
        <w:rPr>
          <w:rFonts w:ascii="Arial" w:cs="Arial" w:eastAsia="Arial" w:hAnsi="Arial"/>
          <w:sz w:val="12"/>
          <w:szCs w:val="12"/>
          <w:color w:val="auto"/>
        </w:rPr>
        <w:t>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initial investment of $50,000,000 closed on October 16, 2017, and the remaining amount of $66,400,000 closed on January 12, 2018 following regulatory and shareholder approvals.</w:t>
      </w:r>
    </w:p>
    <w:p>
      <w:pPr>
        <w:spacing w:after="0" w:line="150"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The Company records the Preferred Shares wholly as equity under ASC 480,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191" w:lineRule="exact"/>
        <w:rPr>
          <w:sz w:val="20"/>
          <w:szCs w:val="20"/>
          <w:color w:val="auto"/>
        </w:rPr>
      </w:pPr>
    </w:p>
    <w:p>
      <w:pPr>
        <w:ind w:left="268" w:hanging="268"/>
        <w:spacing w:after="0"/>
        <w:tabs>
          <w:tab w:leader="none" w:pos="26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Accounts payable and accrued liabilities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Accounts payable and accrued liabilities are comprised of the following, in thousands:</w:t>
      </w: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3660" w:type="dxa"/>
            <w:vAlign w:val="bottom"/>
            <w:tcBorders>
              <w:top w:val="single" w:sz="8" w:color="auto"/>
              <w:bottom w:val="single" w:sz="8" w:color="auto"/>
            </w:tcBorders>
          </w:tcPr>
          <w:p>
            <w:pPr>
              <w:spacing w:after="0"/>
              <w:rPr>
                <w:sz w:val="15"/>
                <w:szCs w:val="15"/>
                <w:color w:val="auto"/>
              </w:rPr>
            </w:pPr>
          </w:p>
        </w:tc>
        <w:tc>
          <w:tcPr>
            <w:tcW w:w="4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June 30, 2018</w:t>
            </w:r>
          </w:p>
        </w:tc>
        <w:tc>
          <w:tcPr>
            <w:tcW w:w="5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December 31, 2017</w:t>
            </w:r>
          </w:p>
        </w:tc>
      </w:tr>
      <w:tr>
        <w:trPr>
          <w:trHeight w:val="178"/>
        </w:trPr>
        <w:tc>
          <w:tcPr>
            <w:tcW w:w="3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Trade accounts payable</w:t>
            </w:r>
          </w:p>
        </w:tc>
        <w:tc>
          <w:tcPr>
            <w:tcW w:w="4420" w:type="dxa"/>
            <w:vAlign w:val="bottom"/>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3,208</w:t>
            </w:r>
          </w:p>
        </w:tc>
        <w:tc>
          <w:tcPr>
            <w:tcW w:w="5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1,987</w:t>
            </w:r>
          </w:p>
        </w:tc>
      </w:tr>
      <w:tr>
        <w:trPr>
          <w:trHeight w:val="171"/>
        </w:trPr>
        <w:tc>
          <w:tcPr>
            <w:tcW w:w="3660" w:type="dxa"/>
            <w:vAlign w:val="bottom"/>
          </w:tcPr>
          <w:p>
            <w:pPr>
              <w:ind w:left="20"/>
              <w:spacing w:after="0"/>
              <w:rPr>
                <w:sz w:val="20"/>
                <w:szCs w:val="20"/>
                <w:color w:val="auto"/>
              </w:rPr>
            </w:pPr>
            <w:r>
              <w:rPr>
                <w:rFonts w:ascii="Arial" w:cs="Arial" w:eastAsia="Arial" w:hAnsi="Arial"/>
                <w:sz w:val="12"/>
                <w:szCs w:val="12"/>
                <w:color w:val="auto"/>
              </w:rPr>
              <w:t>Research and development accruals</w:t>
            </w:r>
          </w:p>
        </w:tc>
        <w:tc>
          <w:tcPr>
            <w:tcW w:w="4420" w:type="dxa"/>
            <w:vAlign w:val="bottom"/>
          </w:tcPr>
          <w:p>
            <w:pPr>
              <w:spacing w:after="0"/>
              <w:rPr>
                <w:sz w:val="14"/>
                <w:szCs w:val="14"/>
                <w:color w:val="auto"/>
              </w:rPr>
            </w:pPr>
          </w:p>
        </w:tc>
        <w:tc>
          <w:tcPr>
            <w:tcW w:w="1360" w:type="dxa"/>
            <w:vAlign w:val="bottom"/>
          </w:tcPr>
          <w:p>
            <w:pPr>
              <w:jc w:val="right"/>
              <w:ind w:right="80"/>
              <w:spacing w:after="0"/>
              <w:rPr>
                <w:sz w:val="20"/>
                <w:szCs w:val="20"/>
                <w:color w:val="auto"/>
              </w:rPr>
            </w:pPr>
            <w:r>
              <w:rPr>
                <w:rFonts w:ascii="Arial" w:cs="Arial" w:eastAsia="Arial" w:hAnsi="Arial"/>
                <w:sz w:val="12"/>
                <w:szCs w:val="12"/>
                <w:b w:val="1"/>
                <w:bCs w:val="1"/>
                <w:color w:val="auto"/>
              </w:rPr>
              <w:t>3,369</w:t>
            </w:r>
          </w:p>
        </w:tc>
        <w:tc>
          <w:tcPr>
            <w:tcW w:w="58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4,937</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Professional fee accruals</w:t>
            </w:r>
          </w:p>
        </w:tc>
        <w:tc>
          <w:tcPr>
            <w:tcW w:w="4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393</w:t>
            </w:r>
          </w:p>
        </w:tc>
        <w:tc>
          <w:tcPr>
            <w:tcW w:w="5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429</w:t>
            </w:r>
          </w:p>
        </w:tc>
      </w:tr>
      <w:tr>
        <w:trPr>
          <w:trHeight w:val="171"/>
        </w:trPr>
        <w:tc>
          <w:tcPr>
            <w:tcW w:w="3660" w:type="dxa"/>
            <w:vAlign w:val="bottom"/>
          </w:tcPr>
          <w:p>
            <w:pPr>
              <w:ind w:left="20"/>
              <w:spacing w:after="0"/>
              <w:rPr>
                <w:sz w:val="20"/>
                <w:szCs w:val="20"/>
                <w:color w:val="auto"/>
              </w:rPr>
            </w:pPr>
            <w:r>
              <w:rPr>
                <w:rFonts w:ascii="Arial" w:cs="Arial" w:eastAsia="Arial" w:hAnsi="Arial"/>
                <w:sz w:val="12"/>
                <w:szCs w:val="12"/>
                <w:color w:val="auto"/>
              </w:rPr>
              <w:t>Deferred lease inducements</w:t>
            </w:r>
          </w:p>
        </w:tc>
        <w:tc>
          <w:tcPr>
            <w:tcW w:w="4420" w:type="dxa"/>
            <w:vAlign w:val="bottom"/>
          </w:tcPr>
          <w:p>
            <w:pPr>
              <w:spacing w:after="0"/>
              <w:rPr>
                <w:sz w:val="14"/>
                <w:szCs w:val="14"/>
                <w:color w:val="auto"/>
              </w:rPr>
            </w:pPr>
          </w:p>
        </w:tc>
        <w:tc>
          <w:tcPr>
            <w:tcW w:w="1360" w:type="dxa"/>
            <w:vAlign w:val="bottom"/>
          </w:tcPr>
          <w:p>
            <w:pPr>
              <w:jc w:val="right"/>
              <w:ind w:right="80"/>
              <w:spacing w:after="0"/>
              <w:rPr>
                <w:sz w:val="20"/>
                <w:szCs w:val="20"/>
                <w:color w:val="auto"/>
              </w:rPr>
            </w:pPr>
            <w:r>
              <w:rPr>
                <w:rFonts w:ascii="Arial" w:cs="Arial" w:eastAsia="Arial" w:hAnsi="Arial"/>
                <w:sz w:val="12"/>
                <w:szCs w:val="12"/>
                <w:b w:val="1"/>
                <w:bCs w:val="1"/>
                <w:color w:val="auto"/>
              </w:rPr>
              <w:t>13</w:t>
            </w:r>
          </w:p>
        </w:tc>
        <w:tc>
          <w:tcPr>
            <w:tcW w:w="58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42</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Payroll accruals</w:t>
            </w:r>
          </w:p>
        </w:tc>
        <w:tc>
          <w:tcPr>
            <w:tcW w:w="4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342</w:t>
            </w:r>
          </w:p>
        </w:tc>
        <w:tc>
          <w:tcPr>
            <w:tcW w:w="5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2,893</w:t>
            </w:r>
          </w:p>
        </w:tc>
      </w:tr>
      <w:tr>
        <w:trPr>
          <w:trHeight w:val="17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accrued liabilities</w:t>
            </w:r>
          </w:p>
        </w:tc>
        <w:tc>
          <w:tcPr>
            <w:tcW w:w="4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60</w:t>
            </w: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358</w:t>
            </w:r>
          </w:p>
        </w:tc>
      </w:tr>
      <w:tr>
        <w:trPr>
          <w:trHeight w:val="169"/>
        </w:trPr>
        <w:tc>
          <w:tcPr>
            <w:tcW w:w="366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7,385</w:t>
            </w:r>
          </w:p>
        </w:tc>
        <w:tc>
          <w:tcPr>
            <w:tcW w:w="5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10,646</w:t>
            </w:r>
          </w:p>
        </w:tc>
      </w:tr>
      <w:tr>
        <w:trPr>
          <w:trHeight w:val="520"/>
        </w:trPr>
        <w:tc>
          <w:tcPr>
            <w:tcW w:w="3660" w:type="dxa"/>
            <w:vAlign w:val="bottom"/>
          </w:tcPr>
          <w:p>
            <w:pPr>
              <w:spacing w:after="0"/>
              <w:rPr>
                <w:sz w:val="24"/>
                <w:szCs w:val="24"/>
                <w:color w:val="auto"/>
              </w:rPr>
            </w:pPr>
          </w:p>
        </w:tc>
        <w:tc>
          <w:tcPr>
            <w:tcW w:w="4420" w:type="dxa"/>
            <w:vAlign w:val="bottom"/>
          </w:tcPr>
          <w:p>
            <w:pPr>
              <w:jc w:val="right"/>
              <w:ind w:right="2160"/>
              <w:spacing w:after="0"/>
              <w:rPr>
                <w:sz w:val="20"/>
                <w:szCs w:val="20"/>
                <w:color w:val="auto"/>
              </w:rPr>
            </w:pPr>
            <w:r>
              <w:rPr>
                <w:rFonts w:ascii="Arial" w:cs="Arial" w:eastAsia="Arial" w:hAnsi="Arial"/>
                <w:sz w:val="12"/>
                <w:szCs w:val="12"/>
                <w:color w:val="auto"/>
              </w:rPr>
              <w:t>F- 12</w:t>
            </w: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8"/>
          </w:cols>
          <w:pgMar w:left="212" w:top="437" w:right="199" w:bottom="1440" w:gutter="0" w:footer="0" w:header="0"/>
        </w:sectPr>
      </w:pPr>
    </w:p>
    <w:bookmarkStart w:id="15" w:name="page16"/>
    <w:bookmarkEnd w:id="15"/>
    <w:p>
      <w:pPr>
        <w:ind w:left="248" w:hanging="248"/>
        <w:spacing w:after="0"/>
        <w:tabs>
          <w:tab w:leader="none" w:pos="24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Loan payable</w:t>
      </w:r>
    </w:p>
    <w:p>
      <w:pPr>
        <w:spacing w:after="0" w:line="154"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On December 27, 2016, the Company obtained a three-year loan of $12,001,000 from Wells Fargo in the form of a promissory note for the purpose of financing its operations, including the expansion of laboratory facilities for its U.S. operations. The loan accrued interest daily. The variable component is the one-month London Interbank Offered Rate (LIBOR), and a margin of 1.25% per annum. The carrying value of the loan is recorded at the principal plus any accrued interest not yet paid. The loan was due on December 27, 2019.</w:t>
      </w:r>
    </w:p>
    <w:p>
      <w:pPr>
        <w:spacing w:after="0" w:line="123"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The loan was secured by the Company's cash of $12,601,000, that is restricted from use until the loan has been settled in full. The Company invested the restricted cash in a two-year fixed certificate of deposit with Wells Fargo (see note 2).</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March 2018, the Company repaid the loan and accrued interest in full, resulting in the release of $12,601,000 from restricted cash to short-term investments on the Company's balance sheet.</w:t>
      </w:r>
    </w:p>
    <w:p>
      <w:pPr>
        <w:spacing w:after="0" w:line="218"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Site consolidation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February 8, 2018, the Company announced a site consolidation and organizational restructuring to align its HBV business in Warminster, PA, by reducing its global workforce by approximately 35% and by closing its Burnaby facility.</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March 2018, the Company began executing its site consolidation plan and began to incur related costs.</w:t>
      </w:r>
    </w:p>
    <w:p>
      <w:pPr>
        <w:spacing w:after="0" w:line="141" w:lineRule="exact"/>
        <w:rPr>
          <w:sz w:val="20"/>
          <w:szCs w:val="20"/>
          <w:color w:val="auto"/>
        </w:rPr>
      </w:pPr>
    </w:p>
    <w:p>
      <w:pPr>
        <w:ind w:left="8" w:right="40"/>
        <w:spacing w:after="0" w:line="257" w:lineRule="auto"/>
        <w:rPr>
          <w:sz w:val="20"/>
          <w:szCs w:val="20"/>
          <w:color w:val="auto"/>
        </w:rPr>
      </w:pPr>
      <w:r>
        <w:rPr>
          <w:rFonts w:ascii="Arial" w:cs="Arial" w:eastAsia="Arial" w:hAnsi="Arial"/>
          <w:sz w:val="12"/>
          <w:szCs w:val="12"/>
          <w:color w:val="auto"/>
        </w:rPr>
        <w:t>The Company estimates that the total expenses to complete the site consolidation will be approximately $5,000,000. Included in the site consolidation plan is the payment of one-time employee termination benefits, employee relocation costs, and site closure costs, which were primarily paid in cash in the second quarter of 2018. In addition, as of June 30, 2018 the Company has ceased to use its Burnaby facility. The Company has entered into a sublease with its equity investee, Genevant (refer to note 3) for a portion of its facility and will attempt to further sublease the remaining space. The Company does not expect the subleasing income to completely cover the costs under the head lease, to which the Company remains the primary obligor. Therefore, the Company has recognized the remaining committed cost, less sublease income currently under contract, in site consolidation expenses in the income statement during the three months ended June 30, 2018.</w:t>
      </w:r>
    </w:p>
    <w:p>
      <w:pPr>
        <w:spacing w:after="0" w:line="126"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 xml:space="preserve">The Company accounts for site consolidation expense in accordance with ASC 420, </w:t>
      </w:r>
      <w:r>
        <w:rPr>
          <w:rFonts w:ascii="Arial" w:cs="Arial" w:eastAsia="Arial" w:hAnsi="Arial"/>
          <w:sz w:val="11"/>
          <w:szCs w:val="11"/>
          <w:i w:val="1"/>
          <w:iCs w:val="1"/>
          <w:color w:val="auto"/>
        </w:rPr>
        <w:t>Exit or Disposal Cost Obligations</w:t>
      </w:r>
      <w:r>
        <w:rPr>
          <w:rFonts w:ascii="Arial" w:cs="Arial" w:eastAsia="Arial" w:hAnsi="Arial"/>
          <w:sz w:val="11"/>
          <w:szCs w:val="11"/>
          <w:color w:val="auto"/>
        </w:rPr>
        <w:t>. ASC 420 specifies 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rateably over the future service period.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expenses recorded in the three and six months ended June 30, 2018 and the liability as at June 30, 2018, in thousands:</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 of expense</w:t>
            </w:r>
          </w:p>
        </w:tc>
        <w:tc>
          <w:tcPr>
            <w:tcW w:w="29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4"/>
              </w:rPr>
              <w:t>Jan 1, 2018 - March 31, 2018</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April 1, 2018 - June 30, 2018</w:t>
            </w: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8"/>
              </w:rPr>
              <w:t>Jan 1, 2018 - June 30, 2018</w:t>
            </w:r>
          </w:p>
        </w:tc>
      </w:tr>
      <w:tr>
        <w:trPr>
          <w:trHeight w:val="178"/>
        </w:trPr>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severance</w:t>
            </w:r>
          </w:p>
        </w:tc>
        <w:tc>
          <w:tcPr>
            <w:tcW w:w="2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1,381</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1,285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2,666</w:t>
            </w:r>
          </w:p>
        </w:tc>
      </w:tr>
      <w:tr>
        <w:trPr>
          <w:trHeight w:val="171"/>
        </w:trPr>
        <w:tc>
          <w:tcPr>
            <w:tcW w:w="3620" w:type="dxa"/>
            <w:vAlign w:val="bottom"/>
          </w:tcPr>
          <w:p>
            <w:pPr>
              <w:ind w:left="20"/>
              <w:spacing w:after="0"/>
              <w:rPr>
                <w:sz w:val="20"/>
                <w:szCs w:val="20"/>
                <w:color w:val="auto"/>
              </w:rPr>
            </w:pPr>
            <w:r>
              <w:rPr>
                <w:rFonts w:ascii="Arial" w:cs="Arial" w:eastAsia="Arial" w:hAnsi="Arial"/>
                <w:sz w:val="12"/>
                <w:szCs w:val="12"/>
                <w:color w:val="auto"/>
              </w:rPr>
              <w:t>Employee relocation</w:t>
            </w:r>
          </w:p>
        </w:tc>
        <w:tc>
          <w:tcPr>
            <w:tcW w:w="2920" w:type="dxa"/>
            <w:vAlign w:val="bottom"/>
          </w:tcPr>
          <w:p>
            <w:pPr>
              <w:spacing w:after="0"/>
              <w:rPr>
                <w:sz w:val="14"/>
                <w:szCs w:val="14"/>
                <w:color w:val="auto"/>
              </w:rPr>
            </w:pPr>
          </w:p>
        </w:tc>
        <w:tc>
          <w:tcPr>
            <w:tcW w:w="1680" w:type="dxa"/>
            <w:vAlign w:val="bottom"/>
          </w:tcPr>
          <w:p>
            <w:pPr>
              <w:jc w:val="right"/>
              <w:ind w:right="20"/>
              <w:spacing w:after="0"/>
              <w:rPr>
                <w:sz w:val="20"/>
                <w:szCs w:val="20"/>
                <w:color w:val="auto"/>
              </w:rPr>
            </w:pPr>
            <w:r>
              <w:rPr>
                <w:rFonts w:ascii="Arial" w:cs="Arial" w:eastAsia="Arial" w:hAnsi="Arial"/>
                <w:sz w:val="12"/>
                <w:szCs w:val="12"/>
                <w:color w:val="auto"/>
              </w:rPr>
              <w:t>240</w:t>
            </w:r>
          </w:p>
        </w:tc>
        <w:tc>
          <w:tcPr>
            <w:tcW w:w="70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295</w:t>
            </w:r>
          </w:p>
        </w:tc>
        <w:tc>
          <w:tcPr>
            <w:tcW w:w="120" w:type="dxa"/>
            <w:vAlign w:val="bottom"/>
          </w:tcPr>
          <w:p>
            <w:pPr>
              <w:spacing w:after="0"/>
              <w:rPr>
                <w:sz w:val="14"/>
                <w:szCs w:val="14"/>
                <w:color w:val="auto"/>
              </w:rPr>
            </w:pPr>
          </w:p>
        </w:tc>
        <w:tc>
          <w:tcPr>
            <w:tcW w:w="1480" w:type="dxa"/>
            <w:vAlign w:val="bottom"/>
          </w:tcPr>
          <w:p>
            <w:pPr>
              <w:jc w:val="right"/>
              <w:ind w:right="40"/>
              <w:spacing w:after="0"/>
              <w:rPr>
                <w:sz w:val="20"/>
                <w:szCs w:val="20"/>
                <w:color w:val="auto"/>
              </w:rPr>
            </w:pPr>
            <w:r>
              <w:rPr>
                <w:rFonts w:ascii="Arial" w:cs="Arial" w:eastAsia="Arial" w:hAnsi="Arial"/>
                <w:sz w:val="12"/>
                <w:szCs w:val="12"/>
                <w:color w:val="auto"/>
              </w:rPr>
              <w:t>535</w:t>
            </w:r>
          </w:p>
        </w:tc>
      </w:tr>
      <w:tr>
        <w:trPr>
          <w:trHeight w:val="180"/>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Lease and facility</w:t>
            </w:r>
          </w:p>
        </w:tc>
        <w:tc>
          <w:tcPr>
            <w:tcW w:w="29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1,001</w:t>
            </w: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1,001</w:t>
            </w:r>
          </w:p>
        </w:tc>
      </w:tr>
      <w:tr>
        <w:trPr>
          <w:trHeight w:val="16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site consolidation expense</w:t>
            </w:r>
          </w:p>
        </w:tc>
        <w:tc>
          <w:tcPr>
            <w:tcW w:w="2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1,621</w:t>
            </w: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2,581</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4,202</w:t>
            </w:r>
          </w:p>
        </w:tc>
      </w:tr>
      <w:tr>
        <w:trPr>
          <w:trHeight w:val="169"/>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Amounts paid during the period</w:t>
            </w:r>
          </w:p>
        </w:tc>
        <w:tc>
          <w:tcPr>
            <w:tcW w:w="29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592</w:t>
            </w:r>
          </w:p>
        </w:tc>
        <w:tc>
          <w:tcPr>
            <w:tcW w:w="7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2,520</w:t>
            </w:r>
          </w:p>
        </w:tc>
        <w:tc>
          <w:tcPr>
            <w:tcW w:w="1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3,112</w:t>
            </w:r>
          </w:p>
        </w:tc>
      </w:tr>
      <w:tr>
        <w:trPr>
          <w:trHeight w:val="16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Accrued at period end</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1,029</w:t>
            </w:r>
          </w:p>
        </w:tc>
        <w:tc>
          <w:tcPr>
            <w:tcW w:w="7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1,090</w:t>
            </w:r>
          </w:p>
        </w:tc>
      </w:tr>
      <w:tr>
        <w:trPr>
          <w:trHeight w:val="592"/>
        </w:trPr>
        <w:tc>
          <w:tcPr>
            <w:tcW w:w="3620" w:type="dxa"/>
            <w:vAlign w:val="bottom"/>
          </w:tcPr>
          <w:p>
            <w:pPr>
              <w:spacing w:after="0"/>
              <w:rPr>
                <w:sz w:val="24"/>
                <w:szCs w:val="24"/>
                <w:color w:val="auto"/>
              </w:rPr>
            </w:pPr>
          </w:p>
        </w:tc>
        <w:tc>
          <w:tcPr>
            <w:tcW w:w="2920" w:type="dxa"/>
            <w:vAlign w:val="bottom"/>
          </w:tcPr>
          <w:p>
            <w:pPr>
              <w:jc w:val="right"/>
              <w:ind w:right="620"/>
              <w:spacing w:after="0"/>
              <w:rPr>
                <w:sz w:val="20"/>
                <w:szCs w:val="20"/>
                <w:color w:val="auto"/>
              </w:rPr>
            </w:pPr>
            <w:r>
              <w:rPr>
                <w:rFonts w:ascii="Arial" w:cs="Arial" w:eastAsia="Arial" w:hAnsi="Arial"/>
                <w:sz w:val="12"/>
                <w:szCs w:val="12"/>
                <w:color w:val="auto"/>
              </w:rPr>
              <w:t>F- 13</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68"/>
          </w:cols>
          <w:pgMar w:left="212" w:top="505" w:right="219" w:bottom="1440" w:gutter="0" w:footer="0" w:header="0"/>
        </w:sectPr>
      </w:pPr>
    </w:p>
    <w:bookmarkStart w:id="16" w:name="page17"/>
    <w:bookmarkEnd w:id="16"/>
    <w:p>
      <w:pPr>
        <w:ind w:left="328" w:hanging="328"/>
        <w:spacing w:after="0"/>
        <w:tabs>
          <w:tab w:leader="none" w:pos="32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Contingencies and commitments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Product development partnership with the Canadian Government</w:t>
      </w:r>
    </w:p>
    <w:p>
      <w:pPr>
        <w:spacing w:after="0" w:line="154" w:lineRule="exact"/>
        <w:rPr>
          <w:sz w:val="20"/>
          <w:szCs w:val="20"/>
          <w:color w:val="auto"/>
        </w:rPr>
      </w:pPr>
    </w:p>
    <w:p>
      <w:pPr>
        <w:ind w:left="8" w:right="40"/>
        <w:spacing w:after="0" w:line="281" w:lineRule="auto"/>
        <w:rPr>
          <w:sz w:val="20"/>
          <w:szCs w:val="20"/>
          <w:color w:val="auto"/>
        </w:rPr>
      </w:pPr>
      <w:r>
        <w:rPr>
          <w:rFonts w:ascii="Arial" w:cs="Arial" w:eastAsia="Arial" w:hAnsi="Arial"/>
          <w:sz w:val="11"/>
          <w:szCs w:val="11"/>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$7,179,000 (C$9,256,000). As at June 30, 2018, a cumulative contribution of $2,871,000 (C$3,702,000) had been received and the Company does not expect any further funding under this agreement. In return for the funding provided by TPC, the Company agreed to pay royalties on the share of future licensing and product revenue, if any, that are received by the Company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For the three months ended June 30, 2018, the Company earned royalties on Marqibo sales in the amount of $41,000 (June 30, 2017 – $65,000) (see note 5(d)), resulting in $1,000 being recorded by the Company as royalty payable to TPC (June 30, 2017 -$3,000). The cumulative amount paid or accrued up to June 30, 2018 was $24,000, therefore the remaining contingent amount due to TPC is $2,782,000 (C$3,702,000).</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Arbitration with the University of British Columbia (“UBC”)</w:t>
      </w:r>
    </w:p>
    <w:p>
      <w:pPr>
        <w:spacing w:after="0" w:line="154" w:lineRule="exact"/>
        <w:rPr>
          <w:sz w:val="20"/>
          <w:szCs w:val="20"/>
          <w:color w:val="auto"/>
        </w:rPr>
      </w:pPr>
    </w:p>
    <w:p>
      <w:pPr>
        <w:ind w:left="8" w:right="160"/>
        <w:spacing w:after="0" w:line="263" w:lineRule="auto"/>
        <w:rPr>
          <w:sz w:val="20"/>
          <w:szCs w:val="20"/>
          <w:color w:val="auto"/>
        </w:rPr>
      </w:pPr>
      <w:r>
        <w:rPr>
          <w:rFonts w:ascii="Arial" w:cs="Arial" w:eastAsia="Arial" w:hAnsi="Arial"/>
          <w:sz w:val="12"/>
          <w:szCs w:val="12"/>
          <w:color w:val="auto"/>
        </w:rPr>
        <w:t>Certain early work on lipid nanoparticle delivery systems and related inventions was undertaken at the Company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 Certain sublicenses to other parties were also granted.</w:t>
      </w:r>
    </w:p>
    <w:p>
      <w:pPr>
        <w:spacing w:after="0" w:line="123" w:lineRule="exact"/>
        <w:rPr>
          <w:sz w:val="20"/>
          <w:szCs w:val="20"/>
          <w:color w:val="auto"/>
        </w:rPr>
      </w:pPr>
    </w:p>
    <w:p>
      <w:pPr>
        <w:ind w:left="8"/>
        <w:spacing w:after="0" w:line="280" w:lineRule="auto"/>
        <w:rPr>
          <w:sz w:val="20"/>
          <w:szCs w:val="20"/>
          <w:color w:val="auto"/>
        </w:rPr>
      </w:pPr>
      <w:r>
        <w:rPr>
          <w:rFonts w:ascii="Arial" w:cs="Arial" w:eastAsia="Arial" w:hAnsi="Arial"/>
          <w:sz w:val="11"/>
          <w:szCs w:val="11"/>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Arbutus alleges UBC wrongly licensed to a third party rather than to Arbutus. The proceedings have been divided into three phases, with a first hearing that took place in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A schedule for the remaining phases has not yet been set. Arbitration and related matters are costly and may divert the attention of the Company’s management and other resources that would otherwise be engaged in other activities. The Company continues to dispute UBC's allegations, and seeks license payments for said application, and an exclusive worldwide license to said application.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2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Contingent consideration from Arbutus Inc. acquisition of Enantigen and License Agreements between Enantigen and the Baruch S. Blumberg Institute (“Blumberg”) and Drexel University (“Drexel”)</w:t>
      </w:r>
    </w:p>
    <w:p>
      <w:pPr>
        <w:spacing w:after="0" w:line="154"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the Company, following the Company’s merger with Arbutus Inc.</w:t>
      </w:r>
    </w:p>
    <w:p>
      <w:pPr>
        <w:spacing w:after="0" w:line="115" w:lineRule="exact"/>
        <w:rPr>
          <w:sz w:val="20"/>
          <w:szCs w:val="20"/>
          <w:color w:val="auto"/>
        </w:rPr>
      </w:pPr>
    </w:p>
    <w:p>
      <w:pPr>
        <w:ind w:left="8" w:right="460"/>
        <w:spacing w:after="0" w:line="323" w:lineRule="auto"/>
        <w:rPr>
          <w:sz w:val="20"/>
          <w:szCs w:val="20"/>
          <w:color w:val="auto"/>
        </w:rPr>
      </w:pPr>
      <w:r>
        <w:rPr>
          <w:rFonts w:ascii="Arial" w:cs="Arial" w:eastAsia="Arial" w:hAnsi="Arial"/>
          <w:sz w:val="11"/>
          <w:szCs w:val="11"/>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which would trigger a $3,000,000 milestone, is the enrollment of the first patient in a Phase 1b clinical trial in HBV patients.</w:t>
      </w:r>
    </w:p>
    <w:p>
      <w:pPr>
        <w:spacing w:after="0" w:line="3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F- 14</w:t>
      </w:r>
    </w:p>
    <w:p>
      <w:pPr>
        <w:sectPr>
          <w:pgSz w:w="11900" w:h="16838" w:orient="portrait"/>
          <w:cols w:equalWidth="0" w:num="1">
            <w:col w:w="11488"/>
          </w:cols>
          <w:pgMar w:left="212" w:top="433" w:right="19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2"/>
          <w:szCs w:val="12"/>
          <w:color w:val="auto"/>
        </w:rPr>
        <w:t>The regulatory, development and sales milestone payments had an initial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2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Blumberg and Drexel</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February 2014, Arbutus Inc. entered into a license agreement with Blumberg and Drexel that granted Arbutus Inc. an exclusive, worldwide, sub-licensable license to three different compound series: cccDNA inhibitors, capsid assembly inhibitors and HCC inhibitors.</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05"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Collaboration and Funding Agreement with Blumberg</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F- 15</w:t>
      </w:r>
    </w:p>
    <w:p>
      <w:pPr>
        <w:sectPr>
          <w:pgSz w:w="11900" w:h="16838" w:orient="portrait"/>
          <w:cols w:equalWidth="0" w:num="1">
            <w:col w:w="11460"/>
          </w:cols>
          <w:pgMar w:left="220" w:top="437" w:right="219" w:bottom="1440" w:gutter="0" w:footer="0" w:header="0"/>
        </w:sectPr>
      </w:pPr>
    </w:p>
    <w:bookmarkStart w:id="18" w:name="page19"/>
    <w:bookmarkEnd w:id="18"/>
    <w:p>
      <w:pPr>
        <w:ind w:left="8" w:right="60"/>
        <w:spacing w:after="0" w:line="298" w:lineRule="auto"/>
        <w:rPr>
          <w:sz w:val="20"/>
          <w:szCs w:val="20"/>
          <w:color w:val="auto"/>
        </w:rPr>
      </w:pPr>
      <w:r>
        <w:rPr>
          <w:rFonts w:ascii="Arial" w:cs="Arial" w:eastAsia="Arial" w:hAnsi="Arial"/>
          <w:sz w:val="11"/>
          <w:szCs w:val="11"/>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01"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Concentrations of credit risk</w:t>
      </w:r>
    </w:p>
    <w:p>
      <w:pPr>
        <w:spacing w:after="0" w:line="154"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does not currently maintain a provision for bad debts as the majority of accounts receivable are from collaborative partners or government agencies and are considered low risk.</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carrying amount of financial assets represents the maximum credit exposure. The maximum exposure to credit risk at June 30, 2018 was the accounts receivable balance of $1,322,000 (December 31, 2017 - $402,000).</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accounts receivable balances were current at June 30, 2018 and at December 31, 2017.</w:t>
      </w:r>
    </w:p>
    <w:p>
      <w:pPr>
        <w:spacing w:after="0" w:line="15" w:lineRule="exact"/>
        <w:rPr>
          <w:sz w:val="20"/>
          <w:szCs w:val="20"/>
          <w:color w:val="auto"/>
        </w:rPr>
      </w:pPr>
    </w:p>
    <w:p>
      <w:pPr>
        <w:ind w:left="328" w:hanging="328"/>
        <w:spacing w:after="0"/>
        <w:tabs>
          <w:tab w:leader="none" w:pos="32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4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During 2018, the Company purchased certain research and development services from Roivant, which are billed at agreed hourly rates and reflective of market rates for such services. The total cost of these services was $0.6 million for the three and six months ended June 30, 2018.</w:t>
      </w:r>
    </w:p>
    <w:p>
      <w:pPr>
        <w:spacing w:after="0" w:line="115" w:lineRule="exact"/>
        <w:rPr>
          <w:sz w:val="20"/>
          <w:szCs w:val="20"/>
          <w:color w:val="auto"/>
        </w:rPr>
      </w:pPr>
    </w:p>
    <w:p>
      <w:pPr>
        <w:jc w:val="both"/>
        <w:ind w:left="8" w:right="220"/>
        <w:spacing w:after="0" w:line="263" w:lineRule="auto"/>
        <w:rPr>
          <w:sz w:val="20"/>
          <w:szCs w:val="20"/>
          <w:color w:val="auto"/>
        </w:rPr>
      </w:pPr>
      <w:r>
        <w:rPr>
          <w:rFonts w:ascii="Arial" w:cs="Arial" w:eastAsia="Arial" w:hAnsi="Arial"/>
          <w:sz w:val="12"/>
          <w:szCs w:val="12"/>
          <w:color w:val="auto"/>
        </w:rPr>
        <w:t>During 2018, the Company purchased certain research and development services from Genevant. These services are billed at agreed hourly rates and reflective of market rates for such services. The total cost of these services was $0.1 million for the three and six months ended June 30, 2018. Conversely, Genevant purchased certain administrative and transitional services from the Company and has a sublease for 17,900 square feet in the Company's Burnaby facility. The total income for these services was $0.2 million for the six months ended June 30, 2018.</w:t>
      </w: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226"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2017 and our unaudited condensed consolidated financial statements for the three and six month periods ended June 30, 2018. Our consolidated financial statements have been prepared in accordance with U.S. generally accepted accounting principles and are presented in U.S. dollars.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jc w:val="both"/>
        <w:ind w:left="8" w:firstLine="432"/>
        <w:spacing w:after="0" w:line="307" w:lineRule="auto"/>
        <w:rPr>
          <w:sz w:val="20"/>
          <w:szCs w:val="20"/>
          <w:color w:val="auto"/>
        </w:rPr>
      </w:pPr>
      <w:r>
        <w:rPr>
          <w:rFonts w:ascii="Arial" w:cs="Arial" w:eastAsia="Arial" w:hAnsi="Arial"/>
          <w:sz w:val="11"/>
          <w:szCs w:val="11"/>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obtaining necessary regulatory approvals; obtaining adequate financing through a combination of financing activities and operations; the payment of one-time employee termination benefits, employee relocation costs, and site closure costs, totalling approximately</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F- 16</w:t>
      </w:r>
    </w:p>
    <w:p>
      <w:pPr>
        <w:sectPr>
          <w:pgSz w:w="11900" w:h="16838" w:orient="portrait"/>
          <w:cols w:equalWidth="0" w:num="1">
            <w:col w:w="11488"/>
          </w:cols>
          <w:pgMar w:left="212" w:top="437" w:right="19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1"/>
          <w:szCs w:val="11"/>
          <w:color w:val="auto"/>
        </w:rPr>
        <w:t>$5,000,000; the expected timing of certain triggering events for payments by Arbutus Inc. related to Enantigen’s programs; the possibility of receiving total milestone payments of up to $18,000,000 on Alocrest and Brakiva; the potential of our LNP platform to provide royalties and significant additional capital to fund development of our many HBV assets; the potential of our drug candidates to improve upon the standard of care and contribute to curative combination treatment regimen; royalty entitlements for an LNP platform drug that may be approved in the second half of 2018 ; developing a suite of products that intervene at different points in the viral life cycle, with the potential to reactivate the host immune system; using preclinical results to adaptively design clinical studies for additional cohorts of patients, testing the combination and the duration of therapy; selecting combination therapy regimens and treatment durations to conduct Phase III clinical trials intended to ultimately support regulatory filings for marketing approval; expanding our HBV drug candidate pipeline through internal development, acquisitions and in-licenses; interim results from a 30-week Phase II study of ARB-1467 in combination with tenofovir and pegylated interferon expected in the second half of 2018, followed by final results in 2019; continuing to focus on rapidly advancing AB-506 into clinical testing before proceeding with additional clinical evaluation of AB-423; dosing of AB-506 in HBV patients later this year, with topline results by mid 2019; the potential of AB-506 to be a 'best-in-class' capsid inhibitor with once-daily dosing; an IND (or equivalent) filing for AB-452 in the third quarter 2018, with subject dosing to follow in the fourth quarter 2018, and the potential for once-daily oral dosing; an IND/CTA filing in 2019 for AB-729; first regulatory approval for patisiran in the second half of 2018; possible low to mid-single-digit royalty payments escalating based on sales performance as Alnylam’s LNP-enabled products, including patisiran, are commercialized; payments from the Gritstone licensing agreement; the expectation for organizational changes to result in increased efficiency, a more flexible variable cost structure, and additional preservation of our cash reserves;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having sufficient cash resources to fund our operations for at least the next 12 months; obtaining funding to maintain and advance our business from a variety of sources including public or private equity or debt financing, collaborative arrangements with pharmaceutical companies and government grants and contracts; and the quantum and timing of potential funding.</w:t>
      </w:r>
    </w:p>
    <w:p>
      <w:pPr>
        <w:spacing w:after="0" w:line="1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HBV infection or other diseases; continued positive results from pre-clinical and clinical trials; the timing and quantum of payments to be received under contracts with our partners; and our financial position and its ability to execute our business strategy. While we consider these assumptions to be reasonable, these assumptions are inherently subject to significant business, economic, competitive, market and social uncertainties and contingencies.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for the year ended December 31, 2017,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F- 17</w:t>
      </w:r>
    </w:p>
    <w:p>
      <w:pPr>
        <w:sectPr>
          <w:pgSz w:w="11900" w:h="16838" w:orient="portrait"/>
          <w:cols w:equalWidth="0" w:num="1">
            <w:col w:w="11480"/>
          </w:cols>
          <w:pgMar w:left="220" w:top="437"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2"/>
          <w:szCs w:val="12"/>
          <w:color w:val="auto"/>
        </w:rPr>
        <w:t>Arbutus Biopharma Corporation ("Arbutus", the "Company", "we", "us", and "our") is a publicly traded (Nasdaq Global Market: ABUS) industry-leading therapeutic solutions company dedicated to discovering, developing, and commercializing a cure for patients suffering from chronic Hepatitis B Virus (HBV) infection. HBV represents a significant, global unmet medical need and is the cause of the most common serious liver infection in the world. The World Health Organization (WHO) estimates that more than 257 million people worldwide are chronically infected (WHO, 2017), and other estimates suggest this could include approximately 2 million people in the United States (Kowdley et al., 2012).</w:t>
      </w:r>
    </w:p>
    <w:p>
      <w:pPr>
        <w:spacing w:after="0" w:line="125"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To pursue our strategy of developing a curative combination regimen for chronic HBV, we have assembled a robust pipeline consisting of multiple drug candidates with differing but complementary mechanisms of action (MOA), each of which have the potential to improve upon the standard of care and contribute to a curative combination treatment regimen. Our pipeline includes agents that have the potential to form a proprietary, orally administered, combination therapy.</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addition to our drug pipeline focused on HBV, we have additional assets that have the potential to provide value to Arbutus. The first is our 41% equity ownership interest in Genevant Sciences (Genevant), a newly created company to which we have licensed Arbutus’ lipid nanoparticle delivery (LNP) platform and conjugate delivery platform (the Delivery Platforms) for all applications except HBV. Secondly, we retain a royalty entitlement on Patisiran, a drug being developed by Alnylam that incorporates our LNP technology and may be approved in the second half of 2018. This royalty entitlement has the potential to provide an active royalty stream or to be otherwise monetized in full or in part. These assets have the potential to provide significant additional non-dilutive capital to fund development of our pipeline of HBV assets.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HBV Product Pipeline</w:t>
      </w:r>
    </w:p>
    <w:p>
      <w:pPr>
        <w:spacing w:after="0" w:line="154"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Our product pipeline is entirely focused on finding a cure for chronic HBV infection, with the objective of developing a suite of products that intervene at different points in the viral life cycle and reactivate the host immune system. We are conducting clinical and preclinical combination studies to evaluate combinations of our proprietary pipeline candidates with HBV SOC therapies and with our own proprietary assets. We expect to use the results from these studies to adaptively design additional clinical studies to test the combination and the duration of therapy in patients. We plan to continue this process to identify a regimen to conduct Phase III clinical trials intended to ultimately support regulatory filings for marketing approval.</w:t>
      </w:r>
    </w:p>
    <w:p>
      <w:pPr>
        <w:spacing w:after="0" w:line="12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broad pipeline of HBV product candidates includes ARB-1467 (RNAi); AB-506 (capsid inhibitor); AB-452 (HBV RNA destabilizer); AB-729 (GalNAc RNAi), and multiple other preclinical agents in development with novel mechanisms of action (MOA).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482975" cy="185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2975"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F- 18</w:t>
      </w:r>
    </w:p>
    <w:p>
      <w:pPr>
        <w:sectPr>
          <w:pgSz w:w="11900" w:h="16838" w:orient="portrait"/>
          <w:cols w:equalWidth="0" w:num="1">
            <w:col w:w="11460"/>
          </w:cols>
          <w:pgMar w:left="220" w:top="289" w:right="219" w:bottom="1440" w:gutter="0" w:footer="0" w:header="0"/>
        </w:sectPr>
      </w:pPr>
    </w:p>
    <w:bookmarkStart w:id="21" w:name="page22"/>
    <w:bookmarkEnd w:id="21"/>
    <w:p>
      <w:pPr>
        <w:ind w:right="240" w:firstLine="432"/>
        <w:spacing w:after="0" w:line="276" w:lineRule="auto"/>
        <w:rPr>
          <w:sz w:val="20"/>
          <w:szCs w:val="20"/>
          <w:color w:val="auto"/>
        </w:rPr>
      </w:pPr>
      <w:r>
        <w:rPr>
          <w:rFonts w:ascii="Arial" w:cs="Arial" w:eastAsia="Arial" w:hAnsi="Arial"/>
          <w:sz w:val="12"/>
          <w:szCs w:val="12"/>
          <w:color w:val="auto"/>
        </w:rPr>
        <w:t>We will continue to expand our HBV pipeline through internal discovery and development and possibly acquisitions and in-licenses. We also have a research collaboration agreement with the Baruch S. Blumberg Institute that provides exclusive rights to in-license any intellectual property generated through the collaboration.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Agents for All-oral combination therapy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Capsid Inhibitors (AB-506 &amp; AB-423)</w:t>
      </w:r>
    </w:p>
    <w:p>
      <w:pPr>
        <w:spacing w:after="0" w:line="240"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HBV core protein, or capsid, is required for viral replication and core protein may have additional roles in cccDNA function. The current standard of care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HBV to replicate is impaired, resulting in reduced cccDNA.</w:t>
      </w:r>
    </w:p>
    <w:p>
      <w:pPr>
        <w:spacing w:after="0" w:line="168" w:lineRule="exact"/>
        <w:rPr>
          <w:sz w:val="20"/>
          <w:szCs w:val="20"/>
          <w:color w:val="auto"/>
        </w:rPr>
      </w:pPr>
    </w:p>
    <w:p>
      <w:pPr>
        <w:ind w:right="540" w:firstLine="432"/>
        <w:spacing w:after="0" w:line="323" w:lineRule="auto"/>
        <w:rPr>
          <w:sz w:val="20"/>
          <w:szCs w:val="20"/>
          <w:color w:val="auto"/>
        </w:rPr>
      </w:pPr>
      <w:r>
        <w:rPr>
          <w:rFonts w:ascii="Arial" w:cs="Arial" w:eastAsia="Arial" w:hAnsi="Arial"/>
          <w:sz w:val="11"/>
          <w:szCs w:val="11"/>
          <w:color w:val="auto"/>
        </w:rPr>
        <w:t>AB-423 was our first-generation capsid inhibitor candidate, which was evaluated in a Phase I SAD and Multiple Ascending Dose (MAD) trial designed to assess the safety, tolerability, and pharmacokinetics (PK) of oral administration of the product in healthy volunteers. AB-423 was well-tolerated with no serious adverse events following single doses up to 800 mg. Multiple doses up to 400 mg twice daily were also well tolerated.</w:t>
      </w:r>
    </w:p>
    <w:p>
      <w:pPr>
        <w:spacing w:after="0" w:line="155"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In addition to AB-423, our capsid inhibitor discovery effort generated promising back-up compounds in 2017, which led to the nomination of a next-generation capsid inhibitor AB-506 for Investigational New Drug (IND)/Clinical Trial Authorization (CTA)-enabling studies. We have received regulatory approval of our submitted CTA in Q2 2018, and have initiated dosing of healthy volunteers, to be followed by dosing in patients in the second half of this year. AB-506 is an orally administered, highly selective capsid inhibitor that has shown striking potency and improved PK in preclinical studies. We presented these preclinical data at AASLD annual meeting in October 2017 in a presentation titled, "Antiviral Characterization of a Next Generation Chemical Series of HBV Capsid Inhibitors In Vitro and In Vivo," which showed potent inhibition of HBV replication and pgRNA encapsidation, an accelerated rate of capsid assembly, and binding to the HBV core protein at the dimer:dimer interface that indicates improved target engagement compared to first generation capsid inhibitors. AB-506 has the potential to be a 'best-in-class' capsid inhibitor based on its favorable drug-like properties and potent inhibition of HBV replication. This molecule has the potential for once-daily oral dosing, making it an ideal candidate for inclusion in a combination regimen.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will continue to focus on rapidly advancing AB-506 through clinical testing before proceeding with additional clinical evaluation of AB-423.</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HBV RNA Destabilizer (AB-452)</w:t>
      </w:r>
    </w:p>
    <w:p>
      <w:pPr>
        <w:spacing w:after="0" w:line="177"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Our most advanced preclinical program is an HBV RNA Destabilizer, AB-452 (formerly known as our oral HBsAg inhibitor program), which has novel activity in destabilizing HBV RNA, broad activity against HBV RNAs, and reduces HBsAg. This molecule has the potential for once daily, oral dosing. We presented preclinical data at AASLD annual meeting in October 2017 in a presentation titled, "Identification and Characterization of AB-452, a Potent Small Molecule HBV RNA Destabilizer In Vitro and In Vivo," which showed that AB-452 has shown synergistic effects when combined with two of our proprietary HBV RNAi agents in vitro. In vivo, twice-a-day oral administration of AB-452 resulted in up to 1.4 log10 reduction of serum HBsAg in a dose dependent manner and correlated well with liver HBV RNA levels. When combined, our capsid inhibitor AB-506 and HBV RNA destabilizer AB-452 show distinct but mechanistically compatible antiviral activities that suggest feasibility of inclusion in a clinical combination regimen. Pending successful completion of IND/CTA-enabling studies, this product candidate could be the subject of an IND/CTA filing in the third quarter of 2018.</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RNAi Agents</w:t>
      </w:r>
    </w:p>
    <w:p>
      <w:pPr>
        <w:spacing w:after="0" w:line="181"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Our RNA interference (RNAi) HBV candidates, ARB-1467 and AB-729, are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F- 19</w:t>
      </w:r>
    </w:p>
    <w:p>
      <w:pPr>
        <w:sectPr>
          <w:pgSz w:w="11900" w:h="16838" w:orient="portrait"/>
          <w:cols w:equalWidth="0" w:num="1">
            <w:col w:w="11480"/>
          </w:cols>
          <w:pgMar w:left="220" w:top="293"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RNAi (ARB-1467)</w:t>
      </w:r>
    </w:p>
    <w:p>
      <w:pPr>
        <w:spacing w:after="0" w:line="17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lead RNAi HBV candidate, 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lower the risk of developing antiviral resistance ARB 1467 was evaluated in a Phase I Single Ascending Dose (SAD) trial designed to assess the safety, tolerability, and pharmacokinetics of intravenous administration of the product in healthy adult subjects. In the Phase I SAD study, dosing healthy volunteer subjects was well tolerated to a dose of 0.4 mg/kg but a maximum tolerated dose was not reached.</w:t>
      </w:r>
    </w:p>
    <w:p>
      <w:pPr>
        <w:spacing w:after="0" w:line="125" w:lineRule="exact"/>
        <w:rPr>
          <w:sz w:val="20"/>
          <w:szCs w:val="20"/>
          <w:color w:val="auto"/>
        </w:rPr>
      </w:pPr>
    </w:p>
    <w:p>
      <w:pPr>
        <w:ind w:right="160" w:firstLine="432"/>
        <w:spacing w:after="0" w:line="290" w:lineRule="auto"/>
        <w:rPr>
          <w:sz w:val="20"/>
          <w:szCs w:val="20"/>
          <w:color w:val="auto"/>
        </w:rPr>
      </w:pPr>
      <w:r>
        <w:rPr>
          <w:rFonts w:ascii="Arial" w:cs="Arial" w:eastAsia="Arial" w:hAnsi="Arial"/>
          <w:sz w:val="11"/>
          <w:szCs w:val="11"/>
          <w:color w:val="auto"/>
        </w:rPr>
        <w:t>The Phase II trial was a multi-dose study in virally suppressed (NA therapy) patients with chronic HBV. The study enrolled 4 cohorts and explored two doses of ARB-1467 (0.2 and 0.4 mg/kg) at two dose frequencies (monthly and bi-weekly) in two patient populations (HBeAg-negative and positive patients). Cohorts 1, 2, and 4 enrolled HBeAg- patients and Cohort 3 enrolled HBeAg+ patients. The first three cohorts each enrolled eight subjects; six received three monthly doses of ARB-1467, and two received placebo. Cohort 4 enrolled twelve patients, all of whom received five bi-weekly doses of ARB-1467, followed by monthly dosing if pre-defined criteria were met. ARB-1467 was administered at 0.2 mg/kg in Cohort 1 and 0.4 mg/kg in Cohorts 2, 3, and 4. Overall, treatment was well tolerated across all cohorts (Cohorts 1, 2, 3, and 4).</w:t>
      </w:r>
    </w:p>
    <w:p>
      <w:pPr>
        <w:spacing w:after="0" w:line="109"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Results from monthly doses in Cohorts 1, 2 and 3 demonstrated a significant reduction in serum HBsAg and a step-wise, additive reduction in serum HBsAg with each subsequent dose. The HBsAg reduction achieved after three monthly doses of 0.4mg/kg in Cohort 2 was greater than that seen at 0.2 mg/kg in Cohort 1, demonstrating a dose-response with repeat dosing. We observed no significant differences in serum HBsAg reductions between HBeAg-negative and HBeAg-positive patients. In Cohort 4, five doses of ARB-1467 were administered on a bi-weekly dosing schedule. Results after 5 doses of bi-weekly administration demonstrated a deeper reduction in HBsAg levels compared to the results observed during the monthly administration, with a mean reduction of 1.4 log10 and a maximum reduction of 2.7 log10. Seven of the twelve patients met the predefined response criteria (a reduction greater than 1 log10 and HBsAg levels &lt; 1000 IU/ml) at or before day 71. Five of the seven patients who met the response criteria had their serum HBsAg reduced to low absolute levels (below 50 IU/mL).</w:t>
      </w:r>
    </w:p>
    <w:p>
      <w:pPr>
        <w:spacing w:after="0" w:line="1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have initiated a triple combination study of our RNAi agent ARB-1467 with tenofovir (TDF) and pegylated interferon (PegIFN) therapy to determine if this regimen will result in patients reaching undetectable HBV DNA and HBsAg levels. The Phase II combination trial is a 30-week multi-dose study in 20 HBV DNA -positive, HBeAg-negative, treatment naïve, patients who will receive bi-weekly doses of ARB-1467 at 0.4 mg/kg and daily oral TDF doses for 30 weeks. Those patients who reach predetermined criteria 6 weeks will qualify for the addition of weekly PegIFN treatment, while continuing to receive bi-weekly doses of ARB-1467 and daily doses of TDF for the remaining 24 weeks. Patients will be followed for 24 weeks after the treatment period concludes. Interim on-treatment results from this trial are expected in the second half of 2018, followed by final results in 2019.</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GalNAc RNAi (AB-729)</w:t>
      </w:r>
    </w:p>
    <w:p>
      <w:pPr>
        <w:spacing w:after="0" w:line="17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Early in 2018, we nominated for development a next-generation RNAi therapeutic, AB-729, targeted to hepatocytes using our novel covalently conjugated N-acetylgalactosamine (GalNAc) delivery technology to enable subcutaneous delivery. This is a promising new agent that acts on multiple HBV viral transcripts, enabling inhibition of viral replication and suppression of all viral antigens. AB-729 showed more durable in vivo preclinical activity than earlier-generation RNAi agents for the treatment of chronic HBV infection. We observed a significant dose response, and a stepwise reduction in viral proteins when multi-dosing. We have initiated IND/CTA enabling studies, and pending success of those studies, this product candidate could be the subject of an IND/CTA filing in the first half of 2019.</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Research Programs</w:t>
      </w:r>
    </w:p>
    <w:p>
      <w:pPr>
        <w:spacing w:after="0" w:line="181"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In addition to our clinical candidates, we have a number of research programs aimed at discovery and development of proprietary HBV candidates with different and complementary MOAs. We have ongoing discovery efforts focused on cccDNA targeting and checkpoint inhibition to identify novel drug candidates to complement our pipeline of agents to form an all-oral combination therapy.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Proprietary Delivery Technology</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F- 20</w:t>
      </w:r>
    </w:p>
    <w:p>
      <w:pPr>
        <w:sectPr>
          <w:pgSz w:w="11900" w:h="16838" w:orient="portrait"/>
          <w:cols w:equalWidth="0" w:num="1">
            <w:col w:w="11440"/>
          </w:cols>
          <w:pgMar w:left="220" w:top="536" w:right="239" w:bottom="1440" w:gutter="0" w:footer="0" w:header="0"/>
        </w:sectPr>
      </w:pPr>
    </w:p>
    <w:bookmarkStart w:id="23" w:name="page24"/>
    <w:bookmarkEnd w:id="23"/>
    <w:p>
      <w:pPr>
        <w:ind w:right="180" w:firstLine="432"/>
        <w:spacing w:after="0" w:line="263" w:lineRule="auto"/>
        <w:rPr>
          <w:sz w:val="20"/>
          <w:szCs w:val="20"/>
          <w:color w:val="auto"/>
        </w:rPr>
      </w:pPr>
      <w:r>
        <w:rPr>
          <w:rFonts w:ascii="Arial" w:cs="Arial" w:eastAsia="Arial" w:hAnsi="Arial"/>
          <w:sz w:val="12"/>
          <w:szCs w:val="12"/>
          <w:color w:val="auto"/>
        </w:rPr>
        <w:t>Our LNP technology represents the most widely adopted delivery technology in RNAi, which has enabled several clinical trials and has been administered to hundreds of human subjects. We are the leaders in LNP delivery and hold a dominant intellectual property position in this field. We have applied our extensive technical expertise and clinical experience gained from our LNP-based programs to further advance our platform technology and its broad application to mRNA delivery.</w:t>
      </w:r>
    </w:p>
    <w:p>
      <w:pPr>
        <w:spacing w:after="0" w:line="12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We have generated value from our LNP platform technology, which is well suited to deliver therapies based on RNAi, mRNA, and gene editing constructs. We have also developed a proprietary GalNAc conjugate technology to enable subcutaneous delivery of an RNAi therapeutic targeting HBsAg and/or other HBV targets.</w:t>
      </w:r>
    </w:p>
    <w:p>
      <w:pPr>
        <w:spacing w:after="0" w:line="115" w:lineRule="exact"/>
        <w:rPr>
          <w:sz w:val="20"/>
          <w:szCs w:val="20"/>
          <w:color w:val="auto"/>
        </w:rPr>
      </w:pPr>
    </w:p>
    <w:p>
      <w:pPr>
        <w:ind w:right="520" w:firstLine="432"/>
        <w:spacing w:after="0" w:line="380" w:lineRule="auto"/>
        <w:rPr>
          <w:sz w:val="20"/>
          <w:szCs w:val="20"/>
          <w:color w:val="auto"/>
        </w:rPr>
      </w:pPr>
      <w:r>
        <w:rPr>
          <w:rFonts w:ascii="Arial" w:cs="Arial" w:eastAsia="Arial" w:hAnsi="Arial"/>
          <w:sz w:val="10"/>
          <w:szCs w:val="10"/>
          <w:color w:val="auto"/>
        </w:rPr>
        <w:t>In April 2018, we entered into an agreement with Roivant Sciences to launch Genevant Sciences, a jointly-owned company focused on the discovery, development, and commercialization of a broad range of RNA-based therapeutics enabled by our proprietary LNP and ligand conjugate delivery technologies (collectively, the Delivery Technologies) for all applications except HBV. See further discussion under Recent Developments below.</w:t>
      </w:r>
    </w:p>
    <w:p>
      <w:pPr>
        <w:spacing w:after="0" w:line="68"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LNP platform. The broad applicability of this platform to RNAi development and clinically proven safety profile has established it as a leader in this new area of innovative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Partner Programs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Patisiran (ALN-TTR02)</w:t>
      </w:r>
    </w:p>
    <w:p>
      <w:pPr>
        <w:spacing w:after="0" w:line="168" w:lineRule="exact"/>
        <w:rPr>
          <w:sz w:val="20"/>
          <w:szCs w:val="20"/>
          <w:color w:val="auto"/>
        </w:rPr>
      </w:pPr>
    </w:p>
    <w:p>
      <w:pPr>
        <w:ind w:firstLine="432"/>
        <w:spacing w:after="0" w:line="349" w:lineRule="auto"/>
        <w:rPr>
          <w:sz w:val="20"/>
          <w:szCs w:val="20"/>
          <w:color w:val="auto"/>
        </w:rPr>
      </w:pPr>
      <w:r>
        <w:rPr>
          <w:rFonts w:ascii="Arial" w:cs="Arial" w:eastAsia="Arial" w:hAnsi="Arial"/>
          <w:sz w:val="11"/>
          <w:szCs w:val="11"/>
          <w:color w:val="auto"/>
        </w:rPr>
        <w:t>Alnylam Pharmaceuticals, Inc., or Alnylam (Nasdaq: ALNY), has a license to use our intellectual property to develop and commercialize products. Alnylam's patisiran (ALN-TTR02) program represents the most clinically advanced application of our LNP delivery technology, and results demonstrate that our LNP has been well tolerated and efficacy maintained with long-term (&gt;36 months) treatment. Alnylam may only grant access to our LNP technology to its partners if it is part of a product sublicense. Alnylam’s license rights are limited to patents that we have filed, or that claim priority to a patent that was filed, before April 15, 2010.</w:t>
      </w:r>
    </w:p>
    <w:p>
      <w:pPr>
        <w:spacing w:after="0" w:line="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Patisiran is Alnylam`s most clinically advanced RNAi therapeutic in development, targeting transthyretin (TTR) for the treatment of TTR-mediated amyloidosis (ATTR). In September 2017, Alnylam successfully completed its APOLLO Phase III clinical trial of LNP-enabled patisiran, which initiated in November 2013. Results showed that patisiran met its primary efficacy endpoint and all secondary endpoints in this trial. As a result, Alnylam completed a New Drug Application (NDA) to the U.S. Food and Drug Administration (FDA) and a Marketing Authorisation Application (MAA) to the European Medicines Agency (EMA) for patisiran. Alnylam has estimated that first regulatory approval may be obtained in the second half of 2018. We retain full rights to royalties on patisiran global sales and are entitled to low-to-mid single-digit royalty payments escalating based on sales performance as Alnylam’s LNP-enabled products are commercialized. We could receive our first royalty payments in the second half of 2018, or seek to otherwise monetize all or part of this royalty stream as a source of non-dilutive cash.</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Gritstone Oncology</w:t>
      </w:r>
    </w:p>
    <w:p>
      <w:pPr>
        <w:spacing w:after="0" w:line="15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2"/>
          <w:szCs w:val="12"/>
          <w:color w:val="auto"/>
        </w:rPr>
        <w:t>In October 2017, we entered into a license agreement with Gritstone Oncology (Gritstone) that granted them worldwide access to our portfolio of proprietary and clinically validated LNP products and associated intellectual property to deliver Gritstone’s RNA-based neoantigen immunotherapy products. Gritstone paid us an upfront payment and agreed to future payments for achievement of development, regulatory, and commercial milestones as well as royalties, and reimbursements for conducting technology development, manufacturing and regulatory support for Gritstone’s product candidates. Genevant will be entitled to 50% of any milestones and royalties that may be payable by Gritstone.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F- 21</w:t>
      </w:r>
    </w:p>
    <w:p>
      <w:pPr>
        <w:sectPr>
          <w:pgSz w:w="11900" w:h="16838" w:orient="portrait"/>
          <w:cols w:equalWidth="0" w:num="1">
            <w:col w:w="11480"/>
          </w:cols>
          <w:pgMar w:left="220" w:top="437"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i w:val="1"/>
          <w:iCs w:val="1"/>
          <w:color w:val="auto"/>
        </w:rPr>
        <w:t>Marqibo®</w:t>
      </w:r>
    </w:p>
    <w:p>
      <w:pPr>
        <w:spacing w:after="0" w:line="150"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on sales of Marqibo.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Genevant Sciences</w:t>
      </w:r>
    </w:p>
    <w:p>
      <w:pPr>
        <w:spacing w:after="0" w:line="15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In April 2018, we entered into an agreement with Roivant to launch Genevant, a jointly-owned company focused on the discovery, development, and commercialization of a broad range of RNA-based therapeutics enabled by our proprietary Delivery Technologies. We have licensed exclusive rights to our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23"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Under the terms of the agreement, Roivant contributed $37.5 million in transaction-related seed capital for Genevant, consisting of an initial $22.5 million and a subsequent investment of $15 million at a pre-determined, stepped-up valuation. We retain all rights to our LNP and conjugate delivery platforms for HBV, and are entitled to a tiered royalty from Genevant on future sales of products enabled by those delivery platforms. We also retain the entirety of our royalty entitlement on the commercialization of Alnylam’s patisiran. The initial investment and the subsequent investment were completed during the second quarter 2018, therefore at June 30, 2018 Arbutus holds an equity interest in Genevant equal to 41%. We recorded a $24.9 million non-cash gain in the second quarter of 2018 as a result of this transaction.</w:t>
      </w:r>
    </w:p>
    <w:p>
      <w:pPr>
        <w:spacing w:after="0" w:line="125"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Genevant is led by Executive Chairman Paris Panayiotopoulos, former CEO of ARIAD Pharmaceuticals, accompanied by a management team of RNA experts including Dr. Bo Rode Hansen as President, Chief Scientific Officer, and Head of R&amp;D; Dr. Peter Lutwyche as Chief Technology Officer; Dr. Konstantin Linnik as General Counsel; Dr. James Heyes as Senior VP; and a scientific team with decades of RNA development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Acuitas Therapeutics Inc.</w:t>
      </w:r>
    </w:p>
    <w:p>
      <w:pPr>
        <w:spacing w:after="0" w:line="1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accordance with a settlement agreement signed in November 2012, we finalized and entered a cross-license agreement with Acuitas Therapeutics Inc. (Acuitas) in December 2013. The terms of the cross-license agreement provided Acuitas with access to certain of our earlier IP generated prior to mid-April 2010 in the fields of gene replacement therapy and antisense. Acuitas was only able to grant access to our LNP technology to its partners if it is part of a product sublicense. At the same time, the terms provided us with certain access to Acuitas’ technology and licenses in the RNAi field, along with a percentage of each milestone and royalty payment with respect to certain products. Acuitas had agreed that it would not compete in the RNAi field for a period of five years, ending in November 2017. Arbutus considered Acuitas to be in material breach of their cross-license agreement and provided notice to Acuitas in August 2016 to terminate the cross license agreement, resulting in litigation between the two parties. In February 2018, Arbutus and Acuitas reached a settlement terminating Acuitas’ right to further use or sublicense Arbutus' LNP technology. Please refer to "Item 1. Legal Proceedings"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Site Consolidation</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February 2018, we announced a site consolidation and organizational restructuring to better align our HBV business in Warminster, PA. These organizational changes are expected to result in increased efficiency, a more flexible variable cost structure, and additional preservation of our cash reserves. To achieve this alignment, during the second quarter of 2018 we reduced our global workforce by approximately 35% and closed our Burnaby BC facility. These activities were successfully completed during the second quarter without negatively impacting our research and development timelines. For further detail, refer to note 9 "Site Consolidation" in the condensed consolidated financial statements in Part I.</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F- 22</w:t>
      </w:r>
    </w:p>
    <w:p>
      <w:pPr>
        <w:sectPr>
          <w:pgSz w:w="11900" w:h="16838" w:orient="portrait"/>
          <w:cols w:equalWidth="0" w:num="1">
            <w:col w:w="11460"/>
          </w:cols>
          <w:pgMar w:left="220" w:top="437" w:right="2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222" w:lineRule="exact"/>
        <w:rPr>
          <w:sz w:val="20"/>
          <w:szCs w:val="20"/>
          <w:color w:val="auto"/>
        </w:rPr>
      </w:pPr>
    </w:p>
    <w:p>
      <w:pPr>
        <w:jc w:val="both"/>
        <w:spacing w:after="0" w:line="309" w:lineRule="auto"/>
        <w:rPr>
          <w:sz w:val="20"/>
          <w:szCs w:val="20"/>
          <w:color w:val="auto"/>
        </w:rPr>
      </w:pPr>
      <w:r>
        <w:rPr>
          <w:rFonts w:ascii="Arial" w:cs="Arial" w:eastAsia="Arial" w:hAnsi="Arial"/>
          <w:sz w:val="10"/>
          <w:szCs w:val="10"/>
          <w:b w:val="1"/>
          <w:bCs w:val="1"/>
          <w:color w:val="auto"/>
        </w:rPr>
        <w:t xml:space="preserve">Equity method investment </w:t>
      </w:r>
      <w:r>
        <w:rPr>
          <w:rFonts w:ascii="Arial" w:cs="Arial" w:eastAsia="Arial" w:hAnsi="Arial"/>
          <w:sz w:val="10"/>
          <w:szCs w:val="10"/>
          <w:color w:val="auto"/>
        </w:rPr>
        <w:t>/ We account for our investment in associated companies in accordance with ASC 323,</w:t>
      </w:r>
      <w:r>
        <w:rPr>
          <w:rFonts w:ascii="Arial" w:cs="Arial" w:eastAsia="Arial" w:hAnsi="Arial"/>
          <w:sz w:val="10"/>
          <w:szCs w:val="10"/>
          <w:b w:val="1"/>
          <w:bCs w:val="1"/>
          <w:color w:val="auto"/>
        </w:rPr>
        <w:t xml:space="preserve"> </w:t>
      </w:r>
      <w:r>
        <w:rPr>
          <w:rFonts w:ascii="Arial" w:cs="Arial" w:eastAsia="Arial" w:hAnsi="Arial"/>
          <w:sz w:val="10"/>
          <w:szCs w:val="10"/>
          <w:i w:val="1"/>
          <w:iCs w:val="1"/>
          <w:color w:val="auto"/>
        </w:rPr>
        <w:t>Investments - Equity Method and Joint Ventures</w:t>
      </w:r>
      <w:r>
        <w:rPr>
          <w:rFonts w:ascii="Arial" w:cs="Arial" w:eastAsia="Arial" w:hAnsi="Arial"/>
          <w:sz w:val="10"/>
          <w:szCs w:val="10"/>
          <w:color w:val="auto"/>
        </w:rPr>
        <w:t>. In accordance with ASC 323, associated companies are accounted for as</w:t>
      </w:r>
      <w:r>
        <w:rPr>
          <w:rFonts w:ascii="Arial" w:cs="Arial" w:eastAsia="Arial" w:hAnsi="Arial"/>
          <w:sz w:val="10"/>
          <w:szCs w:val="10"/>
          <w:b w:val="1"/>
          <w:bCs w:val="1"/>
          <w:color w:val="auto"/>
        </w:rPr>
        <w:t xml:space="preserve"> </w:t>
      </w:r>
      <w:r>
        <w:rPr>
          <w:rFonts w:ascii="Arial" w:cs="Arial" w:eastAsia="Arial" w:hAnsi="Arial"/>
          <w:sz w:val="10"/>
          <w:szCs w:val="10"/>
          <w:color w:val="auto"/>
        </w:rPr>
        <w:t>equity method investments. Our share of results of associated companies are presented on a one-line basis. Investments in, and advances to, associated companies are presented on a one-line basis in the caption “Investment in Genevant” in our Consolidated Balance Sheet, net of allowance for losses, which represents our best estimate of probable losses inherent in such assets. The Investment in Genevant balance recorded was based on the fair value of the equity received.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Our proportionate share of the associated company's net income or loss is presented on a one-line basis in the caption "Gain on Investment" in our Consolidated Statement of Operations and Comprehensive Loss. Transactions between the Company and the associated company are eliminated on a basis proportional to our ownership interest. Financial results of Genevant are recorded on a one-quarter lag basis.</w:t>
      </w:r>
    </w:p>
    <w:p>
      <w:pPr>
        <w:spacing w:after="0" w:line="47" w:lineRule="exact"/>
        <w:rPr>
          <w:sz w:val="20"/>
          <w:szCs w:val="20"/>
          <w:color w:val="auto"/>
        </w:rPr>
      </w:pPr>
    </w:p>
    <w:p>
      <w:pPr>
        <w:spacing w:after="0" w:line="344" w:lineRule="auto"/>
        <w:rPr>
          <w:sz w:val="20"/>
          <w:szCs w:val="20"/>
          <w:color w:val="auto"/>
        </w:rPr>
      </w:pPr>
      <w:r>
        <w:rPr>
          <w:rFonts w:ascii="Arial" w:cs="Arial" w:eastAsia="Arial" w:hAnsi="Arial"/>
          <w:sz w:val="10"/>
          <w:szCs w:val="10"/>
          <w:b w:val="1"/>
          <w:bCs w:val="1"/>
          <w:color w:val="auto"/>
        </w:rPr>
        <w:t xml:space="preserve">Site consolidation expense </w:t>
      </w:r>
      <w:r>
        <w:rPr>
          <w:rFonts w:ascii="Arial" w:cs="Arial" w:eastAsia="Arial" w:hAnsi="Arial"/>
          <w:sz w:val="10"/>
          <w:szCs w:val="10"/>
          <w:color w:val="auto"/>
        </w:rPr>
        <w:t>/ We account for site consolidation expense in accordance with ASC 420,</w:t>
      </w:r>
      <w:r>
        <w:rPr>
          <w:rFonts w:ascii="Arial" w:cs="Arial" w:eastAsia="Arial" w:hAnsi="Arial"/>
          <w:sz w:val="10"/>
          <w:szCs w:val="10"/>
          <w:b w:val="1"/>
          <w:bCs w:val="1"/>
          <w:color w:val="auto"/>
        </w:rPr>
        <w:t xml:space="preserve"> </w:t>
      </w:r>
      <w:r>
        <w:rPr>
          <w:rFonts w:ascii="Arial" w:cs="Arial" w:eastAsia="Arial" w:hAnsi="Arial"/>
          <w:sz w:val="10"/>
          <w:szCs w:val="10"/>
          <w:i w:val="1"/>
          <w:iCs w:val="1"/>
          <w:color w:val="auto"/>
        </w:rPr>
        <w:t>Exit or Disposal Cost Obligations</w:t>
      </w:r>
      <w:r>
        <w:rPr>
          <w:rFonts w:ascii="Arial" w:cs="Arial" w:eastAsia="Arial" w:hAnsi="Arial"/>
          <w:sz w:val="10"/>
          <w:szCs w:val="10"/>
          <w:color w:val="auto"/>
        </w:rPr>
        <w:t>. ASC 420 specifies that a liability for a cost associated with an exit or disposal activity be recognized</w:t>
      </w:r>
      <w:r>
        <w:rPr>
          <w:rFonts w:ascii="Arial" w:cs="Arial" w:eastAsia="Arial" w:hAnsi="Arial"/>
          <w:sz w:val="10"/>
          <w:szCs w:val="10"/>
          <w:b w:val="1"/>
          <w:bCs w:val="1"/>
          <w:color w:val="auto"/>
        </w:rPr>
        <w:t xml:space="preserve"> </w:t>
      </w:r>
      <w:r>
        <w:rPr>
          <w:rFonts w:ascii="Arial" w:cs="Arial" w:eastAsia="Arial" w:hAnsi="Arial"/>
          <w:sz w:val="10"/>
          <w:szCs w:val="10"/>
          <w:color w:val="auto"/>
        </w:rPr>
        <w:t>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rateably over the future service period.</w:t>
      </w:r>
    </w:p>
    <w:p>
      <w:pPr>
        <w:spacing w:after="0" w:line="10"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b w:val="1"/>
          <w:bCs w:val="1"/>
          <w:color w:val="auto"/>
        </w:rPr>
        <w:t xml:space="preserve">Revenue recognition </w:t>
      </w:r>
      <w:r>
        <w:rPr>
          <w:rFonts w:ascii="Arial" w:cs="Arial" w:eastAsia="Arial" w:hAnsi="Arial"/>
          <w:sz w:val="12"/>
          <w:szCs w:val="12"/>
          <w:color w:val="auto"/>
        </w:rPr>
        <w:t>/ We adopted the new revenue standard (Accounting Standards Codification “ASC" 606) effective January 1, 2018, using the modified retrospective method under which previously presented financial statements are</w:t>
      </w:r>
      <w:r>
        <w:rPr>
          <w:rFonts w:ascii="Arial" w:cs="Arial" w:eastAsia="Arial" w:hAnsi="Arial"/>
          <w:sz w:val="12"/>
          <w:szCs w:val="12"/>
          <w:b w:val="1"/>
          <w:bCs w:val="1"/>
          <w:color w:val="auto"/>
        </w:rPr>
        <w:t xml:space="preserve"> </w:t>
      </w:r>
      <w:r>
        <w:rPr>
          <w:rFonts w:ascii="Arial" w:cs="Arial" w:eastAsia="Arial" w:hAnsi="Arial"/>
          <w:sz w:val="12"/>
          <w:szCs w:val="12"/>
          <w:color w:val="auto"/>
        </w:rPr>
        <w:t>not restated and the cumulative effect of adopting the new revenue standard on contracts in process is recognized by an adjustment to retained earnings at the effective date. The adoption of the new revenue standard did not change recognized revenue under our ongoing significant collaborative research and license agreements and no cumulative effect adjustment was required.</w:t>
      </w:r>
    </w:p>
    <w:p>
      <w:pPr>
        <w:ind w:right="100"/>
        <w:spacing w:after="0" w:line="255" w:lineRule="auto"/>
        <w:rPr>
          <w:sz w:val="20"/>
          <w:szCs w:val="20"/>
          <w:color w:val="auto"/>
        </w:rPr>
      </w:pPr>
      <w:r>
        <w:rPr>
          <w:rFonts w:ascii="Arial" w:cs="Arial" w:eastAsia="Arial" w:hAnsi="Arial"/>
          <w:sz w:val="12"/>
          <w:szCs w:val="12"/>
          <w:color w:val="auto"/>
        </w:rPr>
        <w:t>The new guidance in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28"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We generate revenue primarily through collaboration agreements, which may require delivery of various rights and/or services, including intellectual property rights or licenses and research and development services. Under such collaboration agreements, we are generally eligible to receive non-refundable upfront payments, funding for research and development services, milestone payments, and royalties.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contracts where more than one performance obligation exists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our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126" w:lineRule="exact"/>
        <w:rPr>
          <w:sz w:val="20"/>
          <w:szCs w:val="20"/>
          <w:color w:val="auto"/>
        </w:rPr>
      </w:pPr>
    </w:p>
    <w:p>
      <w:pPr>
        <w:ind w:right="300"/>
        <w:spacing w:after="0" w:line="340" w:lineRule="auto"/>
        <w:rPr>
          <w:sz w:val="20"/>
          <w:szCs w:val="20"/>
          <w:color w:val="auto"/>
        </w:rPr>
      </w:pPr>
      <w:r>
        <w:rPr>
          <w:rFonts w:ascii="Arial" w:cs="Arial" w:eastAsia="Arial" w:hAnsi="Arial"/>
          <w:sz w:val="10"/>
          <w:szCs w:val="10"/>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56" w:lineRule="exact"/>
        <w:rPr>
          <w:sz w:val="20"/>
          <w:szCs w:val="20"/>
          <w:color w:val="auto"/>
        </w:rPr>
      </w:pPr>
    </w:p>
    <w:p>
      <w:pPr>
        <w:ind w:right="200"/>
        <w:spacing w:after="0" w:line="302" w:lineRule="auto"/>
        <w:rPr>
          <w:sz w:val="20"/>
          <w:szCs w:val="20"/>
          <w:color w:val="auto"/>
        </w:rPr>
      </w:pPr>
      <w:r>
        <w:rPr>
          <w:rFonts w:ascii="Arial" w:cs="Arial" w:eastAsia="Arial" w:hAnsi="Arial"/>
          <w:sz w:val="11"/>
          <w:szCs w:val="11"/>
          <w:b w:val="1"/>
          <w:bCs w:val="1"/>
          <w:color w:val="auto"/>
        </w:rPr>
        <w:t xml:space="preserve">Stock-based compensation </w:t>
      </w:r>
      <w:r>
        <w:rPr>
          <w:rFonts w:ascii="Arial" w:cs="Arial" w:eastAsia="Arial" w:hAnsi="Arial"/>
          <w:sz w:val="11"/>
          <w:szCs w:val="11"/>
          <w:color w:val="auto"/>
        </w:rPr>
        <w:t>/ In June 2018, the FASB issued ASU 2018-07,</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Compensation - Stock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(Topic 718),</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Improvements to Nonemployee Share-Based Payment Accounting</w:t>
      </w:r>
      <w:r>
        <w:rPr>
          <w:rFonts w:ascii="Arial" w:cs="Arial" w:eastAsia="Arial" w:hAnsi="Arial"/>
          <w:sz w:val="11"/>
          <w:szCs w:val="11"/>
          <w:color w:val="auto"/>
        </w:rPr>
        <w:t>. The amendments in this Update provide</w:t>
      </w:r>
      <w:r>
        <w:rPr>
          <w:rFonts w:ascii="Arial" w:cs="Arial" w:eastAsia="Arial" w:hAnsi="Arial"/>
          <w:sz w:val="11"/>
          <w:szCs w:val="11"/>
          <w:b w:val="1"/>
          <w:bCs w:val="1"/>
          <w:color w:val="auto"/>
        </w:rPr>
        <w:t xml:space="preserve"> </w:t>
      </w:r>
      <w:r>
        <w:rPr>
          <w:rFonts w:ascii="Arial" w:cs="Arial" w:eastAsia="Arial" w:hAnsi="Arial"/>
          <w:sz w:val="11"/>
          <w:szCs w:val="11"/>
          <w:color w:val="auto"/>
        </w:rPr>
        <w:t>guidance about aligning nonemployee and employee share-based payment accounting. The amendments in this Update are effective for all entities for annual periods, and interim periods within those annual periods, beginning after December 15, 2018. We early adopted the new standard as of January 1, 2018. The adoption of this standard did not have a material impact on the Company's financial position and results of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F- 23</w:t>
      </w:r>
    </w:p>
    <w:p>
      <w:pPr>
        <w:sectPr>
          <w:pgSz w:w="11900" w:h="16838" w:orient="portrait"/>
          <w:cols w:equalWidth="0" w:num="1">
            <w:col w:w="11440"/>
          </w:cols>
          <w:pgMar w:left="220" w:top="289" w:right="23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There are no other changes to our critical accounting policies and estimates from those disclosed in our annual MD&amp;A contained in our Annual Report Form 10-K for the year ended December 31, 2017.</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the results of our operations for the periods shown, in thousands (except for per share figures):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2"/>
              </w:rPr>
              <w:t>Six Months Ended</w:t>
            </w: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2"/>
                <w:szCs w:val="12"/>
                <w:b w:val="1"/>
                <w:bCs w:val="1"/>
                <w:color w:val="auto"/>
              </w:rPr>
              <w:t>June 30,</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69"/>
        </w:trPr>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4"/>
                <w:szCs w:val="14"/>
                <w:color w:val="auto"/>
              </w:rPr>
            </w:pPr>
          </w:p>
        </w:tc>
      </w:tr>
      <w:tr>
        <w:trPr>
          <w:trHeight w:val="17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1,244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2,680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1,274</w:t>
            </w:r>
          </w:p>
        </w:tc>
      </w:tr>
      <w:tr>
        <w:trPr>
          <w:trHeight w:val="171"/>
        </w:trPr>
        <w:tc>
          <w:tcPr>
            <w:tcW w:w="372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23,290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20,524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b w:val="1"/>
                <w:bCs w:val="1"/>
                <w:color w:val="auto"/>
                <w:w w:val="87"/>
              </w:rPr>
              <w:t>43,131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2"/>
          </w:tcPr>
          <w:p>
            <w:pPr>
              <w:jc w:val="center"/>
              <w:ind w:left="340"/>
              <w:spacing w:after="0"/>
              <w:rPr>
                <w:sz w:val="20"/>
                <w:szCs w:val="20"/>
                <w:color w:val="auto"/>
              </w:rPr>
            </w:pPr>
            <w:r>
              <w:rPr>
                <w:rFonts w:ascii="Arial" w:cs="Arial" w:eastAsia="Arial" w:hAnsi="Arial"/>
                <w:sz w:val="12"/>
                <w:szCs w:val="12"/>
                <w:color w:val="auto"/>
                <w:w w:val="87"/>
              </w:rPr>
              <w:t>39,058</w:t>
            </w:r>
          </w:p>
        </w:tc>
      </w:tr>
      <w:tr>
        <w:trPr>
          <w:trHeight w:val="18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(22,046)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(19,485)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(40,451)</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center"/>
              <w:ind w:left="340"/>
              <w:spacing w:after="0"/>
              <w:rPr>
                <w:sz w:val="20"/>
                <w:szCs w:val="20"/>
                <w:color w:val="auto"/>
              </w:rPr>
            </w:pPr>
            <w:r>
              <w:rPr>
                <w:rFonts w:ascii="Arial" w:cs="Arial" w:eastAsia="Arial" w:hAnsi="Arial"/>
                <w:sz w:val="12"/>
                <w:szCs w:val="12"/>
                <w:color w:val="auto"/>
                <w:w w:val="89"/>
              </w:rPr>
              <w:t>(37,784)</w:t>
            </w:r>
          </w:p>
        </w:tc>
      </w:tr>
      <w:tr>
        <w:trPr>
          <w:trHeight w:val="160"/>
        </w:trPr>
        <w:tc>
          <w:tcPr>
            <w:tcW w:w="372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3,091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ind w:right="1000"/>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8"/>
              </w:rPr>
              <w:t>(18,255)</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12"/>
                <w:szCs w:val="12"/>
                <w:b w:val="1"/>
                <w:bCs w:val="1"/>
                <w:color w:val="auto"/>
              </w:rPr>
              <w:t>(14,338)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jc w:val="center"/>
              <w:ind w:left="340"/>
              <w:spacing w:after="0"/>
              <w:rPr>
                <w:sz w:val="20"/>
                <w:szCs w:val="20"/>
                <w:color w:val="auto"/>
              </w:rPr>
            </w:pPr>
            <w:r>
              <w:rPr>
                <w:rFonts w:ascii="Arial" w:cs="Arial" w:eastAsia="Arial" w:hAnsi="Arial"/>
                <w:sz w:val="12"/>
                <w:szCs w:val="12"/>
                <w:color w:val="auto"/>
                <w:w w:val="89"/>
              </w:rPr>
              <w:t>(36,882)</w:t>
            </w:r>
          </w:p>
        </w:tc>
      </w:tr>
      <w:tr>
        <w:trPr>
          <w:trHeight w:val="18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 attributable to common shares</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(18,255)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(19,215)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left="340"/>
              <w:spacing w:after="0"/>
              <w:rPr>
                <w:sz w:val="20"/>
                <w:szCs w:val="20"/>
                <w:color w:val="auto"/>
              </w:rPr>
            </w:pPr>
            <w:r>
              <w:rPr>
                <w:rFonts w:ascii="Arial" w:cs="Arial" w:eastAsia="Arial" w:hAnsi="Arial"/>
                <w:sz w:val="12"/>
                <w:szCs w:val="12"/>
                <w:color w:val="auto"/>
                <w:w w:val="89"/>
              </w:rPr>
              <w:t>(36,882)</w:t>
            </w:r>
          </w:p>
        </w:tc>
      </w:tr>
      <w:tr>
        <w:trPr>
          <w:trHeight w:val="171"/>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Basic and diluted loss per common share</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0.01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(0.35)</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(0.68)</w:t>
            </w:r>
          </w:p>
        </w:tc>
      </w:tr>
      <w:tr>
        <w:trPr>
          <w:trHeight w:val="286"/>
        </w:trPr>
        <w:tc>
          <w:tcPr>
            <w:tcW w:w="3720" w:type="dxa"/>
            <w:vAlign w:val="bottom"/>
            <w:gridSpan w:val="2"/>
          </w:tcPr>
          <w:p>
            <w:pPr>
              <w:spacing w:after="0"/>
              <w:rPr>
                <w:sz w:val="20"/>
                <w:szCs w:val="20"/>
                <w:color w:val="auto"/>
              </w:rPr>
            </w:pPr>
            <w:r>
              <w:rPr>
                <w:rFonts w:ascii="Arial" w:cs="Arial" w:eastAsia="Arial" w:hAnsi="Arial"/>
                <w:sz w:val="12"/>
                <w:szCs w:val="12"/>
                <w:b w:val="1"/>
                <w:bCs w:val="1"/>
                <w:color w:val="auto"/>
                <w:w w:val="97"/>
              </w:rPr>
              <w:t xml:space="preserve">Revenue </w:t>
            </w:r>
            <w:r>
              <w:rPr>
                <w:rFonts w:ascii="Arial" w:cs="Arial" w:eastAsia="Arial" w:hAnsi="Arial"/>
                <w:sz w:val="12"/>
                <w:szCs w:val="12"/>
                <w:color w:val="auto"/>
                <w:w w:val="97"/>
              </w:rPr>
              <w:t>/ Revenue is summarized in the following table, in thousands: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0"/>
        </w:trPr>
        <w:tc>
          <w:tcPr>
            <w:tcW w:w="120" w:type="dxa"/>
            <w:vAlign w:val="bottom"/>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7"/>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gridSpan w:val="4"/>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160"/>
        </w:trPr>
        <w:tc>
          <w:tcPr>
            <w:tcW w:w="1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7"/>
          </w:tcPr>
          <w:p>
            <w:pPr>
              <w:ind w:left="180"/>
              <w:spacing w:after="0"/>
              <w:rPr>
                <w:sz w:val="20"/>
                <w:szCs w:val="20"/>
                <w:color w:val="auto"/>
              </w:rPr>
            </w:pPr>
            <w:r>
              <w:rPr>
                <w:rFonts w:ascii="Arial" w:cs="Arial" w:eastAsia="Arial" w:hAnsi="Arial"/>
                <w:sz w:val="12"/>
                <w:szCs w:val="12"/>
                <w:b w:val="1"/>
                <w:bCs w:val="1"/>
                <w:color w:val="auto"/>
                <w:w w:val="96"/>
              </w:rPr>
              <w:t>Three months ended June 30,</w:t>
            </w: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w w:val="99"/>
              </w:rPr>
              <w:t>Six months ended June 30,</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20" w:type="dxa"/>
            <w:vAlign w:val="bottom"/>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 of Total</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 of Total</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 of Total</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2017</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 of Total</w:t>
            </w:r>
          </w:p>
        </w:tc>
        <w:tc>
          <w:tcPr>
            <w:tcW w:w="14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Alexion</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336</w:t>
            </w:r>
          </w:p>
        </w:tc>
        <w:tc>
          <w:tcPr>
            <w:tcW w:w="820" w:type="dxa"/>
            <w:vAlign w:val="bottom"/>
            <w:shd w:val="clear" w:color="auto" w:fill="CCEEFF"/>
          </w:tcPr>
          <w:p>
            <w:pPr>
              <w:jc w:val="center"/>
              <w:ind w:left="500"/>
              <w:spacing w:after="0"/>
              <w:rPr>
                <w:sz w:val="20"/>
                <w:szCs w:val="20"/>
                <w:color w:val="auto"/>
              </w:rPr>
            </w:pPr>
            <w:r>
              <w:rPr>
                <w:rFonts w:ascii="Arial" w:cs="Arial" w:eastAsia="Arial" w:hAnsi="Arial"/>
                <w:sz w:val="12"/>
                <w:szCs w:val="12"/>
                <w:color w:val="auto"/>
                <w:w w:val="91"/>
              </w:rPr>
              <w:t>26%</w:t>
            </w:r>
          </w:p>
        </w:tc>
        <w:tc>
          <w:tcPr>
            <w:tcW w:w="140" w:type="dxa"/>
            <w:vAlign w:val="bottom"/>
          </w:tcPr>
          <w:p>
            <w:pPr>
              <w:spacing w:after="0"/>
              <w:rPr>
                <w:sz w:val="15"/>
                <w:szCs w:val="15"/>
                <w:color w:val="auto"/>
              </w:rPr>
            </w:pPr>
          </w:p>
        </w:tc>
      </w:tr>
      <w:tr>
        <w:trPr>
          <w:trHeight w:val="171"/>
        </w:trPr>
        <w:tc>
          <w:tcPr>
            <w:tcW w:w="120" w:type="dxa"/>
            <w:vAlign w:val="bottom"/>
          </w:tcPr>
          <w:p>
            <w:pPr>
              <w:spacing w:after="0"/>
              <w:rPr>
                <w:sz w:val="14"/>
                <w:szCs w:val="14"/>
                <w:color w:val="auto"/>
              </w:rPr>
            </w:pPr>
          </w:p>
        </w:tc>
        <w:tc>
          <w:tcPr>
            <w:tcW w:w="3600" w:type="dxa"/>
            <w:vAlign w:val="bottom"/>
          </w:tcPr>
          <w:p>
            <w:pPr>
              <w:ind w:left="20"/>
              <w:spacing w:after="0"/>
              <w:rPr>
                <w:sz w:val="20"/>
                <w:szCs w:val="20"/>
                <w:color w:val="auto"/>
              </w:rPr>
            </w:pPr>
            <w:r>
              <w:rPr>
                <w:rFonts w:ascii="Arial" w:cs="Arial" w:eastAsia="Arial" w:hAnsi="Arial"/>
                <w:sz w:val="12"/>
                <w:szCs w:val="12"/>
                <w:color w:val="auto"/>
              </w:rPr>
              <w:t>Gritstone</w:t>
            </w:r>
          </w:p>
        </w:tc>
        <w:tc>
          <w:tcPr>
            <w:tcW w:w="18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b w:val="1"/>
                <w:bCs w:val="1"/>
                <w:color w:val="auto"/>
              </w:rPr>
              <w:t>937</w:t>
            </w:r>
          </w:p>
        </w:tc>
        <w:tc>
          <w:tcPr>
            <w:tcW w:w="940" w:type="dxa"/>
            <w:vAlign w:val="bottom"/>
            <w:gridSpan w:val="3"/>
          </w:tcPr>
          <w:p>
            <w:pPr>
              <w:jc w:val="right"/>
              <w:spacing w:after="0"/>
              <w:rPr>
                <w:sz w:val="20"/>
                <w:szCs w:val="20"/>
                <w:color w:val="auto"/>
              </w:rPr>
            </w:pPr>
            <w:r>
              <w:rPr>
                <w:rFonts w:ascii="Arial" w:cs="Arial" w:eastAsia="Arial" w:hAnsi="Arial"/>
                <w:sz w:val="12"/>
                <w:szCs w:val="12"/>
                <w:b w:val="1"/>
                <w:bCs w:val="1"/>
                <w:color w:val="auto"/>
              </w:rPr>
              <w:t>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2,087</w:t>
            </w:r>
          </w:p>
        </w:tc>
        <w:tc>
          <w:tcPr>
            <w:tcW w:w="220" w:type="dxa"/>
            <w:vAlign w:val="bottom"/>
          </w:tcPr>
          <w:p>
            <w:pPr>
              <w:spacing w:after="0"/>
              <w:rPr>
                <w:sz w:val="14"/>
                <w:szCs w:val="14"/>
                <w:color w:val="auto"/>
              </w:rPr>
            </w:pPr>
          </w:p>
        </w:tc>
        <w:tc>
          <w:tcPr>
            <w:tcW w:w="820" w:type="dxa"/>
            <w:vAlign w:val="bottom"/>
          </w:tcPr>
          <w:p>
            <w:pPr>
              <w:ind w:left="560"/>
              <w:spacing w:after="0"/>
              <w:rPr>
                <w:sz w:val="20"/>
                <w:szCs w:val="20"/>
                <w:color w:val="auto"/>
              </w:rPr>
            </w:pPr>
            <w:r>
              <w:rPr>
                <w:rFonts w:ascii="Arial" w:cs="Arial" w:eastAsia="Arial" w:hAnsi="Arial"/>
                <w:sz w:val="12"/>
                <w:szCs w:val="12"/>
                <w:b w:val="1"/>
                <w:bCs w:val="1"/>
                <w:color w:val="auto"/>
                <w:w w:val="99"/>
              </w:rPr>
              <w:t>78%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center"/>
              <w:ind w:left="360"/>
              <w:spacing w:after="0"/>
              <w:rPr>
                <w:sz w:val="20"/>
                <w:szCs w:val="20"/>
                <w:color w:val="auto"/>
              </w:rPr>
            </w:pPr>
            <w:r>
              <w:rPr>
                <w:rFonts w:ascii="Arial" w:cs="Arial" w:eastAsia="Arial" w:hAnsi="Arial"/>
                <w:sz w:val="12"/>
                <w:szCs w:val="12"/>
                <w:color w:val="auto"/>
                <w:w w:val="96"/>
              </w:rPr>
              <w:t>—%</w:t>
            </w:r>
          </w:p>
        </w:tc>
      </w:tr>
      <w:tr>
        <w:trPr>
          <w:trHeight w:val="189"/>
        </w:trPr>
        <w:tc>
          <w:tcPr>
            <w:tcW w:w="120" w:type="dxa"/>
            <w:vAlign w:val="bottom"/>
          </w:tcPr>
          <w:p>
            <w:pPr>
              <w:spacing w:after="0"/>
              <w:rPr>
                <w:sz w:val="16"/>
                <w:szCs w:val="16"/>
                <w:color w:val="auto"/>
              </w:rPr>
            </w:pPr>
          </w:p>
        </w:tc>
        <w:tc>
          <w:tcPr>
            <w:tcW w:w="3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Department of Defense ("DoD")</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263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263</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w w:val="99"/>
              </w:rPr>
              <w:t>10%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center"/>
              <w:ind w:left="500"/>
              <w:spacing w:after="0"/>
              <w:rPr>
                <w:sz w:val="20"/>
                <w:szCs w:val="20"/>
                <w:color w:val="auto"/>
              </w:rPr>
            </w:pPr>
            <w:r>
              <w:rPr>
                <w:rFonts w:ascii="Arial" w:cs="Arial" w:eastAsia="Arial" w:hAnsi="Arial"/>
                <w:sz w:val="12"/>
                <w:szCs w:val="12"/>
                <w:color w:val="auto"/>
                <w:w w:val="96"/>
              </w:rPr>
              <w:t>—%</w:t>
            </w:r>
          </w:p>
        </w:tc>
        <w:tc>
          <w:tcPr>
            <w:tcW w:w="140" w:type="dxa"/>
            <w:vAlign w:val="bottom"/>
          </w:tcPr>
          <w:p>
            <w:pPr>
              <w:spacing w:after="0"/>
              <w:rPr>
                <w:sz w:val="16"/>
                <w:szCs w:val="16"/>
                <w:color w:val="auto"/>
              </w:rPr>
            </w:pPr>
          </w:p>
        </w:tc>
      </w:tr>
      <w:tr>
        <w:trPr>
          <w:trHeight w:val="171"/>
        </w:trPr>
        <w:tc>
          <w:tcPr>
            <w:tcW w:w="120" w:type="dxa"/>
            <w:vAlign w:val="bottom"/>
          </w:tcPr>
          <w:p>
            <w:pPr>
              <w:spacing w:after="0"/>
              <w:rPr>
                <w:sz w:val="14"/>
                <w:szCs w:val="1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milestone and royalty payments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44</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69%</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330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w w:val="99"/>
              </w:rPr>
              <w:t>12%</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938</w:t>
            </w:r>
          </w:p>
        </w:tc>
        <w:tc>
          <w:tcPr>
            <w:tcW w:w="820" w:type="dxa"/>
            <w:vAlign w:val="bottom"/>
            <w:tcBorders>
              <w:bottom w:val="single" w:sz="8" w:color="auto"/>
            </w:tcBorders>
          </w:tcPr>
          <w:p>
            <w:pPr>
              <w:jc w:val="center"/>
              <w:ind w:left="500"/>
              <w:spacing w:after="0"/>
              <w:rPr>
                <w:sz w:val="20"/>
                <w:szCs w:val="20"/>
                <w:color w:val="auto"/>
              </w:rPr>
            </w:pPr>
            <w:r>
              <w:rPr>
                <w:rFonts w:ascii="Arial" w:cs="Arial" w:eastAsia="Arial" w:hAnsi="Arial"/>
                <w:sz w:val="12"/>
                <w:szCs w:val="12"/>
                <w:color w:val="auto"/>
                <w:w w:val="91"/>
              </w:rPr>
              <w:t>74%</w:t>
            </w:r>
          </w:p>
        </w:tc>
        <w:tc>
          <w:tcPr>
            <w:tcW w:w="140" w:type="dxa"/>
            <w:vAlign w:val="bottom"/>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revenue</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1,244</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2,680</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1,274</w:t>
            </w:r>
          </w:p>
        </w:tc>
        <w:tc>
          <w:tcPr>
            <w:tcW w:w="820" w:type="dxa"/>
            <w:vAlign w:val="bottom"/>
            <w:tcBorders>
              <w:bottom w:val="single" w:sz="8" w:color="auto"/>
            </w:tcBorders>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contracts are addressed in detail in the Overview section of Part I, Item 2, "Management's Discussion and Analysis of Financial Condition and Results of Operations" above.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Alexion revenue</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March 2017, we signed a License Agreement with Alexion that granted them exclusive use of our proprietary LNP technology in one of Alexion's rare disease programs, and began recognizing a portion of the non-refundable upfront payment and services provided. In July 2017, we received notice of termination from Alexion for our LNP license agreement. The termination was driven by a strategic review of Alexion's business and research and development portfolio, which included a decision to discontinue development of mRNA therapeutics.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Gritstone revenue</w:t>
      </w:r>
    </w:p>
    <w:p>
      <w:pPr>
        <w:spacing w:after="0" w:line="15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On October 16, 2017, we entered into a license agreement with Gritstone that entitles Gritstone to research, develop, manufacture and commercialize products with the Company’s LNP technology. In October 2017, we received the upfront license payment, and are eligible to receive further potential payments for development and commercial milestone payments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F- 24</w:t>
      </w:r>
    </w:p>
    <w:p>
      <w:pPr>
        <w:sectPr>
          <w:pgSz w:w="11900" w:h="16838" w:orient="portrait"/>
          <w:cols w:equalWidth="0" w:num="1">
            <w:col w:w="11480"/>
          </w:cols>
          <w:pgMar w:left="220" w:top="293" w:right="199" w:bottom="1440" w:gutter="0" w:footer="0" w:header="0"/>
        </w:sectPr>
      </w:pPr>
    </w:p>
    <w:bookmarkStart w:id="27" w:name="page28"/>
    <w:bookmarkEnd w:id="27"/>
    <w:p>
      <w:pPr>
        <w:ind w:right="160"/>
        <w:spacing w:after="0" w:line="263" w:lineRule="auto"/>
        <w:rPr>
          <w:sz w:val="20"/>
          <w:szCs w:val="20"/>
          <w:color w:val="auto"/>
        </w:rPr>
      </w:pPr>
      <w:r>
        <w:rPr>
          <w:rFonts w:ascii="Arial" w:cs="Arial" w:eastAsia="Arial" w:hAnsi="Arial"/>
          <w:sz w:val="12"/>
          <w:szCs w:val="12"/>
          <w:color w:val="auto"/>
        </w:rPr>
        <w:t>and royalty payments on future product sales. Revenue recognized in the three and six months ended June 30, 2018 relates to the earned portion of the upfront license fee, as well as services provided to Gritstone. As a result of the Company's agreement with Genevant (see note 3 of the financial statements for details), from April 11, 2018 going forward Genevant is entitled to 50% of the revenues earned (excluding the upfront license payment discussed above) by the Company from Gritstone.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DoD Revenue</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Q3 2010 we signed a contract with the DoD to develop TKM-Ebola and have since incurred significant program costs related to equipment, materials and preclinical and clinical studies. In Q4 2015, the DoD contract was terminated. In Q2 2018 we completed contract close out procedures with the DoD and recorded the final reimbursement.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milestone and royalty payments</w:t>
      </w:r>
    </w:p>
    <w:p>
      <w:pPr>
        <w:spacing w:after="0" w:line="15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Under our licensing and collaboration arrangements with Alnylam and Acuitas, we earn licensing fee revenue from Acuitas as well as further potential development and commercial milestones from Alnylam for the use of our LNP technology. Our cross-license agreement with Acuitas has been terminated in accordance with the settlement agreement described under Part II, Item 1, "Legal Proceedings."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September 2013, Spectrum announced that they had shipped the first commercial orders of Marqibo. We continue to earn royalties on the sales of Marqibo, which utilizes a license to our technology.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Expenses </w:t>
      </w:r>
      <w:r>
        <w:rPr>
          <w:rFonts w:ascii="Arial" w:cs="Arial" w:eastAsia="Arial" w:hAnsi="Arial"/>
          <w:sz w:val="12"/>
          <w:szCs w:val="12"/>
          <w:color w:val="auto"/>
        </w:rPr>
        <w:t>/ Expenses are summarized in the following table,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tcBorders>
              <w:top w:val="single" w:sz="8" w:color="auto"/>
            </w:tcBorders>
          </w:tcPr>
          <w:p>
            <w:pPr>
              <w:spacing w:after="0"/>
              <w:rPr>
                <w:sz w:val="15"/>
                <w:szCs w:val="15"/>
                <w:color w:val="auto"/>
              </w:rPr>
            </w:pPr>
          </w:p>
        </w:tc>
        <w:tc>
          <w:tcPr>
            <w:tcW w:w="504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520" w:type="dxa"/>
            <w:vAlign w:val="bottom"/>
            <w:tcBorders>
              <w:top w:val="single" w:sz="8" w:color="auto"/>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rPr>
              <w:t>Three months ended June 30,</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420"/>
              <w:spacing w:after="0"/>
              <w:rPr>
                <w:sz w:val="20"/>
                <w:szCs w:val="20"/>
                <w:color w:val="auto"/>
              </w:rPr>
            </w:pPr>
            <w:r>
              <w:rPr>
                <w:rFonts w:ascii="Arial" w:cs="Arial" w:eastAsia="Arial" w:hAnsi="Arial"/>
                <w:sz w:val="12"/>
                <w:szCs w:val="12"/>
                <w:b w:val="1"/>
                <w:bCs w:val="1"/>
                <w:color w:val="auto"/>
              </w:rPr>
              <w:t>% of Total</w:t>
            </w:r>
          </w:p>
        </w:tc>
        <w:tc>
          <w:tcPr>
            <w:tcW w:w="4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2017</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2"/>
                <w:szCs w:val="12"/>
                <w:color w:val="auto"/>
              </w:rPr>
              <w:t>% of Total</w:t>
            </w:r>
          </w:p>
        </w:tc>
      </w:tr>
      <w:tr>
        <w:trPr>
          <w:trHeight w:val="178"/>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Research, development, collaborations and contracts</w:t>
            </w:r>
          </w:p>
        </w:tc>
        <w:tc>
          <w:tcPr>
            <w:tcW w:w="980" w:type="dxa"/>
            <w:vAlign w:val="bottom"/>
            <w:tcBorders>
              <w:top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2"/>
                <w:szCs w:val="12"/>
                <w:b w:val="1"/>
                <w:bCs w:val="1"/>
                <w:color w:val="auto"/>
                <w:w w:val="89"/>
              </w:rPr>
              <w:t>$</w:t>
            </w:r>
          </w:p>
        </w:tc>
        <w:tc>
          <w:tcPr>
            <w:tcW w:w="5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16,356</w:t>
            </w: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70%</w:t>
            </w:r>
          </w:p>
        </w:tc>
        <w:tc>
          <w:tcPr>
            <w:tcW w:w="1020" w:type="dxa"/>
            <w:vAlign w:val="bottom"/>
            <w:tcBorders>
              <w:top w:val="single" w:sz="8" w:color="auto"/>
            </w:tcBorders>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97"/>
              </w:rPr>
              <w:t>15,445</w:t>
            </w:r>
          </w:p>
        </w:tc>
        <w:tc>
          <w:tcPr>
            <w:tcW w:w="1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60" w:type="dxa"/>
            <w:vAlign w:val="bottom"/>
          </w:tcPr>
          <w:p>
            <w:pPr>
              <w:spacing w:after="0"/>
              <w:rPr>
                <w:sz w:val="15"/>
                <w:szCs w:val="15"/>
                <w:color w:val="auto"/>
              </w:rPr>
            </w:pPr>
          </w:p>
        </w:tc>
      </w:tr>
      <w:tr>
        <w:trPr>
          <w:trHeight w:val="171"/>
        </w:trPr>
        <w:tc>
          <w:tcPr>
            <w:tcW w:w="5100" w:type="dxa"/>
            <w:vAlign w:val="bottom"/>
            <w:gridSpan w:val="2"/>
          </w:tcPr>
          <w:p>
            <w:pPr>
              <w:ind w:left="2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b w:val="1"/>
                <w:bCs w:val="1"/>
                <w:color w:val="auto"/>
              </w:rPr>
              <w:t>3,775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20"/>
              <w:spacing w:after="0"/>
              <w:rPr>
                <w:sz w:val="20"/>
                <w:szCs w:val="20"/>
                <w:color w:val="auto"/>
              </w:rPr>
            </w:pPr>
            <w:r>
              <w:rPr>
                <w:rFonts w:ascii="Arial" w:cs="Arial" w:eastAsia="Arial" w:hAnsi="Arial"/>
                <w:sz w:val="12"/>
                <w:szCs w:val="12"/>
                <w:b w:val="1"/>
                <w:bCs w:val="1"/>
                <w:color w:val="auto"/>
              </w:rPr>
              <w:t>16%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4,599</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22%</w:t>
            </w:r>
          </w:p>
        </w:tc>
        <w:tc>
          <w:tcPr>
            <w:tcW w:w="60" w:type="dxa"/>
            <w:vAlign w:val="bottom"/>
          </w:tcPr>
          <w:p>
            <w:pPr>
              <w:spacing w:after="0"/>
              <w:rPr>
                <w:sz w:val="14"/>
                <w:szCs w:val="14"/>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Depreciation</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578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6"/>
                <w:szCs w:val="16"/>
                <w:color w:val="auto"/>
              </w:rPr>
            </w:pPr>
          </w:p>
        </w:tc>
      </w:tr>
      <w:tr>
        <w:trPr>
          <w:trHeight w:val="171"/>
        </w:trPr>
        <w:tc>
          <w:tcPr>
            <w:tcW w:w="5100" w:type="dxa"/>
            <w:vAlign w:val="bottom"/>
            <w:gridSpan w:val="2"/>
          </w:tcPr>
          <w:p>
            <w:pPr>
              <w:ind w:left="20"/>
              <w:spacing w:after="0"/>
              <w:rPr>
                <w:sz w:val="20"/>
                <w:szCs w:val="20"/>
                <w:color w:val="auto"/>
              </w:rPr>
            </w:pPr>
            <w:r>
              <w:rPr>
                <w:rFonts w:ascii="Arial" w:cs="Arial" w:eastAsia="Arial" w:hAnsi="Arial"/>
                <w:sz w:val="12"/>
                <w:szCs w:val="12"/>
                <w:color w:val="auto"/>
              </w:rPr>
              <w:t>Site consolidation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b w:val="1"/>
                <w:bCs w:val="1"/>
                <w:color w:val="auto"/>
              </w:rPr>
              <w:t>2,581</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2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5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980" w:type="dxa"/>
            <w:vAlign w:val="bottom"/>
            <w:tcBorders>
              <w:top w:val="single" w:sz="8" w:color="auto"/>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2"/>
                <w:szCs w:val="12"/>
                <w:b w:val="1"/>
                <w:bCs w:val="1"/>
                <w:color w:val="auto"/>
                <w:w w:val="89"/>
              </w:rPr>
              <w:t>$</w:t>
            </w:r>
          </w:p>
        </w:tc>
        <w:tc>
          <w:tcPr>
            <w:tcW w:w="5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23,290</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97"/>
              </w:rPr>
              <w:t>20,524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60"/>
        </w:trPr>
        <w:tc>
          <w:tcPr>
            <w:tcW w:w="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b w:val="1"/>
                <w:bCs w:val="1"/>
                <w:color w:val="auto"/>
              </w:rPr>
              <w:t>Six months ended June 30,</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69"/>
        </w:trPr>
        <w:tc>
          <w:tcPr>
            <w:tcW w:w="6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 of Total</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2017</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2"/>
                <w:szCs w:val="12"/>
                <w:color w:val="auto"/>
              </w:rPr>
              <w:t>% of Total</w:t>
            </w:r>
          </w:p>
        </w:tc>
      </w:tr>
      <w:tr>
        <w:trPr>
          <w:trHeight w:val="178"/>
        </w:trPr>
        <w:tc>
          <w:tcPr>
            <w:tcW w:w="6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Research, development, collaborations and contracts</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b w:val="1"/>
                <w:bCs w:val="1"/>
                <w:color w:val="auto"/>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30,305</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29,317</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r>
      <w:tr>
        <w:trPr>
          <w:trHeight w:val="171"/>
        </w:trPr>
        <w:tc>
          <w:tcPr>
            <w:tcW w:w="6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40"/>
              <w:spacing w:after="0"/>
              <w:rPr>
                <w:sz w:val="20"/>
                <w:szCs w:val="20"/>
                <w:color w:val="auto"/>
              </w:rPr>
            </w:pPr>
            <w:r>
              <w:rPr>
                <w:rFonts w:ascii="Arial" w:cs="Arial" w:eastAsia="Arial" w:hAnsi="Arial"/>
                <w:sz w:val="12"/>
                <w:szCs w:val="12"/>
                <w:b w:val="1"/>
                <w:bCs w:val="1"/>
                <w:color w:val="auto"/>
              </w:rPr>
              <w:t>7,444</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8,927</w:t>
            </w:r>
          </w:p>
        </w:tc>
        <w:tc>
          <w:tcPr>
            <w:tcW w:w="12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2"/>
                <w:szCs w:val="12"/>
                <w:color w:val="auto"/>
              </w:rPr>
              <w:t>23%</w:t>
            </w:r>
          </w:p>
        </w:tc>
      </w:tr>
      <w:tr>
        <w:trPr>
          <w:trHeight w:val="189"/>
        </w:trPr>
        <w:tc>
          <w:tcPr>
            <w:tcW w:w="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1,180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814</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r>
      <w:tr>
        <w:trPr>
          <w:trHeight w:val="171"/>
        </w:trPr>
        <w:tc>
          <w:tcPr>
            <w:tcW w:w="60" w:type="dxa"/>
            <w:vAlign w:val="bottom"/>
          </w:tcPr>
          <w:p>
            <w:pPr>
              <w:spacing w:after="0"/>
              <w:rPr>
                <w:sz w:val="14"/>
                <w:szCs w:val="1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Site consolidation</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4,202</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69"/>
        </w:trPr>
        <w:tc>
          <w:tcPr>
            <w:tcW w:w="60" w:type="dxa"/>
            <w:vAlign w:val="bottom"/>
          </w:tcPr>
          <w:p>
            <w:pPr>
              <w:spacing w:after="0"/>
              <w:rPr>
                <w:sz w:val="14"/>
                <w:szCs w:val="14"/>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98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43,131</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39,058</w:t>
            </w:r>
          </w:p>
        </w:tc>
        <w:tc>
          <w:tcPr>
            <w:tcW w:w="1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development, collaborations and contracts</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R&amp;D expenses increased in both the three and six months ended June 30, 2018 as compared to the three and six months ended June 30, 2017. Stock based compensation expense in the first six months of 2018 is about $3.0 million less than the first six months of 2017 due to the expiry of certain share repurchase rights in Q3 2017. Program R&amp;D expenses, however, have increased in the first half of 2018 over the first half of 2017 as our pipeline expands and goes further into the clinic. In the first half of 2017, we initiated a Phase 1 clinical trial for AB-423. In the first half of 2018 we initiated a Phase I clinical trial for POS AB-506 (capsid inhibitor) and it has shown striking potency and improved PK over AB-423 in preclinical studies. We will wait for AB-506 results before deciding whether or not to proceed with additional clinical evaluation of AB-423. We continue to incur costs related to our other programs including IND/CTA-enabling work and CTA regulatory filings completed in mid 2018 for AB-452 (HBV RNA Destabilizer), and pre-IND/CTA work on AB-729 (GalNAc-RNAi).</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F- 25</w:t>
      </w:r>
    </w:p>
    <w:p>
      <w:pPr>
        <w:sectPr>
          <w:pgSz w:w="11900" w:h="16838" w:orient="portrait"/>
          <w:cols w:equalWidth="0" w:num="1">
            <w:col w:w="11460"/>
          </w:cols>
          <w:pgMar w:left="220" w:top="293" w:right="219" w:bottom="1440" w:gutter="0" w:footer="0" w:header="0"/>
        </w:sectPr>
      </w:pPr>
    </w:p>
    <w:bookmarkStart w:id="28" w:name="page29"/>
    <w:bookmarkEnd w:id="28"/>
    <w:p>
      <w:pPr>
        <w:ind w:right="60"/>
        <w:spacing w:after="0" w:line="290" w:lineRule="auto"/>
        <w:rPr>
          <w:sz w:val="20"/>
          <w:szCs w:val="20"/>
          <w:color w:val="auto"/>
        </w:rPr>
      </w:pPr>
      <w:r>
        <w:rPr>
          <w:rFonts w:ascii="Arial" w:cs="Arial" w:eastAsia="Arial" w:hAnsi="Arial"/>
          <w:sz w:val="11"/>
          <w:szCs w:val="11"/>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our collaborations.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General and administrative expenses decreased in the three and six months ended June 30, 2018 compared to the three and six months ended June 30, 2017, primarily due to a decrease in non-cash compensation expense related to the expiry of repurchase rights in Q3 2017, offset by professional fees incurred related to the launch of Genevant Sciences - see Overview.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Site consolidation charges</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February 2018, we announced a site consolidation and organizational restructuring to better align our HBV business in Warminster, PA, by reducing our global workforce and closing our Burnaby facility. During the three and six months ended June 30, 2018 we initiated and substantially completed our site consolidation plan recording expenses of $2.6 million and $4.2 million, respectively. Most of the employee-related site consolidation expenses have been expensed rateably over the period that employees have provided services, which was substantially complete by June 30, 2018. Further, we have recorded the cost of remaining lease payments for the remaining term of the lease to July 2019, offset by income that we will expect to receive under a sublease contract entered into prior to June 30, 2018 for approximately 35% of the space available for sublease. We will continue to attempt to sublet the remaining space. We expect total site consolidation expenses to be approximately $5.0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Other income (losses) / </w:t>
      </w:r>
      <w:r>
        <w:rPr>
          <w:rFonts w:ascii="Arial" w:cs="Arial" w:eastAsia="Arial" w:hAnsi="Arial"/>
          <w:sz w:val="12"/>
          <w:szCs w:val="12"/>
          <w:color w:val="auto"/>
        </w:rPr>
        <w:t>Other income (losses) are summarized in the following table, in thousands: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Six Months Ended</w:t>
            </w:r>
          </w:p>
        </w:tc>
        <w:tc>
          <w:tcPr>
            <w:tcW w:w="840" w:type="dxa"/>
            <w:vAlign w:val="bottom"/>
            <w:tcBorders>
              <w:top w:val="single" w:sz="8" w:color="auto"/>
            </w:tcBorders>
          </w:tcPr>
          <w:p>
            <w:pPr>
              <w:spacing w:after="0"/>
              <w:rPr>
                <w:sz w:val="14"/>
                <w:szCs w:val="14"/>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83"/>
              </w:rPr>
              <w:t>June 30,</w:t>
            </w:r>
          </w:p>
        </w:tc>
        <w:tc>
          <w:tcPr>
            <w:tcW w:w="840" w:type="dxa"/>
            <w:vAlign w:val="bottom"/>
            <w:tcBorders>
              <w:bottom w:val="single" w:sz="8" w:color="auto"/>
            </w:tcBorders>
          </w:tcPr>
          <w:p>
            <w:pPr>
              <w:spacing w:after="0"/>
              <w:rPr>
                <w:sz w:val="16"/>
                <w:szCs w:val="16"/>
                <w:color w:val="auto"/>
              </w:rPr>
            </w:pPr>
          </w:p>
        </w:tc>
      </w:tr>
      <w:tr>
        <w:trPr>
          <w:trHeight w:val="169"/>
        </w:trPr>
        <w:tc>
          <w:tcPr>
            <w:tcW w:w="40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2017</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2017</w:t>
            </w:r>
          </w:p>
        </w:tc>
      </w:tr>
      <w:tr>
        <w:trPr>
          <w:trHeight w:val="178"/>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42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805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390</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1,563</w:t>
            </w:r>
          </w:p>
        </w:tc>
        <w:tc>
          <w:tcPr>
            <w:tcW w:w="7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758</w:t>
            </w:r>
          </w:p>
        </w:tc>
      </w:tr>
      <w:tr>
        <w:trPr>
          <w:trHeight w:val="171"/>
        </w:trPr>
        <w:tc>
          <w:tcPr>
            <w:tcW w:w="406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14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(104)</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exchange gains (losses)</w:t>
            </w:r>
          </w:p>
        </w:tc>
        <w:tc>
          <w:tcPr>
            <w:tcW w:w="1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(359)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798</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(885)</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1,225</w:t>
            </w:r>
          </w:p>
        </w:tc>
      </w:tr>
      <w:tr>
        <w:trPr>
          <w:trHeight w:val="171"/>
        </w:trPr>
        <w:tc>
          <w:tcPr>
            <w:tcW w:w="4060" w:type="dxa"/>
            <w:vAlign w:val="bottom"/>
          </w:tcPr>
          <w:p>
            <w:pPr>
              <w:ind w:left="20"/>
              <w:spacing w:after="0"/>
              <w:rPr>
                <w:sz w:val="20"/>
                <w:szCs w:val="20"/>
                <w:color w:val="auto"/>
              </w:rPr>
            </w:pPr>
            <w:r>
              <w:rPr>
                <w:rFonts w:ascii="Arial" w:cs="Arial" w:eastAsia="Arial" w:hAnsi="Arial"/>
                <w:sz w:val="12"/>
                <w:szCs w:val="12"/>
                <w:color w:val="auto"/>
              </w:rPr>
              <w:t>Gain on investment</w:t>
            </w:r>
          </w:p>
        </w:tc>
        <w:tc>
          <w:tcPr>
            <w:tcW w:w="14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b w:val="1"/>
                <w:bCs w:val="1"/>
                <w:color w:val="auto"/>
              </w:rPr>
              <w:t>24,884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24,884</w:t>
            </w:r>
          </w:p>
        </w:tc>
        <w:tc>
          <w:tcPr>
            <w:tcW w:w="780" w:type="dxa"/>
            <w:vAlign w:val="bottom"/>
          </w:tcPr>
          <w:p>
            <w:pPr>
              <w:spacing w:after="0"/>
              <w:rPr>
                <w:sz w:val="14"/>
                <w:szCs w:val="14"/>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fair value of warrant liability</w:t>
            </w:r>
          </w:p>
        </w:tc>
        <w:tc>
          <w:tcPr>
            <w:tcW w:w="14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71"/>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Decrease (increase) in fair value of contingent consideration</w:t>
            </w:r>
          </w:p>
        </w:tc>
        <w:tc>
          <w:tcPr>
            <w:tcW w:w="1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(193)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110</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655</w:t>
            </w: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w:t>
            </w:r>
          </w:p>
        </w:tc>
      </w:tr>
      <w:tr>
        <w:trPr>
          <w:trHeight w:val="169"/>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other income (losses)</w:t>
            </w:r>
          </w:p>
        </w:tc>
        <w:tc>
          <w:tcPr>
            <w:tcW w:w="1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25,137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1,230</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26,113</w:t>
            </w:r>
          </w:p>
        </w:tc>
        <w:tc>
          <w:tcPr>
            <w:tcW w:w="7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902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50" w:lineRule="exact"/>
        <w:rPr>
          <w:sz w:val="20"/>
          <w:szCs w:val="20"/>
          <w:color w:val="auto"/>
        </w:rPr>
      </w:pPr>
    </w:p>
    <w:p>
      <w:pPr>
        <w:jc w:val="both"/>
        <w:ind w:right="200"/>
        <w:spacing w:after="0" w:line="263" w:lineRule="auto"/>
        <w:rPr>
          <w:sz w:val="20"/>
          <w:szCs w:val="20"/>
          <w:color w:val="auto"/>
        </w:rPr>
      </w:pPr>
      <w:r>
        <w:rPr>
          <w:rFonts w:ascii="Arial" w:cs="Arial" w:eastAsia="Arial" w:hAnsi="Arial"/>
          <w:sz w:val="12"/>
          <w:szCs w:val="12"/>
          <w:color w:val="auto"/>
        </w:rPr>
        <w:t>As described in our our quantitative and qualitative disclosures about market risk in our Annual Report on Form 10-K for the year ended December 31, 2017, we invest our cash reserves in high interest savings accounts and guaranteed investment certificates and term deposits with varying terms to maturity (not exceeding two years) issued by major banks. The increase in interest income for the six months ended June 30, 2018 is due to the proceeds received from the preferred shares sold to Roivant (further described in note 6 of our financial statements) and more favorable interest rates during the year.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gains (losses)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continue to incur substantial expenses and hold cash and investment balances in Canadian dollars, and as such, will remain subject to risks associated with foreign currency fluctuations. For the three and six months ended June 30, 2018, we recorded foreign exchange losses, which are primarily unrealized losses related to the depreciation in value of our Canadian dollar funds, from the previous period, when converted to our functional currency of U.S. dollars. In the future, we expect that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F- 26</w:t>
      </w:r>
    </w:p>
    <w:p>
      <w:pPr>
        <w:sectPr>
          <w:pgSz w:w="11900" w:h="16838" w:orient="portrait"/>
          <w:cols w:equalWidth="0" w:num="1">
            <w:col w:w="11460"/>
          </w:cols>
          <w:pgMar w:left="220" w:top="437" w:right="21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proportion of cash and investment balances and expenses incurred in Canadian dollars, relative to U.S. dollars, will continue to decrease as a result of the site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investment in Genevant</w:t>
      </w:r>
    </w:p>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As described in Management's Discussion and Analysis of Financial Condition and Results of Operations - Overview section of this discussion and in the Notes to the Condensed Consolidated Financial Statements, in Q2 2018, together with Roivant, we launched Genevant, a jointly-owned company focused on the discovery, development, and commercialization of a broad range of RNA-based therapeutics enabled by our proprietary Delivery Technologies. This transaction, together with a subsequent secondary financing of Genevant, resulted in a gain on investment of $24.9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Decrease (increase) in fair value of contingent consideration</w:t>
      </w:r>
    </w:p>
    <w:p>
      <w:pPr>
        <w:spacing w:after="0" w:line="1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Contingent consideration is a liability assumed by the Company from our acquisition of Arbutus Inc. in March 2015. In general, increases in the fair value of the contingent consideration are related to the progress of our programs as they get closer to triggering contingent payments, as was the case with the increase in contingent consideration for the three months ended June 30, 2018. The decrease in contingent consideration for the six months ended June 30, 2018 is due to a delay in the progress of our program earlier in the year related to the first payment, which reduced the estimated fair value of the liability.</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cash flow activities for the periods indicated,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88"/>
              </w:rPr>
              <w:t>Six months ended</w:t>
            </w:r>
          </w:p>
        </w:tc>
        <w:tc>
          <w:tcPr>
            <w:tcW w:w="940" w:type="dxa"/>
            <w:vAlign w:val="bottom"/>
          </w:tcPr>
          <w:p>
            <w:pPr>
              <w:spacing w:after="0"/>
              <w:rPr>
                <w:sz w:val="13"/>
                <w:szCs w:val="13"/>
                <w:color w:val="auto"/>
              </w:rPr>
            </w:pPr>
          </w:p>
        </w:tc>
      </w:tr>
      <w:tr>
        <w:trPr>
          <w:trHeight w:val="189"/>
        </w:trPr>
        <w:tc>
          <w:tcPr>
            <w:tcW w:w="4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2"/>
                <w:szCs w:val="12"/>
                <w:b w:val="1"/>
                <w:bCs w:val="1"/>
                <w:color w:val="auto"/>
                <w:w w:val="91"/>
              </w:rPr>
              <w:t>June 30,</w:t>
            </w:r>
          </w:p>
        </w:tc>
        <w:tc>
          <w:tcPr>
            <w:tcW w:w="940" w:type="dxa"/>
            <w:vAlign w:val="bottom"/>
            <w:tcBorders>
              <w:bottom w:val="single" w:sz="8" w:color="auto"/>
            </w:tcBorders>
          </w:tcPr>
          <w:p>
            <w:pPr>
              <w:spacing w:after="0"/>
              <w:rPr>
                <w:sz w:val="16"/>
                <w:szCs w:val="16"/>
                <w:color w:val="auto"/>
              </w:rPr>
            </w:pPr>
          </w:p>
        </w:tc>
      </w:tr>
      <w:tr>
        <w:trPr>
          <w:trHeight w:val="169"/>
        </w:trPr>
        <w:tc>
          <w:tcPr>
            <w:tcW w:w="4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2017</w:t>
            </w:r>
          </w:p>
        </w:tc>
      </w:tr>
      <w:tr>
        <w:trPr>
          <w:trHeight w:val="178"/>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for the period</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3,091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(18,255)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(14,338)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(36,882)</w:t>
            </w:r>
          </w:p>
        </w:tc>
      </w:tr>
      <w:tr>
        <w:trPr>
          <w:trHeight w:val="171"/>
        </w:trPr>
        <w:tc>
          <w:tcPr>
            <w:tcW w:w="4320" w:type="dxa"/>
            <w:vAlign w:val="bottom"/>
          </w:tcPr>
          <w:p>
            <w:pPr>
              <w:ind w:left="20"/>
              <w:spacing w:after="0"/>
              <w:rPr>
                <w:sz w:val="20"/>
                <w:szCs w:val="20"/>
                <w:color w:val="auto"/>
              </w:rPr>
            </w:pPr>
            <w:r>
              <w:rPr>
                <w:rFonts w:ascii="Arial" w:cs="Arial" w:eastAsia="Arial" w:hAnsi="Arial"/>
                <w:sz w:val="12"/>
                <w:szCs w:val="12"/>
                <w:color w:val="auto"/>
                <w:w w:val="93"/>
              </w:rPr>
              <w:t>Adjustments to reconcile net income (loss) to net cash provided by operating activities</w:t>
            </w:r>
          </w:p>
        </w:tc>
        <w:tc>
          <w:tcPr>
            <w:tcW w:w="3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b w:val="1"/>
                <w:bCs w:val="1"/>
                <w:color w:val="auto"/>
              </w:rPr>
              <w:t>(20,696)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4,649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(19,422)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10,142</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8,528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(3,829)</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4,123</w:t>
            </w:r>
          </w:p>
        </w:tc>
      </w:tr>
      <w:tr>
        <w:trPr>
          <w:trHeight w:val="160"/>
        </w:trPr>
        <w:tc>
          <w:tcPr>
            <w:tcW w:w="4320" w:type="dxa"/>
            <w:vAlign w:val="bottom"/>
          </w:tcPr>
          <w:p>
            <w:pPr>
              <w:ind w:left="40"/>
              <w:spacing w:after="0"/>
              <w:rPr>
                <w:sz w:val="20"/>
                <w:szCs w:val="20"/>
                <w:color w:val="auto"/>
              </w:rPr>
            </w:pPr>
            <w:r>
              <w:rPr>
                <w:rFonts w:ascii="Arial" w:cs="Arial" w:eastAsia="Arial" w:hAnsi="Arial"/>
                <w:sz w:val="12"/>
                <w:szCs w:val="12"/>
                <w:color w:val="auto"/>
              </w:rPr>
              <w:t>Net cash used in operating activities</w:t>
            </w:r>
          </w:p>
        </w:tc>
        <w:tc>
          <w:tcPr>
            <w:tcW w:w="36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b w:val="1"/>
                <w:bCs w:val="1"/>
                <w:color w:val="auto"/>
              </w:rPr>
              <w:t>(17,622)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(5,078)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(37,589)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(22,617)</w:t>
            </w:r>
          </w:p>
        </w:tc>
      </w:tr>
      <w:tr>
        <w:trPr>
          <w:trHeight w:val="189"/>
        </w:trPr>
        <w:tc>
          <w:tcPr>
            <w:tcW w:w="4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cash provided by (used in) investing activities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14,980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(60,686)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21,810</w:t>
            </w:r>
          </w:p>
        </w:tc>
      </w:tr>
      <w:tr>
        <w:trPr>
          <w:trHeight w:val="171"/>
        </w:trPr>
        <w:tc>
          <w:tcPr>
            <w:tcW w:w="4320" w:type="dxa"/>
            <w:vAlign w:val="bottom"/>
          </w:tcPr>
          <w:p>
            <w:pPr>
              <w:ind w:left="40"/>
              <w:spacing w:after="0"/>
              <w:rPr>
                <w:sz w:val="20"/>
                <w:szCs w:val="20"/>
                <w:color w:val="auto"/>
              </w:rPr>
            </w:pPr>
            <w:r>
              <w:rPr>
                <w:rFonts w:ascii="Arial" w:cs="Arial" w:eastAsia="Arial" w:hAnsi="Arial"/>
                <w:sz w:val="12"/>
                <w:szCs w:val="12"/>
                <w:color w:val="auto"/>
              </w:rPr>
              <w:t>Net cash provided by financing activities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b w:val="1"/>
                <w:bCs w:val="1"/>
                <w:color w:val="auto"/>
              </w:rPr>
              <w:t>735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55,102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358</w:t>
            </w:r>
          </w:p>
        </w:tc>
      </w:tr>
      <w:tr>
        <w:trPr>
          <w:trHeight w:val="189"/>
        </w:trPr>
        <w:tc>
          <w:tcPr>
            <w:tcW w:w="4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Effect of foreign exchange rate changes on cash &amp;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(361)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(926)</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1,248</w:t>
            </w:r>
          </w:p>
        </w:tc>
      </w:tr>
      <w:tr>
        <w:trPr>
          <w:trHeight w:val="160"/>
        </w:trPr>
        <w:tc>
          <w:tcPr>
            <w:tcW w:w="43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36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b w:val="1"/>
                <w:bCs w:val="1"/>
                <w:color w:val="auto"/>
              </w:rPr>
              <w:t>(2,268)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(5,639)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(44,099)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799</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12,461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29,851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54,292</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23,413</w:t>
            </w:r>
          </w:p>
        </w:tc>
      </w:tr>
      <w:tr>
        <w:trPr>
          <w:trHeight w:val="151"/>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Cash and cash equivalents, end of period</w:t>
            </w: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b w:val="1"/>
                <w:bCs w:val="1"/>
                <w:color w:val="auto"/>
              </w:rPr>
              <w:t>10,193</w:t>
            </w:r>
          </w:p>
        </w:tc>
        <w:tc>
          <w:tcPr>
            <w:tcW w:w="10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24,212</w:t>
            </w:r>
          </w:p>
        </w:tc>
        <w:tc>
          <w:tcPr>
            <w:tcW w:w="1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10,193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24,212</w:t>
            </w:r>
          </w:p>
        </w:tc>
      </w:tr>
    </w:tbl>
    <w:p>
      <w:pPr>
        <w:spacing w:after="0" w:line="153"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15"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At June 30, 2018, we had an aggregate of $154.9 million in cash and cash equivalents and short-term investments, as compared to an aggregate of $139.0 million in cash and cash equivalents, short-term investments, and restricted investments at December 31, 2017.</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For the six months ended June 30, 2018, operating activities used $37.6 million in cash as compared to $22.6 million of cash used in the six months ended June 30, 2017. The increase in net cash used in operating activities is largely related to site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F- 27</w:t>
      </w:r>
    </w:p>
    <w:p>
      <w:pPr>
        <w:sectPr>
          <w:pgSz w:w="11900" w:h="16838" w:orient="portrait"/>
          <w:cols w:equalWidth="0" w:num="1">
            <w:col w:w="11460"/>
          </w:cols>
          <w:pgMar w:left="220" w:top="293" w:right="21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consolidation expenses in the first half of 2018 and, conversely, cash in-flows from the Alexion collaboration in the first half of 2017.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six months ended June 30, 2018, investing activities decreased cash by $60.7 million as we invested the cash received from the preferred share financing in short term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For the six months ended June 30, 2018, financing activities increased cash by $55.1 million due to the completion of Tranche 2 of the private financing netting $66.3 million, offset by repayment of our promissory note to Wells Fargo.</w:t>
      </w:r>
    </w:p>
    <w:p>
      <w:pPr>
        <w:spacing w:after="0" w:line="158" w:lineRule="exact"/>
        <w:rPr>
          <w:sz w:val="20"/>
          <w:szCs w:val="20"/>
          <w:color w:val="auto"/>
        </w:rPr>
      </w:pPr>
    </w:p>
    <w:p>
      <w:pPr>
        <w:ind w:right="140"/>
        <w:spacing w:after="0" w:line="267" w:lineRule="auto"/>
        <w:rPr>
          <w:sz w:val="20"/>
          <w:szCs w:val="20"/>
          <w:color w:val="auto"/>
        </w:rPr>
      </w:pPr>
      <w:r>
        <w:rPr>
          <w:rFonts w:ascii="Arial" w:cs="Arial" w:eastAsia="Arial" w:hAnsi="Arial"/>
          <w:sz w:val="12"/>
          <w:szCs w:val="12"/>
          <w:b w:val="1"/>
          <w:bCs w:val="1"/>
          <w:color w:val="auto"/>
        </w:rPr>
        <w:t xml:space="preserve">Cash requirements / </w:t>
      </w:r>
      <w:r>
        <w:rPr>
          <w:rFonts w:ascii="Arial" w:cs="Arial" w:eastAsia="Arial" w:hAnsi="Arial"/>
          <w:sz w:val="12"/>
          <w:szCs w:val="12"/>
          <w:color w:val="auto"/>
        </w:rPr>
        <w:t>At June 30, 2018 we held an aggregate of $154.9 million in cash, comprised of $10.2 million in cash and cash equivalents and $144.7 million in short-term investments. In October 2017, we announced that we had</w:t>
      </w:r>
      <w:r>
        <w:rPr>
          <w:rFonts w:ascii="Arial" w:cs="Arial" w:eastAsia="Arial" w:hAnsi="Arial"/>
          <w:sz w:val="12"/>
          <w:szCs w:val="12"/>
          <w:b w:val="1"/>
          <w:bCs w:val="1"/>
          <w:color w:val="auto"/>
        </w:rPr>
        <w:t xml:space="preserve"> </w:t>
      </w:r>
      <w:r>
        <w:rPr>
          <w:rFonts w:ascii="Arial" w:cs="Arial" w:eastAsia="Arial" w:hAnsi="Arial"/>
          <w:sz w:val="12"/>
          <w:szCs w:val="12"/>
          <w:color w:val="auto"/>
        </w:rPr>
        <w:t>entered into a subscription agreement with Roivant Sciences Ltd. ("Roivant") for the sale of Preferred Shares to Roivant for gross proceeds of $116.4 million. The initial investment of $50.0 million closed in October 2017, and the remaining amount of $66.4 million closed in January 2018.</w:t>
      </w:r>
    </w:p>
    <w:p>
      <w:pPr>
        <w:spacing w:after="0" w:line="120"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33" w:lineRule="exact"/>
        <w:rPr>
          <w:sz w:val="20"/>
          <w:szCs w:val="20"/>
          <w:color w:val="auto"/>
        </w:rPr>
      </w:pPr>
    </w:p>
    <w:p>
      <w:pPr>
        <w:ind w:left="900" w:hanging="368"/>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need for additional capital to fund future business development programs;</w:t>
      </w:r>
    </w:p>
    <w:p>
      <w:pPr>
        <w:spacing w:after="0" w:line="15"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revenue earned from our legacy collaborative partnerships and licensing agreements, including potential royalty payments from Alnylam;</w:t>
      </w:r>
    </w:p>
    <w:p>
      <w:pPr>
        <w:spacing w:after="0" w:line="14"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revenue earned from ongoing collaborative partnerships, including milestone and royalty payments;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extent to which we continue the development of our product candidates, add new product candidates to our pipeline, or form collaborative relationships to advance our products;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decisions to in-license or acquire additional products or technology for development, in particular for our HBV therapeutics programs;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attract and retain corporate partners, and their effectiveness in carrying out the development and ultimate commercialization of our product candidates;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whether batches of drugs that we manufacture fail to meet specifications resulting in delays and investigational and remanufacturing costs;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decisions, and the timing of decisions, made by health regulatory agencies regarding our technology and products;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competing technological and market developments;</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associated with prosecuting and enforcing our patent claims and other intellectual property rights, including litigation and arbitration arising in the course of our business activities; and</w:t>
      </w:r>
    </w:p>
    <w:p>
      <w:pPr>
        <w:spacing w:after="0" w:line="6" w:lineRule="exact"/>
        <w:rPr>
          <w:rFonts w:ascii="Arial" w:cs="Arial" w:eastAsia="Arial" w:hAnsi="Arial"/>
          <w:sz w:val="12"/>
          <w:szCs w:val="12"/>
          <w:color w:val="auto"/>
        </w:rPr>
      </w:pPr>
    </w:p>
    <w:p>
      <w:pPr>
        <w:ind w:left="860" w:hanging="328"/>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associated with our site consolidation plans.</w:t>
      </w:r>
    </w:p>
    <w:p>
      <w:pPr>
        <w:spacing w:after="0" w:line="141"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intend to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F- 28</w:t>
      </w:r>
    </w:p>
    <w:p>
      <w:pPr>
        <w:sectPr>
          <w:pgSz w:w="11900" w:h="16838" w:orient="portrait"/>
          <w:cols w:equalWidth="0" w:num="1">
            <w:col w:w="11440"/>
          </w:cols>
          <w:pgMar w:left="220" w:top="293" w:right="239"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auto"/>
        </w:rPr>
        <w:t>The following table summarizes our contractual obligations as at June 30,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 millions)</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Payments Due by Period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r>
      <w:tr>
        <w:trPr>
          <w:trHeight w:val="140"/>
        </w:trPr>
        <w:tc>
          <w:tcPr>
            <w:tcW w:w="3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220"/>
              <w:spacing w:after="0"/>
              <w:rPr>
                <w:sz w:val="20"/>
                <w:szCs w:val="20"/>
                <w:color w:val="auto"/>
              </w:rPr>
            </w:pPr>
            <w:r>
              <w:rPr>
                <w:rFonts w:ascii="Arial" w:cs="Arial" w:eastAsia="Arial" w:hAnsi="Arial"/>
                <w:sz w:val="12"/>
                <w:szCs w:val="12"/>
                <w:b w:val="1"/>
                <w:bCs w:val="1"/>
                <w:color w:val="auto"/>
              </w:rPr>
              <w:t>Less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1 – 3</w:t>
            </w:r>
          </w:p>
        </w:tc>
        <w:tc>
          <w:tcPr>
            <w:tcW w:w="340" w:type="dxa"/>
            <w:vAlign w:val="bottom"/>
          </w:tcPr>
          <w:p>
            <w:pPr>
              <w:spacing w:after="0"/>
              <w:rPr>
                <w:sz w:val="12"/>
                <w:szCs w:val="12"/>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9"/>
              </w:rPr>
              <w:t>3 – 5</w:t>
            </w:r>
          </w:p>
        </w:tc>
        <w:tc>
          <w:tcPr>
            <w:tcW w:w="280" w:type="dxa"/>
            <w:vAlign w:val="bottom"/>
          </w:tcPr>
          <w:p>
            <w:pPr>
              <w:spacing w:after="0"/>
              <w:rPr>
                <w:sz w:val="12"/>
                <w:szCs w:val="12"/>
                <w:color w:val="auto"/>
              </w:rPr>
            </w:pPr>
          </w:p>
        </w:tc>
        <w:tc>
          <w:tcPr>
            <w:tcW w:w="1200" w:type="dxa"/>
            <w:vAlign w:val="bottom"/>
          </w:tcPr>
          <w:p>
            <w:pPr>
              <w:jc w:val="right"/>
              <w:ind w:right="420"/>
              <w:spacing w:after="0"/>
              <w:rPr>
                <w:sz w:val="20"/>
                <w:szCs w:val="20"/>
                <w:color w:val="auto"/>
              </w:rPr>
            </w:pPr>
            <w:r>
              <w:rPr>
                <w:rFonts w:ascii="Arial" w:cs="Arial" w:eastAsia="Arial" w:hAnsi="Arial"/>
                <w:sz w:val="12"/>
                <w:szCs w:val="12"/>
                <w:b w:val="1"/>
                <w:bCs w:val="1"/>
                <w:color w:val="auto"/>
              </w:rPr>
              <w:t>More than</w:t>
            </w:r>
          </w:p>
        </w:tc>
      </w:tr>
      <w:tr>
        <w:trPr>
          <w:trHeight w:val="166"/>
        </w:trPr>
        <w:tc>
          <w:tcPr>
            <w:tcW w:w="3560" w:type="dxa"/>
            <w:vAlign w:val="bottom"/>
          </w:tcPr>
          <w:p>
            <w:pPr>
              <w:spacing w:after="0"/>
              <w:rPr>
                <w:sz w:val="14"/>
                <w:szCs w:val="14"/>
                <w:color w:val="auto"/>
              </w:rPr>
            </w:pPr>
          </w:p>
        </w:tc>
        <w:tc>
          <w:tcPr>
            <w:tcW w:w="1060" w:type="dxa"/>
            <w:vAlign w:val="bottom"/>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b w:val="1"/>
                <w:bCs w:val="1"/>
                <w:color w:val="auto"/>
              </w:rPr>
              <w:t>than 1 year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years</w:t>
            </w:r>
          </w:p>
        </w:tc>
        <w:tc>
          <w:tcPr>
            <w:tcW w:w="34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2"/>
              </w:rPr>
              <w:t>years</w:t>
            </w:r>
          </w:p>
        </w:tc>
        <w:tc>
          <w:tcPr>
            <w:tcW w:w="28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2"/>
                <w:szCs w:val="12"/>
                <w:b w:val="1"/>
                <w:bCs w:val="1"/>
                <w:color w:val="auto"/>
              </w:rPr>
              <w:t>5 years</w:t>
            </w:r>
          </w:p>
        </w:tc>
      </w:tr>
      <w:tr>
        <w:trPr>
          <w:trHeight w:val="178"/>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Contractual Obligations</w:t>
            </w:r>
          </w:p>
        </w:tc>
        <w:tc>
          <w:tcPr>
            <w:tcW w:w="10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71"/>
        </w:trPr>
        <w:tc>
          <w:tcPr>
            <w:tcW w:w="3560" w:type="dxa"/>
            <w:vAlign w:val="bottom"/>
          </w:tcPr>
          <w:p>
            <w:pPr>
              <w:ind w:left="20"/>
              <w:spacing w:after="0"/>
              <w:rPr>
                <w:sz w:val="20"/>
                <w:szCs w:val="20"/>
                <w:color w:val="auto"/>
              </w:rPr>
            </w:pPr>
            <w:r>
              <w:rPr>
                <w:rFonts w:ascii="Arial" w:cs="Arial" w:eastAsia="Arial" w:hAnsi="Arial"/>
                <w:sz w:val="12"/>
                <w:szCs w:val="12"/>
                <w:color w:val="auto"/>
              </w:rPr>
              <w:t>Facility leases</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4"/>
                <w:szCs w:val="14"/>
                <w:color w:val="auto"/>
              </w:rPr>
            </w:pPr>
          </w:p>
        </w:tc>
        <w:tc>
          <w:tcPr>
            <w:tcW w:w="1140" w:type="dxa"/>
            <w:vAlign w:val="bottom"/>
          </w:tcPr>
          <w:p>
            <w:pPr>
              <w:jc w:val="right"/>
              <w:ind w:right="1000"/>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2.8</w:t>
            </w:r>
          </w:p>
        </w:tc>
      </w:tr>
      <w:tr>
        <w:trPr>
          <w:trHeight w:val="189"/>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2"/>
                <w:szCs w:val="12"/>
                <w:b w:val="1"/>
                <w:bCs w:val="1"/>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2"/>
                <w:szCs w:val="12"/>
                <w:b w:val="1"/>
                <w:bCs w:val="1"/>
                <w:color w:val="auto"/>
                <w:w w:val="89"/>
              </w:rPr>
              <w:t>$</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2.8</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INFLATION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Inflation has not had a material impact on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A participating convertible preferred shares</w:t>
      </w:r>
    </w:p>
    <w:p>
      <w:pPr>
        <w:spacing w:after="0" w:line="154" w:lineRule="exact"/>
        <w:rPr>
          <w:sz w:val="20"/>
          <w:szCs w:val="20"/>
          <w:color w:val="auto"/>
        </w:rPr>
      </w:pPr>
    </w:p>
    <w:p>
      <w:pPr>
        <w:jc w:val="both"/>
        <w:ind w:right="20"/>
        <w:spacing w:after="0" w:line="305" w:lineRule="auto"/>
        <w:rPr>
          <w:sz w:val="20"/>
          <w:szCs w:val="20"/>
          <w:color w:val="auto"/>
        </w:rPr>
      </w:pPr>
      <w:r>
        <w:rPr>
          <w:rFonts w:ascii="Arial" w:cs="Arial" w:eastAsia="Arial" w:hAnsi="Arial"/>
          <w:sz w:val="10"/>
          <w:szCs w:val="10"/>
          <w:color w:val="auto"/>
        </w:rPr>
        <w:t>On October 2, 2017, we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On a pro-forma basis, after conversion of the Preferred Shares into common shares on October 16, 2021, based on the number of common shares outstanding on July 31, 2018, Roivant would</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hold 49.50%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initial investment of $50.0 million closed on October 16, 2017, and the remaining amount of $66.4 million closed on January 12, 2018 following regulatory and shareholder approvals.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Services purchased from Roivant</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During 2018, we purchased certain research and development services from Roivant, which are billed at agreed hourly rates and reflective of market rates for such services. The total cost of these services was $0.6 million for the three and six months ended June 30,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Launch with Roivant of jointly-owned Genevant Sciences</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April 11, 2018, we entered into an agreement with Roivant Sciences to launch Genevant Sciences ("Genevant"), a jointly-owned company focused on the discovery, development, and commercialization of a broad range of RNA-based therapeutics enabled by Arbutus' proprietary lipid nanoparticle (LNP) and ligand conjugate delivery technologies.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Under the terms of the agreement, we contributed a license to the delivery technologies, and equipment required for lab operations. The contributed license provides Genevant with exclusive rights to the LNP and ligand conjugate delivery platforms for RNA-based applications outside of HBV. Roivant has contributed $37.5 million in transaction-related seed capital for Genevant, consisting of an initial capital contribution of $22.5 million and a subsequent investment of a further $15.0 million at a pre-determined, stepped-up valuation. We retain all rights to the LNP and conjugate delivery platforms for HBV, and will be entitled to a tiered low single-digit royalty from Genevant on future sales of products enabled by those delivery platforms. We also retain the entirety of its royalty entitlement on the commercialization of Alnylam's patisiran.</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Subsequent to the transaction date, we continue to provide certain transition services to Genevant consisting primarily of general and administrative support and Genevant provides certain R&amp;D services to Arbutus primarily related to the LNP and conjugate delivery technologies. These services are billed by each respective party at contractually agreed hourly rates, which are reflective of market rates for such services. In addition, we have entered into a sublease with Genevant for 17,900 square feet of space in Arbutus' Burnaby facility, at rates that are consistent with market rates.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F- 29</w:t>
      </w:r>
    </w:p>
    <w:p>
      <w:pPr>
        <w:sectPr>
          <w:pgSz w:w="11900" w:h="16838" w:orient="portrait"/>
          <w:cols w:equalWidth="0" w:num="1">
            <w:col w:w="11480"/>
          </w:cols>
          <w:pgMar w:left="220" w:top="437" w:right="199" w:bottom="1440" w:gutter="0" w:footer="0" w:header="0"/>
        </w:sectPr>
      </w:pPr>
    </w:p>
    <w:bookmarkStart w:id="32" w:name="page33"/>
    <w:bookmarkEnd w:id="32"/>
    <w:p>
      <w:pPr>
        <w:ind w:right="440"/>
        <w:spacing w:after="0" w:line="276" w:lineRule="auto"/>
        <w:rPr>
          <w:sz w:val="20"/>
          <w:szCs w:val="20"/>
          <w:color w:val="auto"/>
        </w:rPr>
      </w:pPr>
      <w:r>
        <w:rPr>
          <w:rFonts w:ascii="Arial" w:cs="Arial" w:eastAsia="Arial" w:hAnsi="Arial"/>
          <w:sz w:val="12"/>
          <w:szCs w:val="12"/>
          <w:color w:val="auto"/>
        </w:rPr>
        <w:t>At April 11, 2018, Arbutus and Roivant each received a 50% ownership interest in Genevant. As a result of the subsequent investment in Genevant completed on June 25, 2018 by Roivant, we owned 41% of the common equity of Genevant as at June 30, 2018. Refer to Part I, Item 2 "Management's Discussion and Analysis of Financial Condition and Results of Operations - Overview" for additional information.</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During 2018, we purchased certain research and development services from Genevant. These services are billed at agreed hourly rates and reflective of market rates for such services. The total cost of these services was $0.1 million for the six months ended June 30, 2018.</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Conversely, Genevant purchased certain G&amp;A and transitional services from us and has a sublease for 17,900 square feet in our Burnaby facility. The total income for these services was $0.2 million for the six months ended June 30,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F- 30</w:t>
      </w:r>
    </w:p>
    <w:p>
      <w:pPr>
        <w:sectPr>
          <w:pgSz w:w="11900" w:h="16838" w:orient="portrait"/>
          <w:cols w:equalWidth="0" w:num="1">
            <w:col w:w="11460"/>
          </w:cols>
          <w:pgMar w:left="220" w:top="437" w:right="2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OUTSTANDING SHARE DATA</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As of July 31, 2018, we had 55,404,298 common shares, no par value, outstanding. In addition, we had 6,757,728 stock options outstanding and 1,164,000 Series A participating convertible preferred shares outstanding, which will be mandatorily convertible into 22,589,601 common shares on October 16, 2021. Assuming the 6,757,728 stock options were exercised and the preferred shares were converted into 22,589,601 common shares, we would have had 84,751,627 common shares outstanding at July 31, 2018.</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3.</w:t>
        <w:tab/>
        <w:t>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our quantitative and qualitative disclosures about market risk from those disclosed in our Annual Report on Form 10-K for the year ended December 31, 2017.</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154"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As of June 30, 2018, an evaluation of the effectiveness of our “disclosure controls and procedures” (as such term is defined in Rules 13a-15(e) and 15d-15(e) under the Securities Exchange Act of 1934) was carried out by our management, with the participation of our Chief Executive Officer (CEO) and Chief Accounting Officer (CAO), our principal accounting officer. Based upon this evaluation, the CEO and CAO have concluded that as of June 30, 2018,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CAO, to allow timely decisions regarding required disclosure.</w:t>
      </w:r>
    </w:p>
    <w:p>
      <w:pPr>
        <w:spacing w:after="0" w:line="94"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It should be noted that while the CEO and CAO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68"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(as defined in Rules 13a–15(f) and 15d–15(f) under the Exchange Act) during the three months ended June 30, 2018 that have materially affected, or are reasonably likely to materially affect, our internal control over financial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F- 31</w:t>
      </w:r>
    </w:p>
    <w:p>
      <w:pPr>
        <w:sectPr>
          <w:pgSz w:w="11900" w:h="16838" w:orient="portrait"/>
          <w:cols w:equalWidth="0" w:num="1">
            <w:col w:w="11480"/>
          </w:cols>
          <w:pgMar w:left="220" w:top="577" w:right="199" w:bottom="1440" w:gutter="0" w:footer="0" w:header="0"/>
        </w:sectPr>
      </w:pPr>
    </w:p>
    <w:bookmarkStart w:id="34" w:name="page35"/>
    <w:bookmarkEnd w:id="34"/>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UBC Arbitration</w:t>
      </w:r>
    </w:p>
    <w:p>
      <w:pPr>
        <w:spacing w:after="0" w:line="181" w:lineRule="exact"/>
        <w:rPr>
          <w:sz w:val="20"/>
          <w:szCs w:val="20"/>
          <w:color w:val="auto"/>
        </w:rPr>
      </w:pPr>
    </w:p>
    <w:p>
      <w:pPr>
        <w:jc w:val="both"/>
        <w:ind w:right="220" w:firstLine="432"/>
        <w:spacing w:after="0" w:line="263" w:lineRule="auto"/>
        <w:rPr>
          <w:sz w:val="20"/>
          <w:szCs w:val="20"/>
          <w:color w:val="auto"/>
        </w:rPr>
      </w:pPr>
      <w:r>
        <w:rPr>
          <w:rFonts w:ascii="Arial" w:cs="Arial" w:eastAsia="Arial" w:hAnsi="Arial"/>
          <w:sz w:val="12"/>
          <w:szCs w:val="12"/>
          <w:color w:val="auto"/>
        </w:rPr>
        <w:t>Certain early work on liposomal delivery systems and related inventions was undertaken by us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RNAi products.</w:t>
      </w:r>
    </w:p>
    <w:p>
      <w:pPr>
        <w:spacing w:after="0" w:line="123"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phases, beginning with a liability phase, addressing UBC’s Claims and Arbutus’ Counterclaim, that took place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The arbitrator also held that the patent application that is the subject of the Counterclaim was not required to be licensed to Arbutus. A schedule for the remaining phases has not yet been set.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Acuitas Therapeutics</w:t>
      </w:r>
    </w:p>
    <w:p>
      <w:pPr>
        <w:spacing w:after="0" w:line="15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On August 29, 2016, Arbutus provided Acuitas with notice that Arbutus considered Acuitas to be in material breach of their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disputed Acuitas' position and filed a counterclaim seeking, among other relief, a declaration that the cross-license agreement had been terminated.</w:t>
      </w:r>
    </w:p>
    <w:p>
      <w:pPr>
        <w:spacing w:after="0" w:line="1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Under the terms of the pre-clinical trial injunction, Acuitas was prevented from entering into any new agreements which include sublicensing of Arbutus’ LNP. On March 7, 2017, Acuitas appealed the injunction decision and on April 3, 2017, the appeal was denied. On September 29, 2017, the injunction order was extended by consent to March 2, 2018. On February 21, 2018, the contractual issues concerning the cross-license agreement (excluding the claims for damages) were settled out of court, resulting in the termination of Acuitas’ rights to further use or sublicense our LNP technology, making permanent the effect of the Court’s prior injunction. We have now consolidated our LNP intellectual property estate, which is the most clinically validated delivery technology suitable for RNAi, mRNA therapeutics, and gene editing applications. The settlement stipulates that the four non-exclusive viral vaccine sublicenses previously granted to Moderna are the only sublicenses to survive. These four sublicenses,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F- 32</w:t>
      </w:r>
    </w:p>
    <w:p>
      <w:pPr>
        <w:sectPr>
          <w:pgSz w:w="11900" w:h="16838" w:orient="portrait"/>
          <w:cols w:equalWidth="0" w:num="1">
            <w:col w:w="11480"/>
          </w:cols>
          <w:pgMar w:left="220" w:top="595" w:right="199" w:bottom="1440" w:gutter="0" w:footer="0" w:header="0"/>
        </w:sectPr>
      </w:pPr>
    </w:p>
    <w:bookmarkStart w:id="35" w:name="page36"/>
    <w:bookmarkEnd w:id="35"/>
    <w:p>
      <w:pPr>
        <w:spacing w:after="0" w:line="263" w:lineRule="auto"/>
        <w:rPr>
          <w:sz w:val="20"/>
          <w:szCs w:val="20"/>
          <w:color w:val="auto"/>
        </w:rPr>
      </w:pPr>
      <w:r>
        <w:rPr>
          <w:rFonts w:ascii="Arial" w:cs="Arial" w:eastAsia="Arial" w:hAnsi="Arial"/>
          <w:sz w:val="12"/>
          <w:szCs w:val="12"/>
          <w:color w:val="auto"/>
        </w:rPr>
        <w:t>previously granted by Acuitas to Moderna under the pre-April 15, 2010 LNP patent families are each limited to a specific viral target. Moderna has no other rights to Arbutus’ broad suite of LNP intellectual property. No other sublicenses of Arbutus technology were provided to third parties by Acuitas and accordingly, no other sublicenses of Arbutus technology by Acuitas survived the settlement. This milestone further establishes us as the owner and only source of an industry-leading LNP delivery technology with the ability to develop a full range of nucleic acid-based applications.</w:t>
      </w:r>
    </w:p>
    <w:p>
      <w:pPr>
        <w:spacing w:after="0" w:line="11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our risk factors from those disclosed in our Annual Report on Form 10-K for the fiscal year-ended December 31, 2017.</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See the Exhibit Index hereto.</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F- 33</w:t>
      </w:r>
    </w:p>
    <w:p>
      <w:pPr>
        <w:sectPr>
          <w:pgSz w:w="11900" w:h="16838" w:orient="portrait"/>
          <w:cols w:equalWidth="0" w:num="1">
            <w:col w:w="11380"/>
          </w:cols>
          <w:pgMar w:left="220" w:top="437" w:right="299" w:bottom="1440" w:gutter="0" w:footer="0" w:header="0"/>
        </w:sectPr>
      </w:pPr>
    </w:p>
    <w:bookmarkStart w:id="36" w:name="page37"/>
    <w:bookmarkEnd w:id="36"/>
    <w:tbl>
      <w:tblPr>
        <w:tblLayout w:type="fixed"/>
        <w:tblInd w:w="520" w:type="dxa"/>
        <w:tblCellMar>
          <w:top w:w="0" w:type="dxa"/>
          <w:left w:w="0" w:type="dxa"/>
          <w:bottom w:w="0" w:type="dxa"/>
          <w:right w:w="0" w:type="dxa"/>
        </w:tblCellMar>
      </w:tblPr>
      <w:tr>
        <w:trPr>
          <w:trHeight w:val="157"/>
        </w:trPr>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20" w:type="dxa"/>
            <w:vAlign w:val="bottom"/>
            <w:gridSpan w:val="4"/>
          </w:tcPr>
          <w:p>
            <w:pPr>
              <w:ind w:left="240"/>
              <w:spacing w:after="0"/>
              <w:rPr>
                <w:sz w:val="20"/>
                <w:szCs w:val="20"/>
                <w:color w:val="auto"/>
              </w:rPr>
            </w:pPr>
            <w:r>
              <w:rPr>
                <w:rFonts w:ascii="Arial" w:cs="Arial" w:eastAsia="Arial" w:hAnsi="Arial"/>
                <w:sz w:val="12"/>
                <w:szCs w:val="12"/>
                <w:b w:val="1"/>
                <w:bCs w:val="1"/>
                <w:color w:val="auto"/>
              </w:rPr>
              <w:t>EXHIBIT INDEX</w:t>
            </w:r>
          </w:p>
        </w:tc>
      </w:tr>
      <w:tr>
        <w:trPr>
          <w:trHeight w:val="324"/>
        </w:trPr>
        <w:tc>
          <w:tcPr>
            <w:tcW w:w="980" w:type="dxa"/>
            <w:vAlign w:val="bottom"/>
          </w:tcPr>
          <w:p>
            <w:pPr>
              <w:jc w:val="center"/>
              <w:ind w:right="480"/>
              <w:spacing w:after="0"/>
              <w:rPr>
                <w:sz w:val="20"/>
                <w:szCs w:val="20"/>
                <w:color w:val="auto"/>
              </w:rPr>
            </w:pPr>
            <w:r>
              <w:rPr>
                <w:rFonts w:ascii="Arial" w:cs="Arial" w:eastAsia="Arial" w:hAnsi="Arial"/>
                <w:sz w:val="12"/>
                <w:szCs w:val="12"/>
                <w:b w:val="1"/>
                <w:bCs w:val="1"/>
                <w:color w:val="auto"/>
                <w:w w:val="96"/>
              </w:rPr>
              <w:t>Number</w:t>
            </w:r>
          </w:p>
        </w:tc>
        <w:tc>
          <w:tcPr>
            <w:tcW w:w="8940" w:type="dxa"/>
            <w:vAlign w:val="bottom"/>
            <w:gridSpan w:val="6"/>
          </w:tcPr>
          <w:p>
            <w:pPr>
              <w:spacing w:after="0"/>
              <w:rPr>
                <w:sz w:val="20"/>
                <w:szCs w:val="20"/>
                <w:color w:val="auto"/>
              </w:rPr>
            </w:pPr>
            <w:r>
              <w:rPr>
                <w:rFonts w:ascii="Arial" w:cs="Arial" w:eastAsia="Arial" w:hAnsi="Arial"/>
                <w:sz w:val="12"/>
                <w:szCs w:val="12"/>
                <w:b w:val="1"/>
                <w:bCs w:val="1"/>
                <w:color w:val="auto"/>
              </w:rPr>
              <w:t>Description</w:t>
            </w:r>
          </w:p>
        </w:tc>
      </w:tr>
      <w:tr>
        <w:trPr>
          <w:trHeight w:val="369"/>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31.1*</w:t>
            </w:r>
          </w:p>
        </w:tc>
        <w:tc>
          <w:tcPr>
            <w:tcW w:w="8860" w:type="dxa"/>
            <w:vAlign w:val="bottom"/>
            <w:tcBorders>
              <w:bottom w:val="single" w:sz="8" w:color="0000FF"/>
            </w:tcBorders>
            <w:gridSpan w:val="5"/>
          </w:tcPr>
          <w:p>
            <w:pPr>
              <w:spacing w:after="0"/>
              <w:rPr>
                <w:rFonts w:ascii="Arial" w:cs="Arial" w:eastAsia="Arial" w:hAnsi="Arial"/>
                <w:sz w:val="12"/>
                <w:szCs w:val="12"/>
                <w:color w:val="0000FF"/>
                <w:w w:val="91"/>
              </w:rPr>
            </w:pPr>
            <w:hyperlink w:anchor="page38">
              <w:r>
                <w:rPr>
                  <w:rFonts w:ascii="Arial" w:cs="Arial" w:eastAsia="Arial" w:hAnsi="Arial"/>
                  <w:sz w:val="12"/>
                  <w:szCs w:val="12"/>
                  <w:color w:val="0000FF"/>
                  <w:w w:val="91"/>
                </w:rPr>
                <w:t>Certification of Chief Executive Officer pursuant to Rule 13a14 or 15d14 of the Securities Exchange Act of 1934, as adopted pursuant to Section 302 of the SarbanesOxley Act of 2002</w:t>
              </w:r>
            </w:hyperlink>
          </w:p>
        </w:tc>
        <w:tc>
          <w:tcPr>
            <w:tcW w:w="80" w:type="dxa"/>
            <w:vAlign w:val="bottom"/>
          </w:tcPr>
          <w:p>
            <w:pPr>
              <w:spacing w:after="0"/>
              <w:rPr>
                <w:sz w:val="24"/>
                <w:szCs w:val="24"/>
                <w:color w:val="auto"/>
              </w:rPr>
            </w:pPr>
          </w:p>
        </w:tc>
      </w:tr>
      <w:tr>
        <w:trPr>
          <w:trHeight w:val="340"/>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31.2*</w:t>
            </w:r>
          </w:p>
        </w:tc>
        <w:tc>
          <w:tcPr>
            <w:tcW w:w="8940" w:type="dxa"/>
            <w:vAlign w:val="bottom"/>
            <w:tcBorders>
              <w:bottom w:val="single" w:sz="8" w:color="0000FF"/>
            </w:tcBorders>
            <w:gridSpan w:val="6"/>
          </w:tcPr>
          <w:p>
            <w:pPr>
              <w:spacing w:after="0"/>
              <w:rPr>
                <w:rFonts w:ascii="Arial" w:cs="Arial" w:eastAsia="Arial" w:hAnsi="Arial"/>
                <w:sz w:val="12"/>
                <w:szCs w:val="12"/>
                <w:color w:val="0000FF"/>
                <w:w w:val="91"/>
              </w:rPr>
            </w:pPr>
            <w:hyperlink w:anchor="page39">
              <w:r>
                <w:rPr>
                  <w:rFonts w:ascii="Arial" w:cs="Arial" w:eastAsia="Arial" w:hAnsi="Arial"/>
                  <w:sz w:val="12"/>
                  <w:szCs w:val="12"/>
                  <w:color w:val="0000FF"/>
                  <w:w w:val="91"/>
                </w:rPr>
                <w:t>Certification of Chief Accounting Officer pursuant to Rule 13a14 or 15d14 of the Securities Exchange Act of 1934, as adopted pursuant to Section 302 of the SarbanesOxley Act of 2002</w:t>
              </w:r>
            </w:hyperlink>
          </w:p>
        </w:tc>
      </w:tr>
      <w:tr>
        <w:trPr>
          <w:trHeight w:val="340"/>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32.1*</w:t>
            </w:r>
          </w:p>
        </w:tc>
        <w:tc>
          <w:tcPr>
            <w:tcW w:w="7060" w:type="dxa"/>
            <w:vAlign w:val="bottom"/>
            <w:tcBorders>
              <w:bottom w:val="single" w:sz="8" w:color="0000FF"/>
            </w:tcBorders>
            <w:gridSpan w:val="3"/>
          </w:tcPr>
          <w:p>
            <w:pPr>
              <w:spacing w:after="0"/>
              <w:rPr>
                <w:rFonts w:ascii="Arial" w:cs="Arial" w:eastAsia="Arial" w:hAnsi="Arial"/>
                <w:sz w:val="12"/>
                <w:szCs w:val="12"/>
                <w:color w:val="0000FF"/>
                <w:w w:val="91"/>
              </w:rPr>
            </w:pPr>
            <w:hyperlink w:anchor="page40">
              <w:r>
                <w:rPr>
                  <w:rFonts w:ascii="Arial" w:cs="Arial" w:eastAsia="Arial" w:hAnsi="Arial"/>
                  <w:sz w:val="12"/>
                  <w:szCs w:val="12"/>
                  <w:color w:val="0000FF"/>
                  <w:w w:val="91"/>
                </w:rPr>
                <w:t>Certification of Chief Executive Officer pursuant to 18 U.S.C. Section 1350, as adopted pursuant to Section 906 of the SarbanesOxley Act of 2002</w:t>
              </w:r>
            </w:hyperlink>
          </w:p>
        </w:tc>
        <w:tc>
          <w:tcPr>
            <w:tcW w:w="1880" w:type="dxa"/>
            <w:vAlign w:val="bottom"/>
            <w:gridSpan w:val="3"/>
          </w:tcPr>
          <w:p>
            <w:pPr>
              <w:spacing w:after="0"/>
              <w:rPr>
                <w:sz w:val="24"/>
                <w:szCs w:val="24"/>
                <w:color w:val="auto"/>
              </w:rPr>
            </w:pPr>
          </w:p>
        </w:tc>
      </w:tr>
      <w:tr>
        <w:trPr>
          <w:trHeight w:val="340"/>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32.2*</w:t>
            </w:r>
          </w:p>
        </w:tc>
        <w:tc>
          <w:tcPr>
            <w:tcW w:w="7140" w:type="dxa"/>
            <w:vAlign w:val="bottom"/>
            <w:tcBorders>
              <w:bottom w:val="single" w:sz="8" w:color="0000FF"/>
            </w:tcBorders>
            <w:gridSpan w:val="4"/>
          </w:tcPr>
          <w:p>
            <w:pPr>
              <w:spacing w:after="0"/>
              <w:rPr>
                <w:rFonts w:ascii="Arial" w:cs="Arial" w:eastAsia="Arial" w:hAnsi="Arial"/>
                <w:sz w:val="12"/>
                <w:szCs w:val="12"/>
                <w:color w:val="0000FF"/>
                <w:w w:val="91"/>
              </w:rPr>
            </w:pPr>
            <w:hyperlink w:anchor="page41">
              <w:r>
                <w:rPr>
                  <w:rFonts w:ascii="Arial" w:cs="Arial" w:eastAsia="Arial" w:hAnsi="Arial"/>
                  <w:sz w:val="12"/>
                  <w:szCs w:val="12"/>
                  <w:color w:val="0000FF"/>
                  <w:w w:val="91"/>
                </w:rPr>
                <w:t>Certification of Chief Accounting Officer pursuant to 18 U.S.C. Section 1350, as adopted pursuant to Section 906 of the SarbanesOxley Act of 2002</w:t>
              </w:r>
            </w:hyperlink>
          </w:p>
        </w:tc>
        <w:tc>
          <w:tcPr>
            <w:tcW w:w="1800" w:type="dxa"/>
            <w:vAlign w:val="bottom"/>
            <w:gridSpan w:val="2"/>
          </w:tcPr>
          <w:p>
            <w:pPr>
              <w:spacing w:after="0"/>
              <w:rPr>
                <w:sz w:val="24"/>
                <w:szCs w:val="24"/>
                <w:color w:val="auto"/>
              </w:rPr>
            </w:pPr>
          </w:p>
        </w:tc>
      </w:tr>
      <w:tr>
        <w:trPr>
          <w:trHeight w:val="340"/>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33.1*</w:t>
            </w:r>
          </w:p>
        </w:tc>
        <w:tc>
          <w:tcPr>
            <w:tcW w:w="3520" w:type="dxa"/>
            <w:vAlign w:val="bottom"/>
            <w:tcBorders>
              <w:bottom w:val="single" w:sz="8" w:color="0000FF"/>
            </w:tcBorders>
            <w:gridSpan w:val="2"/>
          </w:tcPr>
          <w:p>
            <w:pPr>
              <w:spacing w:after="0"/>
              <w:rPr>
                <w:rFonts w:ascii="Arial" w:cs="Arial" w:eastAsia="Arial" w:hAnsi="Arial"/>
                <w:sz w:val="12"/>
                <w:szCs w:val="12"/>
                <w:color w:val="0000FF"/>
                <w:w w:val="92"/>
              </w:rPr>
            </w:pPr>
            <w:hyperlink w:anchor="page42">
              <w:r>
                <w:rPr>
                  <w:rFonts w:ascii="Arial" w:cs="Arial" w:eastAsia="Arial" w:hAnsi="Arial"/>
                  <w:sz w:val="12"/>
                  <w:szCs w:val="12"/>
                  <w:color w:val="0000FF"/>
                  <w:w w:val="92"/>
                </w:rPr>
                <w:t>Executive Employment Agreement, Chief Financial Officer - D Hastings</w:t>
              </w:r>
            </w:hyperlink>
          </w:p>
        </w:tc>
        <w:tc>
          <w:tcPr>
            <w:tcW w:w="5420" w:type="dxa"/>
            <w:vAlign w:val="bottom"/>
            <w:gridSpan w:val="4"/>
          </w:tcPr>
          <w:p>
            <w:pPr>
              <w:spacing w:after="0"/>
              <w:rPr>
                <w:sz w:val="24"/>
                <w:szCs w:val="24"/>
                <w:color w:val="auto"/>
              </w:rPr>
            </w:pPr>
          </w:p>
        </w:tc>
      </w:tr>
      <w:tr>
        <w:trPr>
          <w:trHeight w:val="376"/>
        </w:trPr>
        <w:tc>
          <w:tcPr>
            <w:tcW w:w="980" w:type="dxa"/>
            <w:vAlign w:val="bottom"/>
          </w:tcPr>
          <w:p>
            <w:pPr>
              <w:jc w:val="center"/>
              <w:ind w:right="480"/>
              <w:spacing w:after="0"/>
              <w:rPr>
                <w:sz w:val="20"/>
                <w:szCs w:val="20"/>
                <w:color w:val="auto"/>
              </w:rPr>
            </w:pPr>
            <w:r>
              <w:rPr>
                <w:rFonts w:ascii="Arial" w:cs="Arial" w:eastAsia="Arial" w:hAnsi="Arial"/>
                <w:sz w:val="12"/>
                <w:szCs w:val="12"/>
                <w:color w:val="auto"/>
                <w:w w:val="99"/>
              </w:rPr>
              <w:t>34.1*</w:t>
            </w:r>
          </w:p>
        </w:tc>
        <w:tc>
          <w:tcPr>
            <w:tcW w:w="8940" w:type="dxa"/>
            <w:vAlign w:val="bottom"/>
            <w:gridSpan w:val="6"/>
          </w:tcPr>
          <w:p>
            <w:pPr>
              <w:spacing w:after="0"/>
              <w:rPr>
                <w:rFonts w:ascii="Arial" w:cs="Arial" w:eastAsia="Arial" w:hAnsi="Arial"/>
                <w:sz w:val="12"/>
                <w:szCs w:val="12"/>
                <w:color w:val="0000FF"/>
              </w:rPr>
            </w:pPr>
            <w:hyperlink w:anchor="page60">
              <w:r>
                <w:rPr>
                  <w:rFonts w:ascii="Arial" w:cs="Arial" w:eastAsia="Arial" w:hAnsi="Arial"/>
                  <w:sz w:val="12"/>
                  <w:szCs w:val="12"/>
                  <w:color w:val="0000FF"/>
                </w:rPr>
                <w:t>Executive Signing Bonus, Chief Financial Officer - D Hastings</w:t>
              </w:r>
            </w:hyperlink>
          </w:p>
        </w:tc>
      </w:tr>
      <w:tr>
        <w:trPr>
          <w:trHeight w:val="20"/>
        </w:trPr>
        <w:tc>
          <w:tcPr>
            <w:tcW w:w="98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ind w:left="1500" w:hanging="850"/>
        <w:spacing w:after="0"/>
        <w:tabs>
          <w:tab w:leader="none" w:pos="1500" w:val="left"/>
        </w:tabs>
        <w:numPr>
          <w:ilvl w:val="1"/>
          <w:numId w:val="16"/>
        </w:numPr>
        <w:rPr>
          <w:rFonts w:ascii="Arial" w:cs="Arial" w:eastAsia="Arial" w:hAnsi="Arial"/>
          <w:sz w:val="12"/>
          <w:szCs w:val="12"/>
          <w:color w:val="auto"/>
        </w:rPr>
      </w:pPr>
      <w:r>
        <w:rPr>
          <w:rFonts w:ascii="Arial" w:cs="Arial" w:eastAsia="Arial" w:hAnsi="Arial"/>
          <w:sz w:val="12"/>
          <w:szCs w:val="12"/>
          <w:color w:val="auto"/>
        </w:rPr>
        <w:t>Interactive Data Files</w:t>
      </w:r>
    </w:p>
    <w:p>
      <w:pPr>
        <w:spacing w:after="0" w:line="11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 on August 2, 2018.</w:t>
      </w:r>
    </w:p>
    <w:p>
      <w:pPr>
        <w:spacing w:after="0" w:line="194"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ARBUTUS BIOPHARMA CORPORATION</w:t>
      </w:r>
    </w:p>
    <w:p>
      <w:pPr>
        <w:spacing w:after="0" w:line="127" w:lineRule="exact"/>
        <w:rPr>
          <w:sz w:val="20"/>
          <w:szCs w:val="20"/>
          <w:color w:val="auto"/>
        </w:rPr>
      </w:pPr>
    </w:p>
    <w:p>
      <w:pPr>
        <w:ind w:left="5300"/>
        <w:spacing w:after="0"/>
        <w:tabs>
          <w:tab w:leader="none" w:pos="60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20955</wp:posOffset>
            </wp:positionV>
            <wp:extent cx="34258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5825" cy="5715"/>
                    </a:xfrm>
                    <a:prstGeom prst="rect">
                      <a:avLst/>
                    </a:prstGeom>
                    <a:noFill/>
                  </pic:spPr>
                </pic:pic>
              </a:graphicData>
            </a:graphic>
          </wp:anchor>
        </w:drawing>
      </w:r>
    </w:p>
    <w:p>
      <w:pPr>
        <w:spacing w:after="0" w:line="31"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Mark Murray</w:t>
      </w:r>
    </w:p>
    <w:p>
      <w:pPr>
        <w:spacing w:after="0" w:line="42"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President and Chief Executive Officer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F- 34</w:t>
      </w:r>
    </w:p>
    <w:p>
      <w:pPr>
        <w:sectPr>
          <w:pgSz w:w="11900" w:h="16838" w:orient="portrait"/>
          <w:cols w:equalWidth="0" w:num="1">
            <w:col w:w="10440"/>
          </w:cols>
          <w:pgMar w:left="220" w:top="595" w:right="1239" w:bottom="1440" w:gutter="0" w:footer="0" w:header="0"/>
        </w:sectPr>
      </w:pPr>
    </w:p>
    <w:bookmarkStart w:id="37" w:name="page38"/>
    <w:bookmarkEnd w:id="37"/>
    <w:p>
      <w:pPr>
        <w:jc w:val="right"/>
        <w:spacing w:after="0"/>
        <w:rPr>
          <w:sz w:val="20"/>
          <w:szCs w:val="20"/>
          <w:color w:val="auto"/>
        </w:rPr>
      </w:pPr>
      <w:r>
        <w:rPr>
          <w:rFonts w:ascii="Arial" w:cs="Arial" w:eastAsia="Arial" w:hAnsi="Arial"/>
          <w:sz w:val="12"/>
          <w:szCs w:val="12"/>
          <w:b w:val="1"/>
          <w:bCs w:val="1"/>
          <w:color w:val="auto"/>
        </w:rPr>
        <w:t>Exhibit 31.1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 OR 15d-14 OF THE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EXCHANGE ACT OF 1934, AS ADOPTED PURSUANT TO SECTION 302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SARBANES-OXLEY ACT OF 2002</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Mark Murray, certify that:</w:t>
      </w:r>
    </w:p>
    <w:p>
      <w:pPr>
        <w:spacing w:after="0" w:line="114" w:lineRule="exact"/>
        <w:rPr>
          <w:sz w:val="20"/>
          <w:szCs w:val="20"/>
          <w:color w:val="auto"/>
        </w:rPr>
      </w:pPr>
    </w:p>
    <w:p>
      <w:pPr>
        <w:ind w:left="800" w:hanging="268"/>
        <w:spacing w:after="0"/>
        <w:tabs>
          <w:tab w:leader="none" w:pos="8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Arbutus Biopharma Corporation;</w:t>
      </w:r>
    </w:p>
    <w:p>
      <w:pPr>
        <w:spacing w:after="0" w:line="114"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00" w:right="20" w:hanging="268"/>
        <w:spacing w:after="0" w:line="276" w:lineRule="auto"/>
        <w:tabs>
          <w:tab w:leader="none" w:pos="8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120" w:right="20" w:hanging="263"/>
        <w:spacing w:after="0" w:line="276" w:lineRule="auto"/>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120" w:right="20" w:hanging="263"/>
        <w:spacing w:after="0" w:line="276" w:lineRule="auto"/>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120" w:hanging="263"/>
        <w:spacing w:after="0"/>
        <w:tabs>
          <w:tab w:leader="none" w:pos="1120" w:val="left"/>
        </w:tabs>
        <w:numPr>
          <w:ilvl w:val="1"/>
          <w:numId w:val="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August 2, 2018</w:t>
      </w:r>
    </w:p>
    <w:p>
      <w:pPr>
        <w:spacing w:after="0" w:line="168"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/s/ Mark Murray</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Name: Mark Murray</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Title: President and Chief Executive Officer</w:t>
      </w:r>
    </w:p>
    <w:p>
      <w:pPr>
        <w:sectPr>
          <w:pgSz w:w="11900" w:h="16838" w:orient="portrait"/>
          <w:cols w:equalWidth="0" w:num="1">
            <w:col w:w="11480"/>
          </w:cols>
          <w:pgMar w:left="220" w:top="487"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2"/>
          <w:szCs w:val="12"/>
          <w:b w:val="1"/>
          <w:bCs w:val="1"/>
          <w:color w:val="auto"/>
        </w:rPr>
        <w:t>Exhibit 31.2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 OR 15d-14 OF THE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EXCHANGE ACT OF 1934, AS ADOPTED PURSUANT TO SECTION 302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SARBANES-OXLEY ACT OF 2002</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Koert VandenEnden, certify that:</w:t>
      </w:r>
    </w:p>
    <w:p>
      <w:pPr>
        <w:spacing w:after="0" w:line="114" w:lineRule="exact"/>
        <w:rPr>
          <w:sz w:val="20"/>
          <w:szCs w:val="20"/>
          <w:color w:val="auto"/>
        </w:rPr>
      </w:pPr>
    </w:p>
    <w:p>
      <w:pPr>
        <w:ind w:left="800" w:hanging="268"/>
        <w:spacing w:after="0"/>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Arbutus Biopharma Corporation;</w:t>
      </w:r>
    </w:p>
    <w:p>
      <w:pPr>
        <w:spacing w:after="0" w:line="114"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00" w:right="20" w:hanging="268"/>
        <w:spacing w:after="0" w:line="276"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120" w:hanging="263"/>
        <w:spacing w:after="0" w:line="276" w:lineRule="auto"/>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120" w:right="20" w:hanging="263"/>
        <w:spacing w:after="0" w:line="276" w:lineRule="auto"/>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00" w:hanging="268"/>
        <w:spacing w:after="0" w:line="276" w:lineRule="auto"/>
        <w:tabs>
          <w:tab w:leader="none" w:pos="8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120" w:right="20" w:hanging="263"/>
        <w:spacing w:after="0" w:line="276" w:lineRule="auto"/>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120" w:hanging="263"/>
        <w:spacing w:after="0"/>
        <w:tabs>
          <w:tab w:leader="none" w:pos="1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August 2, 2018</w:t>
      </w:r>
    </w:p>
    <w:p>
      <w:pPr>
        <w:spacing w:after="0" w:line="168"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/s/ Koert VandenEnden</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Name: Koert VandenEnden</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Title: Chief Accounting Officer</w:t>
      </w:r>
    </w:p>
    <w:p>
      <w:pPr>
        <w:sectPr>
          <w:pgSz w:w="11900" w:h="16838" w:orient="portrait"/>
          <w:cols w:equalWidth="0" w:num="1">
            <w:col w:w="11480"/>
          </w:cols>
          <w:pgMar w:left="220" w:top="487" w:right="199" w:bottom="1440" w:gutter="0" w:footer="0" w:header="0"/>
        </w:sectPr>
      </w:pPr>
    </w:p>
    <w:bookmarkStart w:id="39" w:name="page40"/>
    <w:bookmarkEnd w:id="39"/>
    <w:p>
      <w:pPr>
        <w:jc w:val="right"/>
        <w:spacing w:after="0"/>
        <w:rPr>
          <w:sz w:val="20"/>
          <w:szCs w:val="20"/>
          <w:color w:val="auto"/>
        </w:rPr>
      </w:pPr>
      <w:r>
        <w:rPr>
          <w:rFonts w:ascii="Arial" w:cs="Arial" w:eastAsia="Arial" w:hAnsi="Arial"/>
          <w:sz w:val="12"/>
          <w:szCs w:val="12"/>
          <w:b w:val="1"/>
          <w:bCs w:val="1"/>
          <w:color w:val="auto"/>
        </w:rPr>
        <w:t>Exhibit 32.1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connection with the Quarterly Report on Form 10-Q of Arbutus Biopharma Corporation (the “Company”) for the quarter ended June 30, 2018,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182" w:lineRule="exact"/>
        <w:rPr>
          <w:sz w:val="20"/>
          <w:szCs w:val="20"/>
          <w:color w:val="auto"/>
        </w:rPr>
      </w:pPr>
    </w:p>
    <w:p>
      <w:pPr>
        <w:ind w:left="1080" w:hanging="277"/>
        <w:spacing w:after="0"/>
        <w:tabs>
          <w:tab w:leader="none" w:pos="10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1080" w:hanging="277"/>
        <w:spacing w:after="0"/>
        <w:tabs>
          <w:tab w:leader="none" w:pos="10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information contained in the Report fairly represents, in all material respects, the financial condition and results of the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August 2, 2018</w:t>
      </w:r>
    </w:p>
    <w:p>
      <w:pPr>
        <w:spacing w:after="0" w:line="168"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/s/ Mark Murray</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Name: Mark Murray</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Title: President and Chief Executive Officer</w:t>
      </w:r>
    </w:p>
    <w:p>
      <w:pPr>
        <w:sectPr>
          <w:pgSz w:w="11900" w:h="16838" w:orient="portrait"/>
          <w:cols w:equalWidth="0" w:num="1">
            <w:col w:w="11480"/>
          </w:cols>
          <w:pgMar w:left="220" w:top="487" w:right="199" w:bottom="1440" w:gutter="0" w:footer="0" w:header="0"/>
        </w:sectPr>
      </w:pPr>
    </w:p>
    <w:bookmarkStart w:id="40" w:name="page41"/>
    <w:bookmarkEnd w:id="40"/>
    <w:p>
      <w:pPr>
        <w:jc w:val="right"/>
        <w:spacing w:after="0"/>
        <w:rPr>
          <w:sz w:val="20"/>
          <w:szCs w:val="20"/>
          <w:color w:val="auto"/>
        </w:rPr>
      </w:pPr>
      <w:r>
        <w:rPr>
          <w:rFonts w:ascii="Arial" w:cs="Arial" w:eastAsia="Arial" w:hAnsi="Arial"/>
          <w:sz w:val="12"/>
          <w:szCs w:val="12"/>
          <w:b w:val="1"/>
          <w:bCs w:val="1"/>
          <w:color w:val="auto"/>
        </w:rPr>
        <w:t>Exhibit 32.2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connection with the Quarterly Report on Form 10-Q of Arbutus Biopharma Corporation (the “Company”) for the quarter ended June 30, 2018, as filed with the Securities and Exchange Commission on the date hereof (the “Report”), I Koert VandenEnden, Chief Accounting Officer of the Company, certify, pursuant to 18 U.S.C. Section 1350, as adopted pursuant to Section 906 of the Sarbanes-Oxley Act of 2002, that to the best of my knowledge:</w:t>
      </w:r>
    </w:p>
    <w:p>
      <w:pPr>
        <w:spacing w:after="0" w:line="182" w:lineRule="exact"/>
        <w:rPr>
          <w:sz w:val="20"/>
          <w:szCs w:val="20"/>
          <w:color w:val="auto"/>
        </w:rPr>
      </w:pPr>
    </w:p>
    <w:p>
      <w:pPr>
        <w:ind w:left="1080" w:hanging="277"/>
        <w:spacing w:after="0"/>
        <w:tabs>
          <w:tab w:leader="none" w:pos="10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1080" w:hanging="277"/>
        <w:spacing w:after="0"/>
        <w:tabs>
          <w:tab w:leader="none" w:pos="10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information contained in the Report fairly represents, in all material respects, the financial condition and results of the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Date: August 2, 2018</w:t>
      </w:r>
    </w:p>
    <w:p>
      <w:pPr>
        <w:spacing w:after="0" w:line="168"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/s/ Koert VandenEnden</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Name: Koert VandenEnden</w:t>
      </w:r>
    </w:p>
    <w:p>
      <w:pPr>
        <w:spacing w:after="0" w:line="4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Title: Chief Accounting Officer</w:t>
      </w:r>
    </w:p>
    <w:p>
      <w:pPr>
        <w:sectPr>
          <w:pgSz w:w="11900" w:h="16838" w:orient="portrait"/>
          <w:cols w:equalWidth="0" w:num="1">
            <w:col w:w="11480"/>
          </w:cols>
          <w:pgMar w:left="220" w:top="487" w:right="199" w:bottom="1440" w:gutter="0" w:footer="0" w:header="0"/>
        </w:sectPr>
      </w:pPr>
    </w:p>
    <w:bookmarkStart w:id="41" w:name="page42"/>
    <w:bookmarkEnd w:id="41"/>
    <w:p>
      <w:pPr>
        <w:ind w:left="1360"/>
        <w:spacing w:after="0"/>
        <w:rPr>
          <w:sz w:val="20"/>
          <w:szCs w:val="20"/>
          <w:color w:val="auto"/>
        </w:rPr>
      </w:pPr>
      <w:r>
        <w:rPr>
          <w:rFonts w:ascii="Arial" w:cs="Arial" w:eastAsia="Arial" w:hAnsi="Arial"/>
          <w:sz w:val="14"/>
          <w:szCs w:val="14"/>
          <w:b w:val="1"/>
          <w:bCs w:val="1"/>
          <w:color w:val="auto"/>
        </w:rPr>
        <w:t>EXECUTIVE EMPLOYMENT AGREEMENT</w:t>
      </w:r>
    </w:p>
    <w:p>
      <w:pPr>
        <w:spacing w:after="0" w:line="298" w:lineRule="exact"/>
        <w:rPr>
          <w:sz w:val="20"/>
          <w:szCs w:val="20"/>
          <w:color w:val="auto"/>
        </w:rPr>
      </w:pPr>
    </w:p>
    <w:p>
      <w:pPr>
        <w:ind w:right="100" w:firstLine="432"/>
        <w:spacing w:after="0" w:line="292" w:lineRule="auto"/>
        <w:rPr>
          <w:sz w:val="20"/>
          <w:szCs w:val="20"/>
          <w:color w:val="auto"/>
        </w:rPr>
      </w:pPr>
      <w:r>
        <w:rPr>
          <w:rFonts w:ascii="Arial" w:cs="Arial" w:eastAsia="Arial" w:hAnsi="Arial"/>
          <w:sz w:val="14"/>
          <w:szCs w:val="14"/>
          <w:color w:val="auto"/>
        </w:rPr>
        <w:t>This Executive Employment Agreement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 June 11, 2018 (the “</w:t>
      </w: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 by and between Arbutus Biopharma Inc.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David Hastings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 (together the “</w:t>
      </w:r>
      <w:r>
        <w:rPr>
          <w:rFonts w:ascii="Arial" w:cs="Arial" w:eastAsia="Arial" w:hAnsi="Arial"/>
          <w:sz w:val="14"/>
          <w:szCs w:val="14"/>
          <w:b w:val="1"/>
          <w:bCs w:val="1"/>
          <w:u w:val="single" w:color="auto"/>
          <w:color w:val="auto"/>
        </w:rPr>
        <w:t>Parties</w:t>
      </w:r>
      <w:r>
        <w:rPr>
          <w:rFonts w:ascii="Arial" w:cs="Arial" w:eastAsia="Arial" w:hAnsi="Arial"/>
          <w:sz w:val="14"/>
          <w:szCs w:val="14"/>
          <w:color w:val="auto"/>
        </w:rPr>
        <w:t>”).</w:t>
      </w:r>
    </w:p>
    <w:p>
      <w:pPr>
        <w:spacing w:after="0" w:line="108"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RECITALS</w:t>
      </w:r>
    </w:p>
    <w:p>
      <w:pPr>
        <w:spacing w:after="0" w:line="163" w:lineRule="exact"/>
        <w:rPr>
          <w:sz w:val="20"/>
          <w:szCs w:val="20"/>
          <w:color w:val="auto"/>
        </w:rPr>
      </w:pPr>
    </w:p>
    <w:p>
      <w:pPr>
        <w:ind w:left="660" w:hanging="22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WHEREAS, the Company desires to employ the Executive as Chief Financial Officer in accordance with the provisions of this Agreement; and</w:t>
      </w:r>
    </w:p>
    <w:p>
      <w:pPr>
        <w:spacing w:after="0" w:line="163" w:lineRule="exact"/>
        <w:rPr>
          <w:rFonts w:ascii="Arial" w:cs="Arial" w:eastAsia="Arial" w:hAnsi="Arial"/>
          <w:sz w:val="14"/>
          <w:szCs w:val="14"/>
          <w:color w:val="auto"/>
        </w:rPr>
      </w:pPr>
    </w:p>
    <w:p>
      <w:pPr>
        <w:ind w:left="660" w:hanging="22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WHEREAS, Executive desires to serve the Company and accept employment under the terms and conditions stated in this Agreement; and</w:t>
      </w:r>
    </w:p>
    <w:p>
      <w:pPr>
        <w:spacing w:after="0" w:line="163" w:lineRule="exact"/>
        <w:rPr>
          <w:rFonts w:ascii="Arial" w:cs="Arial" w:eastAsia="Arial" w:hAnsi="Arial"/>
          <w:sz w:val="14"/>
          <w:szCs w:val="14"/>
          <w:color w:val="auto"/>
        </w:rPr>
      </w:pPr>
    </w:p>
    <w:p>
      <w:pPr>
        <w:ind w:left="660" w:right="3340" w:hanging="222"/>
        <w:spacing w:after="0" w:line="48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WHEREAS, the Parties have freely negotiated the terms and conditions of this Agreement and have reached agreement on them. THEREFORE, the Parties agree as follows:</w:t>
      </w:r>
    </w:p>
    <w:p>
      <w:pPr>
        <w:spacing w:after="0" w:line="1" w:lineRule="exact"/>
        <w:rPr>
          <w:sz w:val="20"/>
          <w:szCs w:val="20"/>
          <w:color w:val="auto"/>
        </w:rPr>
      </w:pPr>
    </w:p>
    <w:p>
      <w:pPr>
        <w:ind w:right="20" w:firstLine="432"/>
        <w:spacing w:after="0" w:line="263"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Position and Duties</w:t>
      </w:r>
      <w:r>
        <w:rPr>
          <w:rFonts w:ascii="Arial" w:cs="Arial" w:eastAsia="Arial" w:hAnsi="Arial"/>
          <w:sz w:val="14"/>
          <w:szCs w:val="14"/>
          <w:color w:val="auto"/>
        </w:rPr>
        <w:t xml:space="preserve">. The Executive will serve as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xml:space="preserve"> of the Company, and will have powers and duties consistent with such position as may from time to time be prescribed by the Chief Executive Officer of the Company. As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xml:space="preserve"> of the Company, the Executive shall devote his full working time and efforts to the business and affairs of the Company. Notwithstanding the foregoing, the Executive may manage his personal investments or engage in charitable or other community activities and may engage in approved Board of Director appointments, except as restricted or prohibited by the terms of a confidentiality agreement between the Executive and the Company and as long as those engagements, services and activities, individually or in the aggregate, do not interfere with the Executive’s performance of his duties to the Company.</w:t>
      </w:r>
    </w:p>
    <w:p>
      <w:pPr>
        <w:spacing w:after="0" w:line="127"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2"/>
          <w:szCs w:val="12"/>
          <w:u w:val="single" w:color="auto"/>
          <w:color w:val="auto"/>
        </w:rPr>
        <w:t>Compensation and Related Matters</w:t>
      </w:r>
      <w:r>
        <w:rPr>
          <w:rFonts w:ascii="Arial" w:cs="Arial" w:eastAsia="Arial" w:hAnsi="Arial"/>
          <w:sz w:val="12"/>
          <w:szCs w:val="12"/>
          <w:color w:val="auto"/>
        </w:rPr>
        <w:t>.</w:t>
      </w:r>
    </w:p>
    <w:p>
      <w:pPr>
        <w:spacing w:after="0" w:line="163" w:lineRule="exact"/>
        <w:rPr>
          <w:sz w:val="20"/>
          <w:szCs w:val="20"/>
          <w:color w:val="auto"/>
        </w:rPr>
      </w:pPr>
    </w:p>
    <w:p>
      <w:pPr>
        <w:ind w:firstLine="871"/>
        <w:spacing w:after="0" w:line="291" w:lineRule="auto"/>
        <w:tabs>
          <w:tab w:leader="none" w:pos="1145"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Base Salary</w:t>
      </w:r>
      <w:r>
        <w:rPr>
          <w:rFonts w:ascii="Arial" w:cs="Arial" w:eastAsia="Arial" w:hAnsi="Arial"/>
          <w:sz w:val="13"/>
          <w:szCs w:val="13"/>
          <w:color w:val="auto"/>
        </w:rPr>
        <w:t>. The Executive’s base salary will be US$400,000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w:t>
      </w:r>
    </w:p>
    <w:p>
      <w:pPr>
        <w:ind w:right="40"/>
        <w:spacing w:after="0" w:line="270" w:lineRule="auto"/>
        <w:rPr>
          <w:rFonts w:ascii="Arial" w:cs="Arial" w:eastAsia="Arial" w:hAnsi="Arial"/>
          <w:sz w:val="13"/>
          <w:szCs w:val="13"/>
          <w:color w:val="auto"/>
        </w:rPr>
      </w:pPr>
      <w:r>
        <w:rPr>
          <w:rFonts w:ascii="Arial" w:cs="Arial" w:eastAsia="Arial" w:hAnsi="Arial"/>
          <w:sz w:val="14"/>
          <w:szCs w:val="14"/>
          <w:color w:val="auto"/>
        </w:rPr>
        <w:t>time is referred to as “</w:t>
      </w:r>
      <w:r>
        <w:rPr>
          <w:rFonts w:ascii="Arial" w:cs="Arial" w:eastAsia="Arial" w:hAnsi="Arial"/>
          <w:sz w:val="14"/>
          <w:szCs w:val="14"/>
          <w:b w:val="1"/>
          <w:bCs w:val="1"/>
          <w:u w:val="single" w:color="auto"/>
          <w:color w:val="auto"/>
        </w:rPr>
        <w:t>Base Salary</w:t>
      </w:r>
      <w:r>
        <w:rPr>
          <w:rFonts w:ascii="Arial" w:cs="Arial" w:eastAsia="Arial" w:hAnsi="Arial"/>
          <w:sz w:val="14"/>
          <w:szCs w:val="14"/>
          <w:color w:val="auto"/>
        </w:rPr>
        <w:t>” and this Agreement need not be modified to reflect a change in Base Salary. The Base Salary is subject to withholding and payable in a manner that is consistent with the Company’s usual payroll practices for senior executives.</w:t>
      </w:r>
    </w:p>
    <w:p>
      <w:pPr>
        <w:spacing w:after="0" w:line="117" w:lineRule="exact"/>
        <w:rPr>
          <w:rFonts w:ascii="Arial" w:cs="Arial" w:eastAsia="Arial" w:hAnsi="Arial"/>
          <w:sz w:val="13"/>
          <w:szCs w:val="13"/>
          <w:color w:val="auto"/>
        </w:rPr>
      </w:pPr>
    </w:p>
    <w:p>
      <w:pPr>
        <w:ind w:right="180" w:firstLine="871"/>
        <w:spacing w:after="0" w:line="306" w:lineRule="auto"/>
        <w:tabs>
          <w:tab w:leader="none" w:pos="1153"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Bonus</w:t>
      </w:r>
      <w:r>
        <w:rPr>
          <w:rFonts w:ascii="Arial" w:cs="Arial" w:eastAsia="Arial" w:hAnsi="Arial"/>
          <w:sz w:val="14"/>
          <w:szCs w:val="14"/>
          <w:color w:val="auto"/>
        </w:rPr>
        <w:t>. The Executive is eligible to be considered for an annual discretionary bonus of up to 40% of Base Salary (such bonus, the “</w:t>
      </w:r>
      <w:r>
        <w:rPr>
          <w:rFonts w:ascii="Arial" w:cs="Arial" w:eastAsia="Arial" w:hAnsi="Arial"/>
          <w:sz w:val="14"/>
          <w:szCs w:val="14"/>
          <w:b w:val="1"/>
          <w:bCs w:val="1"/>
          <w:color w:val="auto"/>
        </w:rPr>
        <w:t>Target Bonus</w:t>
      </w:r>
      <w:r>
        <w:rPr>
          <w:rFonts w:ascii="Arial" w:cs="Arial" w:eastAsia="Arial" w:hAnsi="Arial"/>
          <w:sz w:val="14"/>
          <w:szCs w:val="14"/>
          <w:color w:val="auto"/>
        </w:rPr>
        <w:t>”). The Target Bonus shall be subject to the terms of the bonus plan and the approval of the Company’s Board of Directors (the “</w:t>
      </w:r>
      <w:r>
        <w:rPr>
          <w:rFonts w:ascii="Arial" w:cs="Arial" w:eastAsia="Arial" w:hAnsi="Arial"/>
          <w:sz w:val="14"/>
          <w:szCs w:val="14"/>
          <w:b w:val="1"/>
          <w:bCs w:val="1"/>
          <w:u w:val="single" w:color="auto"/>
          <w:color w:val="auto"/>
        </w:rPr>
        <w:t>Board</w:t>
      </w:r>
      <w:r>
        <w:rPr>
          <w:rFonts w:ascii="Arial" w:cs="Arial" w:eastAsia="Arial" w:hAnsi="Arial"/>
          <w:sz w:val="14"/>
          <w:szCs w:val="14"/>
          <w:color w:val="auto"/>
        </w:rPr>
        <w:t>”), in its sole discretion, on an annual basis.</w:t>
      </w:r>
    </w:p>
    <w:p>
      <w:pPr>
        <w:spacing w:after="0" w:line="97" w:lineRule="exact"/>
        <w:rPr>
          <w:rFonts w:ascii="Arial" w:cs="Arial" w:eastAsia="Arial" w:hAnsi="Arial"/>
          <w:sz w:val="14"/>
          <w:szCs w:val="14"/>
          <w:color w:val="auto"/>
        </w:rPr>
      </w:pPr>
    </w:p>
    <w:p>
      <w:pPr>
        <w:ind w:left="1160" w:hanging="289"/>
        <w:spacing w:after="0"/>
        <w:tabs>
          <w:tab w:leader="none" w:pos="116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Executive is entitled to receive prompt reimbursement for all reasonable expenses incurred by him in performing services under this Agreement, in</w:t>
      </w:r>
    </w:p>
    <w:p>
      <w:pPr>
        <w:sectPr>
          <w:pgSz w:w="11900" w:h="16838" w:orient="portrait"/>
          <w:cols w:equalWidth="0" w:num="1">
            <w:col w:w="11420"/>
          </w:cols>
          <w:pgMar w:left="260" w:top="337" w:right="2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accordance with the policies and procedures then in effect and established by the Company for its senior executives.</w:t>
      </w:r>
    </w:p>
    <w:p>
      <w:pPr>
        <w:spacing w:after="0" w:line="163" w:lineRule="exact"/>
        <w:rPr>
          <w:sz w:val="20"/>
          <w:szCs w:val="20"/>
          <w:color w:val="auto"/>
        </w:rPr>
      </w:pPr>
    </w:p>
    <w:p>
      <w:pPr>
        <w:ind w:right="80" w:firstLine="871"/>
        <w:spacing w:after="0" w:line="300" w:lineRule="auto"/>
        <w:tabs>
          <w:tab w:leader="none" w:pos="1153"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Other Benefits</w:t>
      </w:r>
      <w:r>
        <w:rPr>
          <w:rFonts w:ascii="Arial" w:cs="Arial" w:eastAsia="Arial" w:hAnsi="Arial"/>
          <w:sz w:val="14"/>
          <w:szCs w:val="14"/>
          <w:color w:val="auto"/>
        </w:rPr>
        <w:t>. The Executive is entitled to participate in or receive benefits consistent with other senior executives under the Company’s employee benefit plans as they may be adopted and amended from time to time, subject to the terms and conditions of those employee benefit plans.</w:t>
      </w:r>
    </w:p>
    <w:p>
      <w:pPr>
        <w:spacing w:after="0" w:line="101" w:lineRule="exact"/>
        <w:rPr>
          <w:rFonts w:ascii="Arial" w:cs="Arial" w:eastAsia="Arial" w:hAnsi="Arial"/>
          <w:sz w:val="14"/>
          <w:szCs w:val="14"/>
          <w:color w:val="auto"/>
        </w:rPr>
      </w:pPr>
    </w:p>
    <w:p>
      <w:pPr>
        <w:jc w:val="both"/>
        <w:ind w:right="100" w:firstLine="871"/>
        <w:spacing w:after="0" w:line="297" w:lineRule="auto"/>
        <w:tabs>
          <w:tab w:leader="none" w:pos="1145"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Equity Compensation</w:t>
      </w:r>
      <w:r>
        <w:rPr>
          <w:rFonts w:ascii="Arial" w:cs="Arial" w:eastAsia="Arial" w:hAnsi="Arial"/>
          <w:sz w:val="13"/>
          <w:szCs w:val="13"/>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2016 Omnibus Share and Incentive Plan and or any other similar equity incentive plan (the “</w:t>
      </w:r>
      <w:r>
        <w:rPr>
          <w:rFonts w:ascii="Arial" w:cs="Arial" w:eastAsia="Arial" w:hAnsi="Arial"/>
          <w:sz w:val="13"/>
          <w:szCs w:val="13"/>
          <w:b w:val="1"/>
          <w:bCs w:val="1"/>
          <w:u w:val="single" w:color="auto"/>
          <w:color w:val="auto"/>
        </w:rPr>
        <w:t>Equity Plan</w:t>
      </w:r>
      <w:r>
        <w:rPr>
          <w:rFonts w:ascii="Arial" w:cs="Arial" w:eastAsia="Arial" w:hAnsi="Arial"/>
          <w:sz w:val="13"/>
          <w:szCs w:val="13"/>
          <w:color w:val="auto"/>
        </w:rPr>
        <w:t>”) to the same extent as other executives of the Company. The Company’s President and CEO will promptly recommend to the Board that the Executive receive an option grant in the amount of 200,000 shares of the Company, subject to the terms of the Equity Plan, the terms of a notice of grant and any other terms as may be required by the Board.</w:t>
      </w:r>
    </w:p>
    <w:p>
      <w:pPr>
        <w:spacing w:after="0" w:line="97" w:lineRule="exact"/>
        <w:rPr>
          <w:rFonts w:ascii="Arial" w:cs="Arial" w:eastAsia="Arial" w:hAnsi="Arial"/>
          <w:sz w:val="13"/>
          <w:szCs w:val="13"/>
          <w:color w:val="auto"/>
        </w:rPr>
      </w:pPr>
    </w:p>
    <w:p>
      <w:pPr>
        <w:ind w:right="80" w:firstLine="871"/>
        <w:spacing w:after="0" w:line="277" w:lineRule="auto"/>
        <w:tabs>
          <w:tab w:leader="none" w:pos="1129"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Vacations</w:t>
      </w:r>
      <w:r>
        <w:rPr>
          <w:rFonts w:ascii="Arial" w:cs="Arial" w:eastAsia="Arial" w:hAnsi="Arial"/>
          <w:sz w:val="14"/>
          <w:szCs w:val="14"/>
          <w:color w:val="auto"/>
        </w:rPr>
        <w:t>. The Executive is entitled to paid vacation each year, in addition to sick leave and observed holidays in accordance with the policies and practices of the Company, as may be amended from time to time. Vacation may be taken at such times and intervals as the Executive shall determine, subject to the business needs of the Company. Vacation does not accrue and, accordingly, will not be paid out upon termination of employment.</w:t>
      </w:r>
    </w:p>
    <w:p>
      <w:pPr>
        <w:spacing w:after="0" w:line="118"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3"/>
          <w:szCs w:val="13"/>
          <w:u w:val="single" w:color="auto"/>
          <w:color w:val="auto"/>
        </w:rPr>
        <w:t>Non-Competition and Non-Solicitation</w:t>
      </w:r>
    </w:p>
    <w:p>
      <w:pPr>
        <w:spacing w:after="0" w:line="163" w:lineRule="exact"/>
        <w:rPr>
          <w:sz w:val="20"/>
          <w:szCs w:val="20"/>
          <w:color w:val="auto"/>
        </w:rPr>
      </w:pPr>
    </w:p>
    <w:p>
      <w:pPr>
        <w:ind w:right="300" w:firstLine="871"/>
        <w:spacing w:after="0" w:line="287" w:lineRule="auto"/>
        <w:tabs>
          <w:tab w:leader="none" w:pos="1457"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10" w:lineRule="exact"/>
        <w:rPr>
          <w:rFonts w:ascii="Arial" w:cs="Arial" w:eastAsia="Arial" w:hAnsi="Arial"/>
          <w:sz w:val="14"/>
          <w:szCs w:val="14"/>
          <w:color w:val="auto"/>
        </w:rPr>
      </w:pPr>
    </w:p>
    <w:p>
      <w:pPr>
        <w:ind w:left="1480" w:hanging="609"/>
        <w:spacing w:after="0"/>
        <w:tabs>
          <w:tab w:leader="none" w:pos="1480" w:val="left"/>
        </w:tabs>
        <w:numPr>
          <w:ilvl w:val="1"/>
          <w:numId w:val="24"/>
        </w:numPr>
        <w:rPr>
          <w:rFonts w:ascii="Arial" w:cs="Arial" w:eastAsia="Arial" w:hAnsi="Arial"/>
          <w:sz w:val="14"/>
          <w:szCs w:val="14"/>
          <w:color w:val="auto"/>
        </w:rPr>
      </w:pPr>
      <w:r>
        <w:rPr>
          <w:rFonts w:ascii="Arial" w:cs="Arial" w:eastAsia="Arial" w:hAnsi="Arial"/>
          <w:sz w:val="14"/>
          <w:szCs w:val="14"/>
          <w:u w:val="single" w:color="auto"/>
          <w:color w:val="auto"/>
        </w:rPr>
        <w:t>Definitions:</w:t>
      </w:r>
    </w:p>
    <w:p>
      <w:pPr>
        <w:spacing w:after="0" w:line="163" w:lineRule="exact"/>
        <w:rPr>
          <w:rFonts w:ascii="Arial" w:cs="Arial" w:eastAsia="Arial" w:hAnsi="Arial"/>
          <w:sz w:val="14"/>
          <w:szCs w:val="14"/>
          <w:color w:val="auto"/>
        </w:rPr>
      </w:pPr>
    </w:p>
    <w:p>
      <w:pPr>
        <w:ind w:right="480" w:firstLine="1303"/>
        <w:spacing w:after="0" w:line="300" w:lineRule="auto"/>
        <w:tabs>
          <w:tab w:leader="none" w:pos="1553" w:val="left"/>
        </w:tabs>
        <w:numPr>
          <w:ilvl w:val="2"/>
          <w:numId w:val="24"/>
        </w:numPr>
        <w:rPr>
          <w:rFonts w:ascii="Arial" w:cs="Arial" w:eastAsia="Arial" w:hAnsi="Arial"/>
          <w:sz w:val="14"/>
          <w:szCs w:val="14"/>
          <w:color w:val="auto"/>
        </w:rPr>
      </w:pPr>
      <w:r>
        <w:rPr>
          <w:rFonts w:ascii="Arial" w:cs="Arial" w:eastAsia="Arial" w:hAnsi="Arial"/>
          <w:sz w:val="14"/>
          <w:szCs w:val="14"/>
          <w:color w:val="auto"/>
        </w:rPr>
        <w:t>“Affiliate” means any person or entity directly or indirectly controlling, controlled by or under common control with the Company, where control may be by either management authority or equity interest.</w:t>
      </w:r>
    </w:p>
    <w:p>
      <w:pPr>
        <w:spacing w:after="0" w:line="101" w:lineRule="exact"/>
        <w:rPr>
          <w:rFonts w:ascii="Arial" w:cs="Arial" w:eastAsia="Arial" w:hAnsi="Arial"/>
          <w:sz w:val="14"/>
          <w:szCs w:val="14"/>
          <w:color w:val="auto"/>
        </w:rPr>
      </w:pPr>
    </w:p>
    <w:p>
      <w:pPr>
        <w:ind w:left="1600" w:hanging="297"/>
        <w:spacing w:after="0"/>
        <w:tabs>
          <w:tab w:leader="none" w:pos="1600" w:val="left"/>
        </w:tabs>
        <w:numPr>
          <w:ilvl w:val="2"/>
          <w:numId w:val="24"/>
        </w:numPr>
        <w:rPr>
          <w:rFonts w:ascii="Arial" w:cs="Arial" w:eastAsia="Arial" w:hAnsi="Arial"/>
          <w:sz w:val="13"/>
          <w:szCs w:val="13"/>
          <w:color w:val="auto"/>
        </w:rPr>
      </w:pPr>
      <w:r>
        <w:rPr>
          <w:rFonts w:ascii="Arial" w:cs="Arial" w:eastAsia="Arial" w:hAnsi="Arial"/>
          <w:sz w:val="13"/>
          <w:szCs w:val="13"/>
          <w:color w:val="auto"/>
        </w:rPr>
        <w:t>“Business” or “Business of the Company” means (a) researching, developing, producing and marketing any treatment for hepatitis B virus infection in humans or</w:t>
      </w:r>
    </w:p>
    <w:p>
      <w:pPr>
        <w:spacing w:after="0" w:line="32" w:lineRule="exact"/>
        <w:rPr>
          <w:rFonts w:ascii="Arial" w:cs="Arial" w:eastAsia="Arial" w:hAnsi="Arial"/>
          <w:sz w:val="13"/>
          <w:szCs w:val="13"/>
          <w:color w:val="auto"/>
        </w:rPr>
      </w:pPr>
    </w:p>
    <w:p>
      <w:pPr>
        <w:ind w:firstLine="6"/>
        <w:spacing w:after="0" w:line="283" w:lineRule="auto"/>
        <w:tabs>
          <w:tab w:leader="none" w:pos="36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3" w:lineRule="exact"/>
        <w:rPr>
          <w:rFonts w:ascii="Arial" w:cs="Arial" w:eastAsia="Arial" w:hAnsi="Arial"/>
          <w:sz w:val="14"/>
          <w:szCs w:val="14"/>
          <w:color w:val="auto"/>
        </w:rPr>
      </w:pPr>
    </w:p>
    <w:p>
      <w:pPr>
        <w:ind w:left="1640" w:hanging="337"/>
        <w:spacing w:after="0"/>
        <w:tabs>
          <w:tab w:leader="none" w:pos="1640" w:val="left"/>
        </w:tabs>
        <w:numPr>
          <w:ilvl w:val="2"/>
          <w:numId w:val="25"/>
        </w:numPr>
        <w:rPr>
          <w:rFonts w:ascii="Arial" w:cs="Arial" w:eastAsia="Arial" w:hAnsi="Arial"/>
          <w:sz w:val="14"/>
          <w:szCs w:val="14"/>
          <w:color w:val="auto"/>
        </w:rPr>
      </w:pPr>
      <w:r>
        <w:rPr>
          <w:rFonts w:ascii="Arial" w:cs="Arial" w:eastAsia="Arial" w:hAnsi="Arial"/>
          <w:sz w:val="14"/>
          <w:szCs w:val="14"/>
          <w:color w:val="auto"/>
        </w:rPr>
        <w:t>“Competing Business” means any endeavor, activity or business which is competitive in any material way with the Business of the Company worldwide.</w:t>
      </w:r>
    </w:p>
    <w:p>
      <w:pPr>
        <w:spacing w:after="0" w:line="172" w:lineRule="exact"/>
        <w:rPr>
          <w:rFonts w:ascii="Arial" w:cs="Arial" w:eastAsia="Arial" w:hAnsi="Arial"/>
          <w:sz w:val="14"/>
          <w:szCs w:val="14"/>
          <w:color w:val="auto"/>
        </w:rPr>
      </w:pPr>
    </w:p>
    <w:p>
      <w:pPr>
        <w:ind w:left="1640" w:hanging="337"/>
        <w:spacing w:after="0"/>
        <w:tabs>
          <w:tab w:leader="none" w:pos="1640" w:val="left"/>
        </w:tabs>
        <w:numPr>
          <w:ilvl w:val="2"/>
          <w:numId w:val="25"/>
        </w:numPr>
        <w:rPr>
          <w:rFonts w:ascii="Arial" w:cs="Arial" w:eastAsia="Arial" w:hAnsi="Arial"/>
          <w:sz w:val="13"/>
          <w:szCs w:val="13"/>
          <w:color w:val="auto"/>
        </w:rPr>
      </w:pPr>
      <w:r>
        <w:rPr>
          <w:rFonts w:ascii="Arial" w:cs="Arial" w:eastAsia="Arial" w:hAnsi="Arial"/>
          <w:sz w:val="13"/>
          <w:szCs w:val="13"/>
          <w:color w:val="auto"/>
        </w:rPr>
        <w:t>“Contact” means any person, firm, corporation or other entity that was a client, customer, supplier, principal, shareholder, investor, collaborator, strategic partner,</w:t>
      </w:r>
    </w:p>
    <w:p>
      <w:pPr>
        <w:sectPr>
          <w:pgSz w:w="11900" w:h="16838" w:orient="portrait"/>
          <w:cols w:equalWidth="0" w:num="1">
            <w:col w:w="11440"/>
          </w:cols>
          <w:pgMar w:left="260" w:top="341" w:right="199" w:bottom="1440" w:gutter="0" w:footer="0" w:header="0"/>
        </w:sectPr>
      </w:pPr>
    </w:p>
    <w:bookmarkStart w:id="43" w:name="page44"/>
    <w:bookmarkEnd w:id="43"/>
    <w:p>
      <w:pPr>
        <w:ind w:left="40" w:right="480"/>
        <w:spacing w:after="0" w:line="287" w:lineRule="auto"/>
        <w:rPr>
          <w:sz w:val="20"/>
          <w:szCs w:val="20"/>
          <w:color w:val="auto"/>
        </w:rPr>
      </w:pPr>
      <w:r>
        <w:rPr>
          <w:rFonts w:ascii="Arial" w:cs="Arial" w:eastAsia="Arial" w:hAnsi="Arial"/>
          <w:sz w:val="14"/>
          <w:szCs w:val="14"/>
          <w:color w:val="auto"/>
        </w:rPr>
        <w:t>licensee, contact or prospect of the Company (or of its partners, funders or Affiliates) with whom the Executive dealt or otherwise became aware of during the term of his employment in any capacity with the Company.</w:t>
      </w:r>
    </w:p>
    <w:p>
      <w:pPr>
        <w:spacing w:after="0" w:line="110" w:lineRule="exact"/>
        <w:rPr>
          <w:sz w:val="20"/>
          <w:szCs w:val="20"/>
          <w:color w:val="auto"/>
        </w:rPr>
      </w:pPr>
    </w:p>
    <w:p>
      <w:pPr>
        <w:ind w:left="40" w:right="20" w:firstLine="1303"/>
        <w:spacing w:after="0" w:line="270" w:lineRule="auto"/>
        <w:tabs>
          <w:tab w:leader="none" w:pos="1625"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“Restricted Period” means: (a) with respect to Section 3(d) the eighteen (18) month period commencing immediately after the Executive’s employment terminates and (b) with respect to Section 3(f), the twelve (12) month period commencing</w:t>
      </w:r>
    </w:p>
    <w:p>
      <w:pPr>
        <w:ind w:left="40"/>
        <w:spacing w:after="0"/>
        <w:rPr>
          <w:rFonts w:ascii="Arial" w:cs="Arial" w:eastAsia="Arial" w:hAnsi="Arial"/>
          <w:sz w:val="14"/>
          <w:szCs w:val="14"/>
          <w:color w:val="auto"/>
        </w:rPr>
      </w:pPr>
      <w:r>
        <w:rPr>
          <w:rFonts w:ascii="Arial" w:cs="Arial" w:eastAsia="Arial" w:hAnsi="Arial"/>
          <w:sz w:val="14"/>
          <w:szCs w:val="14"/>
          <w:color w:val="auto"/>
        </w:rPr>
        <w:t>immediately after the Executive’s employment terminates.</w:t>
      </w:r>
    </w:p>
    <w:p>
      <w:pPr>
        <w:spacing w:after="0" w:line="151" w:lineRule="exact"/>
        <w:rPr>
          <w:rFonts w:ascii="Arial" w:cs="Arial" w:eastAsia="Arial" w:hAnsi="Arial"/>
          <w:sz w:val="14"/>
          <w:szCs w:val="14"/>
          <w:color w:val="auto"/>
        </w:rPr>
      </w:pPr>
    </w:p>
    <w:p>
      <w:pPr>
        <w:ind w:left="1120" w:hanging="20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Reasonableness</w:t>
      </w:r>
      <w:r>
        <w:rPr>
          <w:rFonts w:ascii="Arial" w:cs="Arial" w:eastAsia="Arial" w:hAnsi="Arial"/>
          <w:sz w:val="14"/>
          <w:szCs w:val="14"/>
          <w:color w:val="auto"/>
        </w:rPr>
        <w:t>. The Executive hereby acknowledges and agrees that:</w:t>
      </w:r>
    </w:p>
    <w:p>
      <w:pPr>
        <w:spacing w:after="0" w:line="163" w:lineRule="exact"/>
        <w:rPr>
          <w:rFonts w:ascii="Arial" w:cs="Arial" w:eastAsia="Arial" w:hAnsi="Arial"/>
          <w:sz w:val="14"/>
          <w:szCs w:val="14"/>
          <w:color w:val="auto"/>
        </w:rPr>
      </w:pPr>
    </w:p>
    <w:p>
      <w:pPr>
        <w:ind w:left="1600" w:hanging="257"/>
        <w:spacing w:after="0"/>
        <w:tabs>
          <w:tab w:leader="none" w:pos="16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both before and since the Effective Date the Company has operated and competed and will operate and compete worldwide, with respect to the Business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worldwide;</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(ii)</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competitors of the Company and the Business are located</w:t>
      </w:r>
    </w:p>
    <w:p>
      <w:pPr>
        <w:spacing w:after="0" w:line="125" w:lineRule="exact"/>
        <w:rPr>
          <w:sz w:val="20"/>
          <w:szCs w:val="20"/>
          <w:color w:val="auto"/>
        </w:rPr>
      </w:pPr>
    </w:p>
    <w:p>
      <w:pPr>
        <w:ind w:left="480" w:hanging="434"/>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order to protect the Company adequately, any enjoinder of</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competition would have to apply to any country in which the Company, during the term of the Executive’s employment, had material business relationships;</w:t>
      </w:r>
    </w:p>
    <w:p>
      <w:pPr>
        <w:spacing w:after="0" w:line="163" w:lineRule="exact"/>
        <w:rPr>
          <w:sz w:val="20"/>
          <w:szCs w:val="20"/>
          <w:color w:val="auto"/>
        </w:rPr>
      </w:pPr>
    </w:p>
    <w:p>
      <w:pPr>
        <w:ind w:left="40" w:right="180" w:firstLine="1303"/>
        <w:spacing w:after="0" w:line="277" w:lineRule="auto"/>
        <w:tabs>
          <w:tab w:leader="none" w:pos="1665" w:val="left"/>
        </w:tabs>
        <w:numPr>
          <w:ilvl w:val="1"/>
          <w:numId w:val="29"/>
        </w:numPr>
        <w:rPr>
          <w:rFonts w:ascii="Arial" w:cs="Arial" w:eastAsia="Arial" w:hAnsi="Arial"/>
          <w:sz w:val="14"/>
          <w:szCs w:val="14"/>
          <w:color w:val="auto"/>
        </w:rPr>
      </w:pPr>
      <w:r>
        <w:rPr>
          <w:rFonts w:ascii="Arial" w:cs="Arial" w:eastAsia="Arial" w:hAnsi="Arial"/>
          <w:sz w:val="14"/>
          <w:szCs w:val="14"/>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18" w:lineRule="exact"/>
        <w:rPr>
          <w:rFonts w:ascii="Arial" w:cs="Arial" w:eastAsia="Arial" w:hAnsi="Arial"/>
          <w:sz w:val="14"/>
          <w:szCs w:val="14"/>
          <w:color w:val="auto"/>
        </w:rPr>
      </w:pPr>
    </w:p>
    <w:p>
      <w:pPr>
        <w:ind w:left="1640" w:hanging="297"/>
        <w:spacing w:after="0"/>
        <w:tabs>
          <w:tab w:leader="none" w:pos="1640" w:val="left"/>
        </w:tabs>
        <w:numPr>
          <w:ilvl w:val="1"/>
          <w:numId w:val="29"/>
        </w:numPr>
        <w:rPr>
          <w:rFonts w:ascii="Arial" w:cs="Arial" w:eastAsia="Arial" w:hAnsi="Arial"/>
          <w:sz w:val="14"/>
          <w:szCs w:val="14"/>
          <w:color w:val="auto"/>
        </w:rPr>
      </w:pPr>
      <w:r>
        <w:rPr>
          <w:rFonts w:ascii="Arial" w:cs="Arial" w:eastAsia="Arial" w:hAnsi="Arial"/>
          <w:sz w:val="14"/>
          <w:szCs w:val="14"/>
          <w:color w:val="auto"/>
        </w:rPr>
        <w:t>in light of the foregoing, the provisions of this Section 3 are reasonable and necessary for the proper protection of the Business of the Company.</w:t>
      </w:r>
    </w:p>
    <w:p>
      <w:pPr>
        <w:spacing w:after="0" w:line="172" w:lineRule="exact"/>
        <w:rPr>
          <w:rFonts w:ascii="Arial" w:cs="Arial" w:eastAsia="Arial" w:hAnsi="Arial"/>
          <w:sz w:val="14"/>
          <w:szCs w:val="14"/>
          <w:color w:val="auto"/>
        </w:rPr>
      </w:pPr>
    </w:p>
    <w:p>
      <w:pPr>
        <w:ind w:left="40" w:firstLine="871"/>
        <w:spacing w:after="0" w:line="263" w:lineRule="auto"/>
        <w:tabs>
          <w:tab w:leader="none" w:pos="1271"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Restrictive Covenant</w:t>
      </w:r>
      <w:r>
        <w:rPr>
          <w:rFonts w:ascii="Arial" w:cs="Arial" w:eastAsia="Arial" w:hAnsi="Arial"/>
          <w:sz w:val="14"/>
          <w:szCs w:val="14"/>
          <w:color w:val="auto"/>
        </w:rPr>
        <w:t xml:space="preserve">. Except as set forth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17" w:lineRule="exact"/>
        <w:rPr>
          <w:rFonts w:ascii="Arial" w:cs="Arial" w:eastAsia="Arial" w:hAnsi="Arial"/>
          <w:sz w:val="14"/>
          <w:szCs w:val="14"/>
          <w:color w:val="auto"/>
        </w:rPr>
      </w:pPr>
    </w:p>
    <w:p>
      <w:pPr>
        <w:ind w:left="1260" w:hanging="349"/>
        <w:spacing w:after="0"/>
        <w:tabs>
          <w:tab w:leader="none" w:pos="1260"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Exception</w:t>
      </w:r>
      <w:r>
        <w:rPr>
          <w:rFonts w:ascii="Arial" w:cs="Arial" w:eastAsia="Arial" w:hAnsi="Arial"/>
          <w:sz w:val="14"/>
          <w:szCs w:val="14"/>
          <w:color w:val="auto"/>
        </w:rPr>
        <w:t>. The Executive shall not be in default of Section 3(d) by virtue of the Executive:</w:t>
      </w:r>
    </w:p>
    <w:p>
      <w:pPr>
        <w:sectPr>
          <w:pgSz w:w="11900" w:h="16838" w:orient="portrait"/>
          <w:cols w:equalWidth="0" w:num="1">
            <w:col w:w="11460"/>
          </w:cols>
          <w:pgMar w:left="220" w:top="341" w:right="219" w:bottom="1440" w:gutter="0" w:footer="0" w:header="0"/>
        </w:sectPr>
      </w:pPr>
    </w:p>
    <w:bookmarkStart w:id="44" w:name="page45"/>
    <w:bookmarkEnd w:id="44"/>
    <w:p>
      <w:pPr>
        <w:ind w:left="1300"/>
        <w:spacing w:after="0"/>
        <w:tabs>
          <w:tab w:leader="none" w:pos="154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following the termination of employment, holding, strictly for portfolio purposes and as a passive investor, no more than five percent (5%) of the issued and</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outstanding shares of, or any other interest in, any corporation or other entity that is a Competing Business; or</w:t>
      </w:r>
    </w:p>
    <w:p>
      <w:pPr>
        <w:spacing w:after="0" w:line="154" w:lineRule="exact"/>
        <w:rPr>
          <w:sz w:val="20"/>
          <w:szCs w:val="20"/>
          <w:color w:val="auto"/>
        </w:rPr>
      </w:pPr>
    </w:p>
    <w:p>
      <w:pPr>
        <w:ind w:right="160" w:firstLine="1303"/>
        <w:spacing w:after="0" w:line="277" w:lineRule="auto"/>
        <w:tabs>
          <w:tab w:leader="none" w:pos="1593"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18"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12" w:lineRule="exact"/>
        <w:rPr>
          <w:sz w:val="20"/>
          <w:szCs w:val="20"/>
          <w:color w:val="auto"/>
        </w:rPr>
      </w:pPr>
    </w:p>
    <w:p>
      <w:pPr>
        <w:ind w:right="20" w:firstLine="871"/>
        <w:spacing w:after="0" w:line="271" w:lineRule="auto"/>
        <w:tabs>
          <w:tab w:leader="none" w:pos="1207"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Non-Solicitation</w:t>
      </w:r>
      <w:r>
        <w:rPr>
          <w:rFonts w:ascii="Arial" w:cs="Arial" w:eastAsia="Arial" w:hAnsi="Arial"/>
          <w:sz w:val="14"/>
          <w:szCs w:val="14"/>
          <w:color w:val="auto"/>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112" w:lineRule="exact"/>
        <w:rPr>
          <w:rFonts w:ascii="Arial" w:cs="Arial" w:eastAsia="Arial" w:hAnsi="Arial"/>
          <w:sz w:val="14"/>
          <w:szCs w:val="14"/>
          <w:color w:val="auto"/>
        </w:rPr>
      </w:pPr>
    </w:p>
    <w:p>
      <w:pPr>
        <w:ind w:left="1560" w:hanging="257"/>
        <w:spacing w:after="0"/>
        <w:tabs>
          <w:tab w:leader="none" w:pos="15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solicit, induce or encourage any Contact to curtail or cease its relationship with the Company, for any purpose which is competitive with the Business; or</w:t>
      </w:r>
    </w:p>
    <w:p>
      <w:pPr>
        <w:spacing w:after="0" w:line="172" w:lineRule="exact"/>
        <w:rPr>
          <w:rFonts w:ascii="Arial" w:cs="Arial" w:eastAsia="Arial" w:hAnsi="Arial"/>
          <w:sz w:val="14"/>
          <w:szCs w:val="14"/>
          <w:color w:val="auto"/>
        </w:rPr>
      </w:pPr>
    </w:p>
    <w:p>
      <w:pPr>
        <w:ind w:left="1600" w:hanging="297"/>
        <w:spacing w:after="0"/>
        <w:tabs>
          <w:tab w:leader="none" w:pos="16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accept (or procure or assist the acceptance of) any business from any Contact if such business is competitive with the Business; or</w:t>
      </w:r>
    </w:p>
    <w:p>
      <w:pPr>
        <w:spacing w:after="0" w:line="172" w:lineRule="exact"/>
        <w:rPr>
          <w:rFonts w:ascii="Arial" w:cs="Arial" w:eastAsia="Arial" w:hAnsi="Arial"/>
          <w:sz w:val="14"/>
          <w:szCs w:val="14"/>
          <w:color w:val="auto"/>
        </w:rPr>
      </w:pPr>
    </w:p>
    <w:p>
      <w:pPr>
        <w:ind w:right="40" w:firstLine="1303"/>
        <w:spacing w:after="0" w:line="300" w:lineRule="auto"/>
        <w:tabs>
          <w:tab w:leader="none" w:pos="1633" w:val="left"/>
        </w:tabs>
        <w:numPr>
          <w:ilvl w:val="1"/>
          <w:numId w:val="32"/>
        </w:numPr>
        <w:rPr>
          <w:rFonts w:ascii="Arial" w:cs="Arial" w:eastAsia="Arial" w:hAnsi="Arial"/>
          <w:sz w:val="14"/>
          <w:szCs w:val="14"/>
          <w:color w:val="auto"/>
        </w:rPr>
      </w:pPr>
      <w:r>
        <w:rPr>
          <w:rFonts w:ascii="Arial" w:cs="Arial" w:eastAsia="Arial" w:hAnsi="Arial"/>
          <w:sz w:val="14"/>
          <w:szCs w:val="14"/>
          <w:color w:val="auto"/>
        </w:rPr>
        <w:t>be employed by or supply (or procure or assist the supply of) any goods or services to any Contact for any purpose which the Executive knows or has reason to know is competitive with the Business; or</w:t>
      </w:r>
    </w:p>
    <w:p>
      <w:pPr>
        <w:spacing w:after="0" w:line="101" w:lineRule="exact"/>
        <w:rPr>
          <w:rFonts w:ascii="Arial" w:cs="Arial" w:eastAsia="Arial" w:hAnsi="Arial"/>
          <w:sz w:val="14"/>
          <w:szCs w:val="14"/>
          <w:color w:val="auto"/>
        </w:rPr>
      </w:pPr>
    </w:p>
    <w:p>
      <w:pPr>
        <w:ind w:firstLine="1303"/>
        <w:spacing w:after="0" w:line="270" w:lineRule="auto"/>
        <w:tabs>
          <w:tab w:leader="none" w:pos="1625" w:val="left"/>
        </w:tabs>
        <w:numPr>
          <w:ilvl w:val="1"/>
          <w:numId w:val="32"/>
        </w:numPr>
        <w:rPr>
          <w:rFonts w:ascii="Arial" w:cs="Arial" w:eastAsia="Arial" w:hAnsi="Arial"/>
          <w:sz w:val="14"/>
          <w:szCs w:val="14"/>
          <w:color w:val="auto"/>
        </w:rPr>
      </w:pPr>
      <w:r>
        <w:rPr>
          <w:rFonts w:ascii="Arial" w:cs="Arial" w:eastAsia="Arial" w:hAnsi="Arial"/>
          <w:sz w:val="14"/>
          <w:szCs w:val="14"/>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13" w:lineRule="exact"/>
        <w:rPr>
          <w:rFonts w:ascii="Arial" w:cs="Arial" w:eastAsia="Arial" w:hAnsi="Arial"/>
          <w:sz w:val="14"/>
          <w:szCs w:val="14"/>
          <w:color w:val="auto"/>
        </w:rPr>
      </w:pPr>
    </w:p>
    <w:p>
      <w:pPr>
        <w:ind w:left="1240" w:hanging="369"/>
        <w:spacing w:after="0"/>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Validity</w:t>
      </w:r>
      <w:r>
        <w:rPr>
          <w:rFonts w:ascii="Arial" w:cs="Arial" w:eastAsia="Arial" w:hAnsi="Arial"/>
          <w:sz w:val="14"/>
          <w:szCs w:val="14"/>
          <w:color w:val="auto"/>
        </w:rPr>
        <w:t>. The Executive expressly recognizes and acknowledges that it is the intent of the parties that the Executive’s activities following the termination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Executive’s employment with the Company be restricted in the manner described in this Section 3, and acknowledges that good, valuable, and sufficient consideration has been provided in</w:t>
      </w:r>
    </w:p>
    <w:p>
      <w:pPr>
        <w:sectPr>
          <w:pgSz w:w="11900" w:h="16838" w:orient="portrait"/>
          <w:cols w:equalWidth="0" w:num="1">
            <w:col w:w="11360"/>
          </w:cols>
          <w:pgMar w:left="260" w:top="350" w:right="27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exchange for such restrictions. The Executive agrees that should any of the restrictions contained in this Section 3 be found to be unreasonable to any extent by a court of competent</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12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The Executive’s employment by the Company may be terminated without any breach of this Agreement under the following circumstances:</w:t>
      </w:r>
    </w:p>
    <w:p>
      <w:pPr>
        <w:spacing w:after="0" w:line="163" w:lineRule="exact"/>
        <w:rPr>
          <w:sz w:val="20"/>
          <w:szCs w:val="20"/>
          <w:color w:val="auto"/>
        </w:rPr>
      </w:pPr>
    </w:p>
    <w:p>
      <w:pPr>
        <w:ind w:left="1460" w:hanging="589"/>
        <w:spacing w:after="0"/>
        <w:tabs>
          <w:tab w:leader="none" w:pos="146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Death</w:t>
      </w:r>
      <w:r>
        <w:rPr>
          <w:rFonts w:ascii="Arial" w:cs="Arial" w:eastAsia="Arial" w:hAnsi="Arial"/>
          <w:sz w:val="14"/>
          <w:szCs w:val="14"/>
          <w:color w:val="auto"/>
        </w:rPr>
        <w:t>. The Executive’s employment hereunder terminates upon his death.</w:t>
      </w:r>
    </w:p>
    <w:p>
      <w:pPr>
        <w:spacing w:after="0" w:line="163" w:lineRule="exact"/>
        <w:rPr>
          <w:rFonts w:ascii="Arial" w:cs="Arial" w:eastAsia="Arial" w:hAnsi="Arial"/>
          <w:sz w:val="14"/>
          <w:szCs w:val="14"/>
          <w:color w:val="auto"/>
        </w:rPr>
      </w:pPr>
    </w:p>
    <w:p>
      <w:pPr>
        <w:ind w:firstLine="871"/>
        <w:spacing w:after="0" w:line="280" w:lineRule="auto"/>
        <w:tabs>
          <w:tab w:leader="none" w:pos="146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w:t>
      </w:r>
      <w:r>
        <w:rPr>
          <w:rFonts w:ascii="Arial" w:cs="Arial" w:eastAsia="Arial" w:hAnsi="Arial"/>
          <w:sz w:val="12"/>
          <w:szCs w:val="12"/>
          <w:u w:val="single" w:color="auto"/>
          <w:color w:val="0000EE"/>
        </w:rPr>
        <w:t>Section 4(b)</w:t>
      </w:r>
      <w:r>
        <w:rPr>
          <w:rFonts w:ascii="Arial" w:cs="Arial" w:eastAsia="Arial" w:hAnsi="Arial"/>
          <w:sz w:val="13"/>
          <w:szCs w:val="13"/>
          <w:color w:val="auto"/>
        </w:rPr>
        <w:t xml:space="preserve"> is to be construed to waive the Executive’s rights, if any, under existing law including, without limitation, the Family and Medical Leave Act of 1993, 29</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U.S.C. §2601 et seq., and the Americans with Disabilities Act, 42 U.S.C. §12101 et seq.</w:t>
      </w:r>
    </w:p>
    <w:p>
      <w:pPr>
        <w:spacing w:after="0" w:line="160" w:lineRule="exact"/>
        <w:rPr>
          <w:rFonts w:ascii="Arial" w:cs="Arial" w:eastAsia="Arial" w:hAnsi="Arial"/>
          <w:sz w:val="13"/>
          <w:szCs w:val="13"/>
          <w:color w:val="auto"/>
        </w:rPr>
      </w:pPr>
    </w:p>
    <w:p>
      <w:pPr>
        <w:ind w:right="40" w:firstLine="871"/>
        <w:spacing w:after="0" w:line="280" w:lineRule="auto"/>
        <w:tabs>
          <w:tab w:leader="none" w:pos="1457"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Termination by Company for Cause</w:t>
      </w:r>
      <w:r>
        <w:rPr>
          <w:rFonts w:ascii="Arial" w:cs="Arial" w:eastAsia="Arial" w:hAnsi="Arial"/>
          <w:sz w:val="13"/>
          <w:szCs w:val="13"/>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Employee engages in misfeasance or malfeasance demonstrated by a pattern of failure to perform job duties diligently and professionally. The Company may</w:t>
      </w:r>
    </w:p>
    <w:p>
      <w:pPr>
        <w:spacing w:after="0" w:line="10" w:lineRule="exact"/>
        <w:rPr>
          <w:rFonts w:ascii="Arial" w:cs="Arial" w:eastAsia="Arial" w:hAnsi="Arial"/>
          <w:sz w:val="13"/>
          <w:szCs w:val="13"/>
          <w:color w:val="auto"/>
        </w:rPr>
      </w:pPr>
    </w:p>
    <w:p>
      <w:pPr>
        <w:ind w:right="300"/>
        <w:spacing w:after="0" w:line="270" w:lineRule="auto"/>
        <w:rPr>
          <w:rFonts w:ascii="Arial" w:cs="Arial" w:eastAsia="Arial" w:hAnsi="Arial"/>
          <w:sz w:val="13"/>
          <w:szCs w:val="13"/>
          <w:color w:val="auto"/>
        </w:rPr>
      </w:pPr>
      <w:r>
        <w:rPr>
          <w:rFonts w:ascii="Arial" w:cs="Arial" w:eastAsia="Arial" w:hAnsi="Arial"/>
          <w:sz w:val="14"/>
          <w:szCs w:val="14"/>
          <w:color w:val="auto"/>
        </w:rPr>
        <w:t>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121" w:lineRule="exact"/>
        <w:rPr>
          <w:rFonts w:ascii="Arial" w:cs="Arial" w:eastAsia="Arial" w:hAnsi="Arial"/>
          <w:sz w:val="13"/>
          <w:szCs w:val="13"/>
          <w:color w:val="auto"/>
        </w:rPr>
      </w:pPr>
    </w:p>
    <w:p>
      <w:pPr>
        <w:ind w:right="80" w:firstLine="871"/>
        <w:spacing w:after="0" w:line="279" w:lineRule="auto"/>
        <w:tabs>
          <w:tab w:leader="none" w:pos="146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Without Cause or by the Executive for Good Reason</w:t>
      </w:r>
      <w:r>
        <w:rPr>
          <w:rFonts w:ascii="Arial" w:cs="Arial" w:eastAsia="Arial" w:hAnsi="Arial"/>
          <w:sz w:val="13"/>
          <w:szCs w:val="13"/>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w:t>
      </w:r>
    </w:p>
    <w:p>
      <w:pPr>
        <w:spacing w:after="0"/>
        <w:rPr>
          <w:rFonts w:ascii="Arial" w:cs="Arial" w:eastAsia="Arial" w:hAnsi="Arial"/>
          <w:sz w:val="13"/>
          <w:szCs w:val="13"/>
          <w:color w:val="auto"/>
        </w:rPr>
      </w:pPr>
      <w:r>
        <w:rPr>
          <w:rFonts w:ascii="Arial" w:cs="Arial" w:eastAsia="Arial" w:hAnsi="Arial"/>
          <w:sz w:val="14"/>
          <w:szCs w:val="14"/>
          <w:color w:val="auto"/>
        </w:rPr>
        <w:t>relocation of Employee’s principal place of employment by more than fifty (50) miles; (iv) a</w:t>
      </w:r>
    </w:p>
    <w:p>
      <w:pPr>
        <w:spacing w:after="0" w:line="10" w:lineRule="exact"/>
        <w:rPr>
          <w:rFonts w:ascii="Arial" w:cs="Arial" w:eastAsia="Arial" w:hAnsi="Arial"/>
          <w:sz w:val="13"/>
          <w:szCs w:val="13"/>
          <w:color w:val="auto"/>
        </w:rPr>
      </w:pPr>
    </w:p>
    <w:p>
      <w:pPr>
        <w:ind w:right="160"/>
        <w:spacing w:after="0" w:line="270" w:lineRule="auto"/>
        <w:rPr>
          <w:rFonts w:ascii="Arial" w:cs="Arial" w:eastAsia="Arial" w:hAnsi="Arial"/>
          <w:sz w:val="13"/>
          <w:szCs w:val="13"/>
          <w:color w:val="auto"/>
        </w:rPr>
      </w:pPr>
      <w:r>
        <w:rPr>
          <w:rFonts w:ascii="Arial" w:cs="Arial" w:eastAsia="Arial" w:hAnsi="Arial"/>
          <w:sz w:val="14"/>
          <w:szCs w:val="14"/>
          <w:color w:val="auto"/>
        </w:rPr>
        <w:t>termination of the Executive’s employment by the Company; and (v) a substantial and adverse change to the Executive’s duties and responsibilities. For purposes of this Agreement, except for the Company terminating the Executive’s employment, termination for Good Reason requires</w:t>
      </w:r>
    </w:p>
    <w:p>
      <w:pPr>
        <w:sectPr>
          <w:pgSz w:w="11900" w:h="16838" w:orient="portrait"/>
          <w:cols w:equalWidth="0" w:num="1">
            <w:col w:w="11420"/>
          </w:cols>
          <w:pgMar w:left="260" w:top="296" w:right="219" w:bottom="1440" w:gutter="0" w:footer="0" w:header="0"/>
        </w:sectPr>
      </w:pPr>
    </w:p>
    <w:bookmarkStart w:id="46" w:name="page47"/>
    <w:bookmarkEnd w:id="46"/>
    <w:p>
      <w:pPr>
        <w:ind w:right="40"/>
        <w:spacing w:after="0" w:line="287" w:lineRule="auto"/>
        <w:rPr>
          <w:sz w:val="20"/>
          <w:szCs w:val="20"/>
          <w:color w:val="auto"/>
        </w:rPr>
      </w:pPr>
      <w:r>
        <w:rPr>
          <w:rFonts w:ascii="Arial" w:cs="Arial" w:eastAsia="Arial" w:hAnsi="Arial"/>
          <w:sz w:val="14"/>
          <w:szCs w:val="14"/>
          <w:color w:val="auto"/>
        </w:rPr>
        <w:t>Executive to comply with the “Good Reason Process,” which means that (i) the Executive reasonably determines in good faith that a Good Reason condition has occurred; (ii) the Executive notifies the Company in writing of the first occurrence of the Good Reason condition</w:t>
      </w:r>
    </w:p>
    <w:p>
      <w:pPr>
        <w:spacing w:after="0" w:line="151"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within 30 days of the first occurrence of such condition; (iii) the Executive cooperates in good faith with the Company’s efforts, for a period of not less than 30 days following that notice (the “</w:t>
      </w:r>
      <w:r>
        <w:rPr>
          <w:rFonts w:ascii="Arial" w:cs="Arial" w:eastAsia="Arial" w:hAnsi="Arial"/>
          <w:sz w:val="14"/>
          <w:szCs w:val="14"/>
          <w:b w:val="1"/>
          <w:bCs w:val="1"/>
          <w:u w:val="single" w:color="auto"/>
          <w:color w:val="auto"/>
        </w:rPr>
        <w:t>Cure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Period</w:t>
      </w:r>
      <w:r>
        <w:rPr>
          <w:rFonts w:ascii="Arial" w:cs="Arial" w:eastAsia="Arial" w:hAnsi="Arial"/>
          <w:sz w:val="14"/>
          <w:szCs w:val="14"/>
          <w:color w:val="auto"/>
        </w:rPr>
        <w:t>”) to remedy the condition; (iv) notwithstanding the Company’s efforts, the Good Reason condition continues to exist; and (v) the Executive terminates his employment within 30 days after</w:t>
      </w:r>
      <w:r>
        <w:rPr>
          <w:rFonts w:ascii="Arial" w:cs="Arial" w:eastAsia="Arial" w:hAnsi="Arial"/>
          <w:sz w:val="14"/>
          <w:szCs w:val="14"/>
          <w:b w:val="1"/>
          <w:bCs w:val="1"/>
          <w:color w:val="auto"/>
        </w:rPr>
        <w:t xml:space="preserve"> </w:t>
      </w:r>
      <w:r>
        <w:rPr>
          <w:rFonts w:ascii="Arial" w:cs="Arial" w:eastAsia="Arial" w:hAnsi="Arial"/>
          <w:sz w:val="14"/>
          <w:szCs w:val="14"/>
          <w:color w:val="auto"/>
        </w:rPr>
        <w:t>the end of the Cure Period. If the Company cures the Good Reason condition during the Cure Period, Good Reason is deemed not to have occurred.</w:t>
      </w:r>
    </w:p>
    <w:p>
      <w:pPr>
        <w:spacing w:after="0" w:line="119"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 xml:space="preserve">Any termination by the Company of the Executive’s employment under this Agreement that does not constitute a termination for Cause under </w:t>
      </w:r>
      <w:r>
        <w:rPr>
          <w:rFonts w:ascii="Arial" w:cs="Arial" w:eastAsia="Arial" w:hAnsi="Arial"/>
          <w:sz w:val="14"/>
          <w:szCs w:val="14"/>
          <w:u w:val="single" w:color="auto"/>
          <w:color w:val="0000EE"/>
        </w:rPr>
        <w:t>Section 4(c)</w:t>
      </w:r>
      <w:r>
        <w:rPr>
          <w:rFonts w:ascii="Arial" w:cs="Arial" w:eastAsia="Arial" w:hAnsi="Arial"/>
          <w:sz w:val="14"/>
          <w:szCs w:val="14"/>
          <w:color w:val="auto"/>
        </w:rPr>
        <w:t xml:space="preserve"> and does not result from the death or disability of the Executive under Section 4(a) or (b) is a termination without Cause.</w:t>
      </w:r>
    </w:p>
    <w:p>
      <w:pPr>
        <w:spacing w:after="0" w:line="110" w:lineRule="exact"/>
        <w:rPr>
          <w:sz w:val="20"/>
          <w:szCs w:val="20"/>
          <w:color w:val="auto"/>
        </w:rPr>
      </w:pPr>
    </w:p>
    <w:p>
      <w:pPr>
        <w:ind w:left="1460" w:hanging="589"/>
        <w:spacing w:after="0"/>
        <w:tabs>
          <w:tab w:leader="none" w:pos="1460" w:val="left"/>
        </w:tabs>
        <w:numPr>
          <w:ilvl w:val="1"/>
          <w:numId w:val="34"/>
        </w:numPr>
        <w:rPr>
          <w:rFonts w:ascii="Arial" w:cs="Arial" w:eastAsia="Arial" w:hAnsi="Arial"/>
          <w:sz w:val="13"/>
          <w:szCs w:val="13"/>
          <w:color w:val="auto"/>
        </w:rPr>
      </w:pPr>
      <w:r>
        <w:rPr>
          <w:rFonts w:ascii="Arial" w:cs="Arial" w:eastAsia="Arial" w:hAnsi="Arial"/>
          <w:sz w:val="13"/>
          <w:szCs w:val="13"/>
          <w:u w:val="single" w:color="auto"/>
          <w:color w:val="auto"/>
        </w:rPr>
        <w:t>Termination by the Executive</w:t>
      </w:r>
      <w:r>
        <w:rPr>
          <w:rFonts w:ascii="Arial" w:cs="Arial" w:eastAsia="Arial" w:hAnsi="Arial"/>
          <w:sz w:val="13"/>
          <w:szCs w:val="13"/>
          <w:color w:val="auto"/>
        </w:rPr>
        <w:t>. Executive may terminate employment with the Company without Good Reason at any time for any reason or no reason at all, upon thirty</w:t>
      </w:r>
    </w:p>
    <w:p>
      <w:pPr>
        <w:spacing w:after="0" w:line="32" w:lineRule="exact"/>
        <w:rPr>
          <w:rFonts w:ascii="Arial" w:cs="Arial" w:eastAsia="Arial" w:hAnsi="Arial"/>
          <w:sz w:val="13"/>
          <w:szCs w:val="13"/>
          <w:color w:val="auto"/>
        </w:rPr>
      </w:pPr>
    </w:p>
    <w:p>
      <w:pPr>
        <w:ind w:right="140" w:firstLine="6"/>
        <w:spacing w:after="0" w:line="262" w:lineRule="auto"/>
        <w:tabs>
          <w:tab w:leader="none" w:pos="2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27" w:lineRule="exact"/>
        <w:rPr>
          <w:rFonts w:ascii="Arial" w:cs="Arial" w:eastAsia="Arial" w:hAnsi="Arial"/>
          <w:sz w:val="14"/>
          <w:szCs w:val="14"/>
          <w:color w:val="auto"/>
        </w:rPr>
      </w:pPr>
    </w:p>
    <w:p>
      <w:pPr>
        <w:ind w:right="100" w:firstLine="871"/>
        <w:spacing w:after="0" w:line="296" w:lineRule="auto"/>
        <w:tabs>
          <w:tab w:leader="none" w:pos="1441" w:val="left"/>
        </w:tabs>
        <w:numPr>
          <w:ilvl w:val="1"/>
          <w:numId w:val="35"/>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Except for termination as specified in </w:t>
      </w:r>
      <w:r>
        <w:rPr>
          <w:rFonts w:ascii="Arial" w:cs="Arial" w:eastAsia="Arial" w:hAnsi="Arial"/>
          <w:sz w:val="13"/>
          <w:szCs w:val="13"/>
          <w:u w:val="single" w:color="auto"/>
          <w:color w:val="0000EE"/>
        </w:rPr>
        <w:t xml:space="preserve">Section </w:t>
      </w:r>
      <w:hyperlink w:anchor="page46">
        <w:r>
          <w:rPr>
            <w:rFonts w:ascii="Arial" w:cs="Arial" w:eastAsia="Arial" w:hAnsi="Arial"/>
            <w:sz w:val="13"/>
            <w:szCs w:val="13"/>
            <w:u w:val="single" w:color="auto"/>
            <w:color w:val="0000EE"/>
          </w:rPr>
          <w:t xml:space="preserve">4(a), </w:t>
        </w:r>
      </w:hyperlink>
      <w:r>
        <w:rPr>
          <w:rFonts w:ascii="Arial" w:cs="Arial" w:eastAsia="Arial" w:hAnsi="Arial"/>
          <w:sz w:val="13"/>
          <w:szCs w:val="13"/>
          <w:u w:val="single" w:color="auto"/>
          <w:color w:val="0000EE"/>
        </w:rPr>
        <w:t>any termination of the Executive’s employment by the Company or any termination of his employment by the Executive must be communicated by written Notice of Termination to the other party. For purposes of this Agreement, a “</w:t>
      </w:r>
      <w:r>
        <w:rPr>
          <w:rFonts w:ascii="Arial" w:cs="Arial" w:eastAsia="Arial" w:hAnsi="Arial"/>
          <w:sz w:val="13"/>
          <w:szCs w:val="13"/>
          <w:b w:val="1"/>
          <w:bCs w:val="1"/>
          <w:u w:val="single" w:color="auto"/>
          <w:color w:val="0000EE"/>
        </w:rPr>
        <w:t>Notice of Termination</w:t>
      </w:r>
      <w:r>
        <w:rPr>
          <w:rFonts w:ascii="Arial" w:cs="Arial" w:eastAsia="Arial" w:hAnsi="Arial"/>
          <w:sz w:val="13"/>
          <w:szCs w:val="13"/>
          <w:u w:val="single" w:color="auto"/>
          <w:color w:val="0000EE"/>
        </w:rPr>
        <w:t>” means a notice that indicates the specific termination provision in this Agreement that the termination is based upon.</w:t>
      </w:r>
    </w:p>
    <w:p>
      <w:pPr>
        <w:spacing w:after="0" w:line="104" w:lineRule="exact"/>
        <w:rPr>
          <w:rFonts w:ascii="Arial" w:cs="Arial" w:eastAsia="Arial" w:hAnsi="Arial"/>
          <w:sz w:val="14"/>
          <w:szCs w:val="14"/>
          <w:color w:val="auto"/>
        </w:rPr>
      </w:pPr>
    </w:p>
    <w:p>
      <w:pPr>
        <w:ind w:left="1480" w:hanging="609"/>
        <w:spacing w:after="0"/>
        <w:tabs>
          <w:tab w:leader="none" w:pos="1480" w:val="left"/>
        </w:tabs>
        <w:numPr>
          <w:ilvl w:val="1"/>
          <w:numId w:val="35"/>
        </w:numPr>
        <w:rPr>
          <w:rFonts w:ascii="Arial" w:cs="Arial" w:eastAsia="Arial" w:hAnsi="Arial"/>
          <w:sz w:val="14"/>
          <w:szCs w:val="14"/>
          <w:color w:val="auto"/>
        </w:rPr>
      </w:pPr>
      <w:r>
        <w:rPr>
          <w:rFonts w:ascii="Arial" w:cs="Arial" w:eastAsia="Arial" w:hAnsi="Arial"/>
          <w:sz w:val="14"/>
          <w:szCs w:val="14"/>
          <w:u w:val="single" w:color="auto"/>
          <w:color w:val="auto"/>
        </w:rPr>
        <w:t>Date of Termination</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Date of Termination</w:t>
      </w:r>
      <w:r>
        <w:rPr>
          <w:rFonts w:ascii="Arial" w:cs="Arial" w:eastAsia="Arial" w:hAnsi="Arial"/>
          <w:sz w:val="14"/>
          <w:szCs w:val="14"/>
          <w:color w:val="auto"/>
        </w:rPr>
        <w:t>” means: (i) if the</w:t>
      </w:r>
    </w:p>
    <w:p>
      <w:pPr>
        <w:spacing w:after="0" w:line="25" w:lineRule="exact"/>
        <w:rPr>
          <w:sz w:val="20"/>
          <w:szCs w:val="20"/>
          <w:color w:val="auto"/>
        </w:rPr>
      </w:pPr>
    </w:p>
    <w:p>
      <w:pPr>
        <w:spacing w:after="0" w:line="258" w:lineRule="auto"/>
        <w:rPr>
          <w:rFonts w:ascii="Arial" w:cs="Arial" w:eastAsia="Arial" w:hAnsi="Arial"/>
          <w:sz w:val="14"/>
          <w:szCs w:val="14"/>
          <w:color w:val="auto"/>
        </w:rPr>
      </w:pPr>
      <w:r>
        <w:rPr>
          <w:rFonts w:ascii="Arial" w:cs="Arial" w:eastAsia="Arial" w:hAnsi="Arial"/>
          <w:sz w:val="14"/>
          <w:szCs w:val="14"/>
          <w:color w:val="auto"/>
        </w:rPr>
        <w:t xml:space="preserve">Executive’s employment is terminated by his death, the date of his death; (ii) if the Executive’s employment is terminated on account of disability under </w:t>
      </w:r>
      <w:hyperlink w:anchor="page46">
        <w:r>
          <w:rPr>
            <w:rFonts w:ascii="Arial" w:cs="Arial" w:eastAsia="Arial" w:hAnsi="Arial"/>
            <w:sz w:val="14"/>
            <w:szCs w:val="14"/>
            <w:u w:val="single" w:color="auto"/>
            <w:color w:val="0000EE"/>
          </w:rPr>
          <w:t>Section 4(b)</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or by the Company for Cause under </w:t>
      </w:r>
      <w:hyperlink w:anchor="page46">
        <w:r>
          <w:rPr>
            <w:rFonts w:ascii="Arial" w:cs="Arial" w:eastAsia="Arial" w:hAnsi="Arial"/>
            <w:sz w:val="14"/>
            <w:szCs w:val="14"/>
            <w:u w:val="single" w:color="auto"/>
            <w:color w:val="0000EE"/>
          </w:rPr>
          <w:t>Section 4(c)</w:t>
        </w:r>
      </w:hyperlink>
      <w:r>
        <w:rPr>
          <w:rFonts w:ascii="Arial" w:cs="Arial" w:eastAsia="Arial" w:hAnsi="Arial"/>
          <w:sz w:val="14"/>
          <w:szCs w:val="14"/>
          <w:color w:val="auto"/>
        </w:rPr>
        <w:t xml:space="preserve">, or by the Company without Cause under </w:t>
      </w:r>
      <w:hyperlink w:anchor="page46">
        <w:r>
          <w:rPr>
            <w:rFonts w:ascii="Arial" w:cs="Arial" w:eastAsia="Arial" w:hAnsi="Arial"/>
            <w:sz w:val="14"/>
            <w:szCs w:val="14"/>
            <w:u w:val="single" w:color="auto"/>
            <w:color w:val="0000EE"/>
          </w:rPr>
          <w:t>Section 4(d)</w:t>
        </w:r>
      </w:hyperlink>
      <w:r>
        <w:rPr>
          <w:rFonts w:ascii="Arial" w:cs="Arial" w:eastAsia="Arial" w:hAnsi="Arial"/>
          <w:sz w:val="14"/>
          <w:szCs w:val="14"/>
          <w:color w:val="auto"/>
        </w:rPr>
        <w:t xml:space="preserve">, on the date the Notice of Termination is given; (iii) if the Executive terminates his employment under </w:t>
      </w:r>
      <w:r>
        <w:rPr>
          <w:rFonts w:ascii="Arial" w:cs="Arial" w:eastAsia="Arial" w:hAnsi="Arial"/>
          <w:sz w:val="14"/>
          <w:szCs w:val="14"/>
          <w:u w:val="single" w:color="auto"/>
          <w:color w:val="0000EE"/>
        </w:rPr>
        <w:t>Section 4(e)</w:t>
      </w:r>
      <w:r>
        <w:rPr>
          <w:rFonts w:ascii="Arial" w:cs="Arial" w:eastAsia="Arial" w:hAnsi="Arial"/>
          <w:sz w:val="14"/>
          <w:szCs w:val="14"/>
          <w:color w:val="auto"/>
        </w:rPr>
        <w:t xml:space="preserv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w:t>
      </w:r>
      <w:hyperlink w:anchor="page47">
        <w:r>
          <w:rPr>
            <w:rFonts w:ascii="Arial" w:cs="Arial" w:eastAsia="Arial" w:hAnsi="Arial"/>
            <w:sz w:val="14"/>
            <w:szCs w:val="14"/>
            <w:u w:val="single" w:color="auto"/>
            <w:color w:val="0000EE"/>
          </w:rPr>
          <w:t>Section 4(e)</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30" w:lineRule="exact"/>
        <w:rPr>
          <w:rFonts w:ascii="Arial" w:cs="Arial" w:eastAsia="Arial" w:hAnsi="Arial"/>
          <w:sz w:val="14"/>
          <w:szCs w:val="14"/>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3"/>
          <w:szCs w:val="13"/>
          <w:u w:val="single" w:color="auto"/>
          <w:color w:val="auto"/>
        </w:rPr>
        <w:t>Compensation Upon Termination</w:t>
      </w:r>
      <w:r>
        <w:rPr>
          <w:rFonts w:ascii="Arial" w:cs="Arial" w:eastAsia="Arial" w:hAnsi="Arial"/>
          <w:sz w:val="13"/>
          <w:szCs w:val="13"/>
          <w:color w:val="auto"/>
        </w:rPr>
        <w:t>.</w:t>
      </w:r>
    </w:p>
    <w:p>
      <w:pPr>
        <w:spacing w:after="0" w:line="163" w:lineRule="exact"/>
        <w:rPr>
          <w:rFonts w:ascii="Arial" w:cs="Arial" w:eastAsia="Arial" w:hAnsi="Arial"/>
          <w:sz w:val="14"/>
          <w:szCs w:val="14"/>
          <w:color w:val="auto"/>
        </w:rPr>
      </w:pPr>
    </w:p>
    <w:p>
      <w:pPr>
        <w:ind w:right="480" w:firstLine="871"/>
        <w:spacing w:after="0" w:line="327" w:lineRule="auto"/>
        <w:tabs>
          <w:tab w:leader="none" w:pos="1457"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Termination Generally</w:t>
      </w:r>
      <w:r>
        <w:rPr>
          <w:rFonts w:ascii="Arial" w:cs="Arial" w:eastAsia="Arial" w:hAnsi="Arial"/>
          <w:sz w:val="13"/>
          <w:szCs w:val="13"/>
          <w:color w:val="auto"/>
        </w:rPr>
        <w:t>. If the Executive’s employment with the Company is terminated for any reason, the Company shall pay or provide to the Executive (or to his authorized representative or estate), (i) unpaid expense reimbursements submitted to the Company in accordance with the Company’s policies; (ii) accrued but unused vacation to the</w:t>
      </w:r>
    </w:p>
    <w:p>
      <w:pPr>
        <w:sectPr>
          <w:pgSz w:w="11900" w:h="16838" w:orient="portrait"/>
          <w:cols w:equalWidth="0" w:num="1">
            <w:col w:w="11400"/>
          </w:cols>
          <w:pgMar w:left="260" w:top="296" w:right="23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extent payment is required by law or Company policy; (iii) any vested benefits the Executive may have under any employee benefit plan of the Company; (iv) any earned but unpaid Base</w:t>
      </w:r>
    </w:p>
    <w:p>
      <w:pPr>
        <w:spacing w:after="0" w:line="234"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color w:val="auto"/>
        </w:rPr>
        <w:t>Salary and (v) any earned but unpaid annual Target Bonus, for the prior fiscal year (collectively the “</w:t>
      </w:r>
      <w:r>
        <w:rPr>
          <w:rFonts w:ascii="Arial" w:cs="Arial" w:eastAsia="Arial" w:hAnsi="Arial"/>
          <w:sz w:val="14"/>
          <w:szCs w:val="14"/>
          <w:b w:val="1"/>
          <w:bCs w:val="1"/>
          <w:u w:val="single" w:color="auto"/>
          <w:color w:val="auto"/>
        </w:rPr>
        <w:t>Accrued Benefit</w:t>
      </w:r>
      <w:r>
        <w:rPr>
          <w:rFonts w:ascii="Arial" w:cs="Arial" w:eastAsia="Arial" w:hAnsi="Arial"/>
          <w:sz w:val="14"/>
          <w:szCs w:val="14"/>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19" w:lineRule="exact"/>
        <w:rPr>
          <w:sz w:val="20"/>
          <w:szCs w:val="20"/>
          <w:color w:val="auto"/>
        </w:rPr>
      </w:pPr>
    </w:p>
    <w:p>
      <w:pPr>
        <w:jc w:val="both"/>
        <w:ind w:right="140" w:firstLine="871"/>
        <w:spacing w:after="0" w:line="260" w:lineRule="auto"/>
        <w:tabs>
          <w:tab w:leader="none" w:pos="1465" w:val="left"/>
        </w:tabs>
        <w:numPr>
          <w:ilvl w:val="1"/>
          <w:numId w:val="37"/>
        </w:numPr>
        <w:rPr>
          <w:rFonts w:ascii="Arial" w:cs="Arial" w:eastAsia="Arial" w:hAnsi="Arial"/>
          <w:sz w:val="14"/>
          <w:szCs w:val="14"/>
          <w:color w:val="auto"/>
        </w:rPr>
      </w:pPr>
      <w:r>
        <w:rPr>
          <w:rFonts w:ascii="Arial" w:cs="Arial" w:eastAsia="Arial" w:hAnsi="Arial"/>
          <w:sz w:val="14"/>
          <w:szCs w:val="14"/>
          <w:u w:val="single" w:color="auto"/>
          <w:color w:val="auto"/>
        </w:rPr>
        <w:t>Termination by the Company Without Cause or by the Executive for Good Reason.</w:t>
      </w:r>
      <w:r>
        <w:rPr>
          <w:rFonts w:ascii="Arial" w:cs="Arial" w:eastAsia="Arial" w:hAnsi="Arial"/>
          <w:sz w:val="14"/>
          <w:szCs w:val="14"/>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w:t>
      </w:r>
    </w:p>
    <w:p>
      <w:pPr>
        <w:spacing w:after="0" w:line="1" w:lineRule="exact"/>
        <w:rPr>
          <w:rFonts w:ascii="Arial" w:cs="Arial" w:eastAsia="Arial" w:hAnsi="Arial"/>
          <w:sz w:val="14"/>
          <w:szCs w:val="14"/>
          <w:color w:val="auto"/>
        </w:rPr>
      </w:pPr>
    </w:p>
    <w:p>
      <w:pPr>
        <w:ind w:right="40"/>
        <w:spacing w:after="0" w:line="297" w:lineRule="auto"/>
        <w:rPr>
          <w:rFonts w:ascii="Arial" w:cs="Arial" w:eastAsia="Arial" w:hAnsi="Arial"/>
          <w:sz w:val="14"/>
          <w:szCs w:val="14"/>
          <w:color w:val="auto"/>
        </w:rPr>
      </w:pPr>
      <w:r>
        <w:rPr>
          <w:rFonts w:ascii="Arial" w:cs="Arial" w:eastAsia="Arial" w:hAnsi="Arial"/>
          <w:sz w:val="12"/>
          <w:szCs w:val="12"/>
          <w:color w:val="auto"/>
        </w:rPr>
        <w:t>includes but is not limited to the terms set forth in the attached Exhibit A (the “</w:t>
      </w:r>
      <w:r>
        <w:rPr>
          <w:rFonts w:ascii="Arial" w:cs="Arial" w:eastAsia="Arial" w:hAnsi="Arial"/>
          <w:sz w:val="12"/>
          <w:szCs w:val="12"/>
          <w:b w:val="1"/>
          <w:bCs w:val="1"/>
          <w:color w:val="auto"/>
        </w:rPr>
        <w:t>Release</w:t>
      </w:r>
      <w:r>
        <w:rPr>
          <w:rFonts w:ascii="Arial" w:cs="Arial" w:eastAsia="Arial" w:hAnsi="Arial"/>
          <w:sz w:val="12"/>
          <w:szCs w:val="12"/>
          <w:color w:val="auto"/>
        </w:rPr>
        <w:t>”) within the 60-day period following the Date of Termination, the Company shall pay the Executive (i) severance pay in a lump sum in cash in an amount equal to eighteen (18) months of Executive’s Base Salary, less lawful withholding (as applicable, “</w:t>
      </w:r>
      <w:r>
        <w:rPr>
          <w:rFonts w:ascii="Arial" w:cs="Arial" w:eastAsia="Arial" w:hAnsi="Arial"/>
          <w:sz w:val="12"/>
          <w:szCs w:val="12"/>
          <w:b w:val="1"/>
          <w:bCs w:val="1"/>
          <w:color w:val="auto"/>
        </w:rPr>
        <w:t>Severance Amount</w:t>
      </w:r>
      <w:r>
        <w:rPr>
          <w:rFonts w:ascii="Arial" w:cs="Arial" w:eastAsia="Arial" w:hAnsi="Arial"/>
          <w:sz w:val="12"/>
          <w:szCs w:val="12"/>
          <w:color w:val="auto"/>
        </w:rPr>
        <w:t>”), payable within 60 days after the Date of Termination, but if that 60-day period extends over two calendar years, the Company shall make the payment in the second calendar year, (ii) a bonus payment equal to the lesser of</w:t>
      </w:r>
    </w:p>
    <w:p>
      <w:pPr>
        <w:spacing w:after="0" w:line="1" w:lineRule="exact"/>
        <w:rPr>
          <w:rFonts w:ascii="Arial" w:cs="Arial" w:eastAsia="Arial" w:hAnsi="Arial"/>
          <w:sz w:val="14"/>
          <w:szCs w:val="14"/>
          <w:color w:val="auto"/>
        </w:rPr>
      </w:pPr>
    </w:p>
    <w:p>
      <w:pPr>
        <w:ind w:right="160" w:firstLine="6"/>
        <w:spacing w:after="0" w:line="274" w:lineRule="auto"/>
        <w:tabs>
          <w:tab w:leader="none" w:pos="204" w:val="left"/>
        </w:tabs>
        <w:numPr>
          <w:ilvl w:val="0"/>
          <w:numId w:val="38"/>
        </w:numPr>
        <w:rPr>
          <w:rFonts w:ascii="Arial" w:cs="Arial" w:eastAsia="Arial" w:hAnsi="Arial"/>
          <w:sz w:val="13"/>
          <w:szCs w:val="13"/>
          <w:color w:val="auto"/>
        </w:rPr>
      </w:pPr>
      <w:r>
        <w:rPr>
          <w:rFonts w:ascii="Arial" w:cs="Arial" w:eastAsia="Arial" w:hAnsi="Arial"/>
          <w:sz w:val="13"/>
          <w:szCs w:val="13"/>
          <w:color w:val="auto"/>
        </w:rPr>
        <w:t>Target Bonus pro-rated for the portion of the year the Executive was employed by the Company prior to the termination or (z) the average of the bonus payments, if any, made to the Executive with respect to the previous three (3) calendar years preceding the date of termination of employment, pro-rated for the portion of the year that Executive is employed, (iii) provided that the Executive timely elects COBRA coverage, reimburse the Executive for the COBRA premiums paid by the Executive, if any, for the continuation of coverage under the</w:t>
      </w:r>
    </w:p>
    <w:p>
      <w:pPr>
        <w:spacing w:after="0" w:line="1" w:lineRule="exact"/>
        <w:rPr>
          <w:rFonts w:ascii="Arial" w:cs="Arial" w:eastAsia="Arial" w:hAnsi="Arial"/>
          <w:sz w:val="13"/>
          <w:szCs w:val="13"/>
          <w:color w:val="auto"/>
        </w:rPr>
      </w:pPr>
    </w:p>
    <w:p>
      <w:pPr>
        <w:ind w:right="160"/>
        <w:spacing w:after="0" w:line="277" w:lineRule="auto"/>
        <w:rPr>
          <w:rFonts w:ascii="Arial" w:cs="Arial" w:eastAsia="Arial" w:hAnsi="Arial"/>
          <w:sz w:val="13"/>
          <w:szCs w:val="13"/>
          <w:color w:val="auto"/>
        </w:rPr>
      </w:pPr>
      <w:r>
        <w:rPr>
          <w:rFonts w:ascii="Arial" w:cs="Arial" w:eastAsia="Arial" w:hAnsi="Arial"/>
          <w:sz w:val="13"/>
          <w:szCs w:val="13"/>
          <w:color w:val="auto"/>
        </w:rPr>
        <w:t>Executive’s then-existing group company health plan that the Executive and his dependents are eligible to receive for the earlier of a period of up to eighteen (18) months from the date of the Executive’s termination of employment, or until the Executive becomes eligible to receive health insurance benefits under any other employer’s group health plan, and (iv) immediate vesting on a pro-rata basis of the Executive’s initial stock option grant, prorated at 1/36</w:t>
      </w:r>
      <w:r>
        <w:rPr>
          <w:rFonts w:ascii="Arial" w:cs="Arial" w:eastAsia="Arial" w:hAnsi="Arial"/>
          <w:sz w:val="8"/>
          <w:szCs w:val="8"/>
          <w:color w:val="auto"/>
        </w:rPr>
        <w:t>th</w:t>
      </w:r>
      <w:r>
        <w:rPr>
          <w:rFonts w:ascii="Arial" w:cs="Arial" w:eastAsia="Arial" w:hAnsi="Arial"/>
          <w:sz w:val="13"/>
          <w:szCs w:val="13"/>
          <w:color w:val="auto"/>
        </w:rPr>
        <w:t xml:space="preserve"> of the total option grant for each completed month of service as at the Date of Termination.</w:t>
      </w:r>
    </w:p>
    <w:p>
      <w:pPr>
        <w:spacing w:after="0" w:line="129" w:lineRule="exact"/>
        <w:rPr>
          <w:sz w:val="20"/>
          <w:szCs w:val="20"/>
          <w:color w:val="auto"/>
        </w:rPr>
      </w:pPr>
    </w:p>
    <w:p>
      <w:pPr>
        <w:ind w:firstLine="432"/>
        <w:spacing w:after="0" w:line="263" w:lineRule="auto"/>
        <w:rPr>
          <w:rFonts w:ascii="Arial" w:cs="Arial" w:eastAsia="Arial" w:hAnsi="Arial"/>
          <w:sz w:val="14"/>
          <w:szCs w:val="14"/>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Change in Control Provisions</w:t>
      </w:r>
      <w:r>
        <w:rPr>
          <w:rFonts w:ascii="Arial" w:cs="Arial" w:eastAsia="Arial" w:hAnsi="Arial"/>
          <w:sz w:val="14"/>
          <w:szCs w:val="14"/>
          <w:color w:val="auto"/>
        </w:rPr>
        <w:t xml:space="preserve">. The provisions of this </w:t>
      </w:r>
      <w:hyperlink w:anchor="page48">
        <w:r>
          <w:rPr>
            <w:rFonts w:ascii="Arial" w:cs="Arial" w:eastAsia="Arial" w:hAnsi="Arial"/>
            <w:sz w:val="14"/>
            <w:szCs w:val="14"/>
            <w:u w:val="single" w:color="auto"/>
            <w:color w:val="0000EE"/>
          </w:rPr>
          <w:t>Section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set forth the Executive’s rights and obligations upon the occurrence of a Change in Control of the Company. These provisions are intended to assure and encourage in advance the Executive’s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pacing w:after="0" w:line="129" w:lineRule="exact"/>
        <w:rPr>
          <w:sz w:val="20"/>
          <w:szCs w:val="20"/>
          <w:color w:val="auto"/>
        </w:rPr>
      </w:pPr>
    </w:p>
    <w:p>
      <w:pPr>
        <w:ind w:left="1460" w:hanging="589"/>
        <w:spacing w:after="0"/>
        <w:tabs>
          <w:tab w:leader="none" w:pos="14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Severance</w:t>
      </w:r>
      <w:r>
        <w:rPr>
          <w:rFonts w:ascii="Arial" w:cs="Arial" w:eastAsia="Arial" w:hAnsi="Arial"/>
          <w:sz w:val="13"/>
          <w:szCs w:val="13"/>
          <w:color w:val="auto"/>
        </w:rPr>
        <w:t>. If within 12 months following a Change of Control (i) the Company terminates the Executive’s employment with the Company other than for Cause, or (ii)</w:t>
      </w:r>
    </w:p>
    <w:p>
      <w:pPr>
        <w:sectPr>
          <w:pgSz w:w="11900" w:h="16838" w:orient="portrait"/>
          <w:cols w:equalWidth="0" w:num="1">
            <w:col w:w="11420"/>
          </w:cols>
          <w:pgMar w:left="260" w:top="296" w:right="2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the Executive resigns from his employment with the Company for Good Reason, within the 60- day period following the Date of Termination, then, in lieu of paying the Executive the</w:t>
      </w:r>
    </w:p>
    <w:p>
      <w:pPr>
        <w:spacing w:after="0" w:line="2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Severance Amount and in addition to paying the Accrued Benefit, Company shall: (i) pay the Executive severance pay in a lump sum in cash (less applicable withholdings) in an amount equal to the Executive’s Base Salary multiplied by 2.0 (“</w:t>
      </w:r>
      <w:r>
        <w:rPr>
          <w:rFonts w:ascii="Arial" w:cs="Arial" w:eastAsia="Arial" w:hAnsi="Arial"/>
          <w:sz w:val="13"/>
          <w:szCs w:val="13"/>
          <w:b w:val="1"/>
          <w:bCs w:val="1"/>
          <w:u w:val="single" w:color="auto"/>
          <w:color w:val="auto"/>
        </w:rPr>
        <w:t>Change in Control Severance Amount</w:t>
      </w:r>
      <w:r>
        <w:rPr>
          <w:rFonts w:ascii="Arial" w:cs="Arial" w:eastAsia="Arial" w:hAnsi="Arial"/>
          <w:sz w:val="13"/>
          <w:szCs w:val="13"/>
          <w:color w:val="auto"/>
        </w:rPr>
        <w:t>”), payable within 60 days after the Date of Termination, but if that 60-day period extends over two calendar years, the Company shall make the payment in the 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18 months from the date of the Executive’s termination of employment, or (y) until the Executive becomes eligible to receive health insurance benefits under any other employer’s group health plan; and (iv) cause all stock options and other stock-based awards granted on or after the Effective Date and held by the Executive to immediately accelerate, vest, and become fully exercisable or nonforfeitable.</w:t>
      </w:r>
    </w:p>
    <w:p>
      <w:pPr>
        <w:spacing w:after="0" w:line="108" w:lineRule="exact"/>
        <w:rPr>
          <w:sz w:val="20"/>
          <w:szCs w:val="20"/>
          <w:color w:val="auto"/>
        </w:rPr>
      </w:pPr>
    </w:p>
    <w:p>
      <w:pPr>
        <w:ind w:left="1480" w:hanging="609"/>
        <w:spacing w:after="0"/>
        <w:tabs>
          <w:tab w:leader="none" w:pos="1480"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Additional Limitation.</w:t>
      </w:r>
    </w:p>
    <w:p>
      <w:pPr>
        <w:spacing w:after="0" w:line="163" w:lineRule="exact"/>
        <w:rPr>
          <w:rFonts w:ascii="Arial" w:cs="Arial" w:eastAsia="Arial" w:hAnsi="Arial"/>
          <w:sz w:val="14"/>
          <w:szCs w:val="14"/>
          <w:color w:val="auto"/>
        </w:rPr>
      </w:pPr>
    </w:p>
    <w:p>
      <w:pPr>
        <w:ind w:right="40" w:firstLine="1303"/>
        <w:spacing w:after="0" w:line="261" w:lineRule="auto"/>
        <w:tabs>
          <w:tab w:leader="none" w:pos="1553"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and the applicable regulations thereunder (the “</w:t>
      </w:r>
      <w:r>
        <w:rPr>
          <w:rFonts w:ascii="Arial" w:cs="Arial" w:eastAsia="Arial" w:hAnsi="Arial"/>
          <w:sz w:val="14"/>
          <w:szCs w:val="14"/>
          <w:b w:val="1"/>
          <w:bCs w:val="1"/>
          <w:u w:val="single" w:color="auto"/>
          <w:color w:val="auto"/>
        </w:rPr>
        <w:t>Severance Payments</w:t>
      </w:r>
      <w:r>
        <w:rPr>
          <w:rFonts w:ascii="Arial" w:cs="Arial" w:eastAsia="Arial" w:hAnsi="Arial"/>
          <w:sz w:val="14"/>
          <w:szCs w:val="14"/>
          <w:color w:val="auto"/>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 cash forms of benefits.</w:t>
      </w:r>
    </w:p>
    <w:p>
      <w:pPr>
        <w:spacing w:after="0" w:line="126" w:lineRule="exact"/>
        <w:rPr>
          <w:rFonts w:ascii="Arial" w:cs="Arial" w:eastAsia="Arial" w:hAnsi="Arial"/>
          <w:sz w:val="14"/>
          <w:szCs w:val="14"/>
          <w:color w:val="auto"/>
        </w:rPr>
      </w:pPr>
    </w:p>
    <w:p>
      <w:pPr>
        <w:ind w:right="40" w:firstLine="1303"/>
        <w:spacing w:after="0" w:line="306" w:lineRule="auto"/>
        <w:tabs>
          <w:tab w:leader="none" w:pos="1593"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purposes of this Section 6(c), “</w:t>
      </w:r>
      <w:r>
        <w:rPr>
          <w:rFonts w:ascii="Arial" w:cs="Arial" w:eastAsia="Arial" w:hAnsi="Arial"/>
          <w:sz w:val="14"/>
          <w:szCs w:val="14"/>
          <w:b w:val="1"/>
          <w:bCs w:val="1"/>
          <w:u w:val="single" w:color="auto"/>
          <w:color w:val="auto"/>
        </w:rPr>
        <w:t>Threshold Amount</w:t>
      </w:r>
      <w:r>
        <w:rPr>
          <w:rFonts w:ascii="Arial" w:cs="Arial" w:eastAsia="Arial" w:hAnsi="Arial"/>
          <w:sz w:val="14"/>
          <w:szCs w:val="14"/>
          <w:color w:val="auto"/>
        </w:rPr>
        <w:t>” means three times the Executive’s “base amount” within the meaning of Section 280G(b)(3) of the Code and the regulations promulgated thereunder less one dollar ($1.00).</w:t>
      </w:r>
    </w:p>
    <w:p>
      <w:pPr>
        <w:spacing w:after="0" w:line="84" w:lineRule="exact"/>
        <w:rPr>
          <w:rFonts w:ascii="Arial" w:cs="Arial" w:eastAsia="Arial" w:hAnsi="Arial"/>
          <w:sz w:val="14"/>
          <w:szCs w:val="14"/>
          <w:color w:val="auto"/>
        </w:rPr>
      </w:pPr>
    </w:p>
    <w:p>
      <w:pPr>
        <w:ind w:right="160" w:firstLine="1303"/>
        <w:spacing w:after="0" w:line="280" w:lineRule="auto"/>
        <w:tabs>
          <w:tab w:leader="none" w:pos="1633"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determinations under this Section 6(c) will be made by a nationally recognized accounting firm selected by the Company (the “</w:t>
      </w:r>
      <w:r>
        <w:rPr>
          <w:rFonts w:ascii="Arial" w:cs="Arial" w:eastAsia="Arial" w:hAnsi="Arial"/>
          <w:sz w:val="14"/>
          <w:szCs w:val="14"/>
          <w:b w:val="1"/>
          <w:bCs w:val="1"/>
          <w:u w:val="single" w:color="auto"/>
          <w:color w:val="auto"/>
        </w:rPr>
        <w:t>Accounting Firm</w:t>
      </w:r>
      <w:r>
        <w:rPr>
          <w:rFonts w:ascii="Arial" w:cs="Arial" w:eastAsia="Arial" w:hAnsi="Arial"/>
          <w:sz w:val="14"/>
          <w:szCs w:val="14"/>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ectPr>
          <w:pgSz w:w="11900" w:h="16838" w:orient="portrait"/>
          <w:cols w:equalWidth="0" w:num="1">
            <w:col w:w="11420"/>
          </w:cols>
          <w:pgMar w:left="260" w:top="296" w:right="219" w:bottom="1440" w:gutter="0" w:footer="0" w:header="0"/>
        </w:sectPr>
      </w:pPr>
    </w:p>
    <w:bookmarkStart w:id="49" w:name="page50"/>
    <w:bookmarkEnd w:id="49"/>
    <w:p>
      <w:pPr>
        <w:ind w:left="1460" w:hanging="589"/>
        <w:spacing w:after="0"/>
        <w:tabs>
          <w:tab w:leader="none" w:pos="1460"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Change in Control Definition</w:t>
      </w:r>
      <w:r>
        <w:rPr>
          <w:rFonts w:ascii="Arial" w:cs="Arial" w:eastAsia="Arial" w:hAnsi="Arial"/>
          <w:sz w:val="14"/>
          <w:szCs w:val="14"/>
          <w:color w:val="auto"/>
        </w:rPr>
        <w:t>. For purposes of this Section 6, “</w:t>
      </w:r>
      <w:r>
        <w:rPr>
          <w:rFonts w:ascii="Arial" w:cs="Arial" w:eastAsia="Arial" w:hAnsi="Arial"/>
          <w:sz w:val="14"/>
          <w:szCs w:val="14"/>
          <w:b w:val="1"/>
          <w:bCs w:val="1"/>
          <w:u w:val="single" w:color="auto"/>
          <w:color w:val="auto"/>
        </w:rPr>
        <w:t>Change in Control</w:t>
      </w:r>
      <w:r>
        <w:rPr>
          <w:rFonts w:ascii="Arial" w:cs="Arial" w:eastAsia="Arial" w:hAnsi="Arial"/>
          <w:sz w:val="14"/>
          <w:szCs w:val="14"/>
          <w:color w:val="auto"/>
        </w:rPr>
        <w:t>” means the consummation of any of the following:</w:t>
      </w:r>
    </w:p>
    <w:p>
      <w:pPr>
        <w:spacing w:after="0" w:line="167" w:lineRule="exact"/>
        <w:rPr>
          <w:rFonts w:ascii="Arial" w:cs="Arial" w:eastAsia="Arial" w:hAnsi="Arial"/>
          <w:sz w:val="14"/>
          <w:szCs w:val="14"/>
          <w:color w:val="auto"/>
        </w:rPr>
      </w:pPr>
    </w:p>
    <w:p>
      <w:pPr>
        <w:ind w:left="1560" w:hanging="257"/>
        <w:spacing w:after="0"/>
        <w:tabs>
          <w:tab w:leader="none" w:pos="1560" w:val="left"/>
        </w:tabs>
        <w:numPr>
          <w:ilvl w:val="1"/>
          <w:numId w:val="41"/>
        </w:numPr>
        <w:rPr>
          <w:rFonts w:ascii="Arial" w:cs="Arial" w:eastAsia="Arial" w:hAnsi="Arial"/>
          <w:sz w:val="14"/>
          <w:szCs w:val="14"/>
          <w:color w:val="auto"/>
        </w:rPr>
      </w:pPr>
      <w:r>
        <w:rPr>
          <w:rFonts w:ascii="Arial" w:cs="Arial" w:eastAsia="Arial" w:hAnsi="Arial"/>
          <w:sz w:val="14"/>
          <w:szCs w:val="14"/>
          <w:color w:val="auto"/>
        </w:rPr>
        <w:t>the sale of all or substantially all of the assets of the Company or the Parent to an unrelated person or entity;</w:t>
      </w:r>
    </w:p>
    <w:p>
      <w:pPr>
        <w:spacing w:after="0" w:line="172" w:lineRule="exact"/>
        <w:rPr>
          <w:rFonts w:ascii="Arial" w:cs="Arial" w:eastAsia="Arial" w:hAnsi="Arial"/>
          <w:sz w:val="14"/>
          <w:szCs w:val="14"/>
          <w:color w:val="auto"/>
        </w:rPr>
      </w:pPr>
    </w:p>
    <w:p>
      <w:pPr>
        <w:ind w:right="60" w:firstLine="1303"/>
        <w:spacing w:after="0" w:line="277" w:lineRule="auto"/>
        <w:tabs>
          <w:tab w:leader="none" w:pos="1593" w:val="left"/>
        </w:tabs>
        <w:numPr>
          <w:ilvl w:val="1"/>
          <w:numId w:val="41"/>
        </w:numPr>
        <w:rPr>
          <w:rFonts w:ascii="Arial" w:cs="Arial" w:eastAsia="Arial" w:hAnsi="Arial"/>
          <w:sz w:val="14"/>
          <w:szCs w:val="14"/>
          <w:color w:val="auto"/>
        </w:rPr>
      </w:pPr>
      <w:r>
        <w:rPr>
          <w:rFonts w:ascii="Arial" w:cs="Arial" w:eastAsia="Arial" w:hAnsi="Arial"/>
          <w:sz w:val="14"/>
          <w:szCs w:val="14"/>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18" w:lineRule="exact"/>
        <w:rPr>
          <w:rFonts w:ascii="Arial" w:cs="Arial" w:eastAsia="Arial" w:hAnsi="Arial"/>
          <w:sz w:val="14"/>
          <w:szCs w:val="14"/>
          <w:color w:val="auto"/>
        </w:rPr>
      </w:pPr>
    </w:p>
    <w:p>
      <w:pPr>
        <w:ind w:left="1640" w:hanging="337"/>
        <w:spacing w:after="0"/>
        <w:tabs>
          <w:tab w:leader="none" w:pos="16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acquisition of all or a majority of the outstanding voting stock of the Company or the Parent in a single transaction or a series of related transactions by a person or</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group of persons; or</w:t>
      </w:r>
    </w:p>
    <w:p>
      <w:pPr>
        <w:spacing w:after="0" w:line="160" w:lineRule="exact"/>
        <w:rPr>
          <w:rFonts w:ascii="Arial" w:cs="Arial" w:eastAsia="Arial" w:hAnsi="Arial"/>
          <w:sz w:val="13"/>
          <w:szCs w:val="13"/>
          <w:color w:val="auto"/>
        </w:rPr>
      </w:pPr>
    </w:p>
    <w:p>
      <w:pPr>
        <w:ind w:left="1640" w:hanging="337"/>
        <w:spacing w:after="0"/>
        <w:tabs>
          <w:tab w:leader="none" w:pos="16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any other acquisition of the business of the Company or the Parent, as determined by the Board;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but the Company’s initial public offering, any subsequent public offering, or another capital</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raising event, or a merger effected solely to change the Company’s domicile does not constitute a Change in Control.</w:t>
      </w:r>
    </w:p>
    <w:p>
      <w:pPr>
        <w:spacing w:after="0" w:line="152" w:lineRule="exact"/>
        <w:rPr>
          <w:sz w:val="20"/>
          <w:szCs w:val="20"/>
          <w:color w:val="auto"/>
        </w:rPr>
      </w:pPr>
    </w:p>
    <w:p>
      <w:pPr>
        <w:ind w:right="560" w:firstLine="432"/>
        <w:spacing w:after="0" w:line="271"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Section 409A Compliance</w:t>
      </w:r>
      <w:r>
        <w:rPr>
          <w:rFonts w:ascii="Arial" w:cs="Arial" w:eastAsia="Arial" w:hAnsi="Arial"/>
          <w:sz w:val="14"/>
          <w:szCs w:val="14"/>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21" w:lineRule="exact"/>
        <w:rPr>
          <w:sz w:val="20"/>
          <w:szCs w:val="20"/>
          <w:color w:val="auto"/>
        </w:rPr>
      </w:pPr>
    </w:p>
    <w:p>
      <w:pPr>
        <w:ind w:right="200" w:firstLine="871"/>
        <w:spacing w:after="0" w:line="287" w:lineRule="auto"/>
        <w:tabs>
          <w:tab w:leader="none" w:pos="14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110" w:lineRule="exact"/>
        <w:rPr>
          <w:rFonts w:ascii="Arial" w:cs="Arial" w:eastAsia="Arial" w:hAnsi="Arial"/>
          <w:sz w:val="14"/>
          <w:szCs w:val="14"/>
          <w:color w:val="auto"/>
        </w:rPr>
      </w:pPr>
    </w:p>
    <w:p>
      <w:pPr>
        <w:ind w:firstLine="871"/>
        <w:spacing w:after="0" w:line="271" w:lineRule="auto"/>
        <w:tabs>
          <w:tab w:leader="none" w:pos="1465" w:val="left"/>
        </w:tabs>
        <w:numPr>
          <w:ilvl w:val="0"/>
          <w:numId w:val="42"/>
        </w:numPr>
        <w:rPr>
          <w:rFonts w:ascii="Arial" w:cs="Arial" w:eastAsia="Arial" w:hAnsi="Arial"/>
          <w:sz w:val="14"/>
          <w:szCs w:val="14"/>
          <w:color w:val="auto"/>
        </w:rPr>
      </w:pPr>
      <w:r>
        <w:rPr>
          <w:rFonts w:ascii="Arial" w:cs="Arial" w:eastAsia="Arial" w:hAnsi="Arial"/>
          <w:sz w:val="14"/>
          <w:szCs w:val="14"/>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21" w:lineRule="exact"/>
        <w:rPr>
          <w:rFonts w:ascii="Arial" w:cs="Arial" w:eastAsia="Arial" w:hAnsi="Arial"/>
          <w:sz w:val="14"/>
          <w:szCs w:val="14"/>
          <w:color w:val="auto"/>
        </w:rPr>
      </w:pPr>
    </w:p>
    <w:p>
      <w:pPr>
        <w:ind w:right="180" w:firstLine="871"/>
        <w:spacing w:after="0" w:line="287" w:lineRule="auto"/>
        <w:tabs>
          <w:tab w:leader="none" w:pos="14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ectPr>
          <w:pgSz w:w="11900" w:h="16838" w:orient="portrait"/>
          <w:cols w:equalWidth="0" w:num="1">
            <w:col w:w="11440"/>
          </w:cols>
          <w:pgMar w:left="260" w:top="337" w:right="199" w:bottom="1440" w:gutter="0" w:footer="0" w:header="0"/>
        </w:sectPr>
      </w:pPr>
    </w:p>
    <w:bookmarkStart w:id="50" w:name="page51"/>
    <w:bookmarkEnd w:id="50"/>
    <w:p>
      <w:pPr>
        <w:ind w:left="1480" w:hanging="609"/>
        <w:spacing w:after="0"/>
        <w:tabs>
          <w:tab w:leader="none" w:pos="14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as of the date of the Executive's “separation from service” from the Company, the Executive is a “specified employee” (within the meaning of Section 409A), then:</w:t>
      </w:r>
    </w:p>
    <w:p>
      <w:pPr>
        <w:spacing w:after="0" w:line="174" w:lineRule="exact"/>
        <w:rPr>
          <w:rFonts w:ascii="Arial" w:cs="Arial" w:eastAsia="Arial" w:hAnsi="Arial"/>
          <w:sz w:val="13"/>
          <w:szCs w:val="13"/>
          <w:color w:val="auto"/>
        </w:rPr>
      </w:pPr>
    </w:p>
    <w:p>
      <w:pPr>
        <w:ind w:right="100" w:firstLine="1303"/>
        <w:spacing w:after="0" w:line="277" w:lineRule="auto"/>
        <w:tabs>
          <w:tab w:leader="none" w:pos="1553" w:val="left"/>
        </w:tabs>
        <w:numPr>
          <w:ilvl w:val="1"/>
          <w:numId w:val="43"/>
        </w:numPr>
        <w:rPr>
          <w:rFonts w:ascii="Arial" w:cs="Arial" w:eastAsia="Arial" w:hAnsi="Arial"/>
          <w:sz w:val="14"/>
          <w:szCs w:val="14"/>
          <w:color w:val="auto"/>
        </w:rPr>
      </w:pPr>
      <w:r>
        <w:rPr>
          <w:rFonts w:ascii="Arial" w:cs="Arial" w:eastAsia="Arial" w:hAnsi="Arial"/>
          <w:sz w:val="14"/>
          <w:szCs w:val="14"/>
          <w:color w:val="auto"/>
        </w:rPr>
        <w:t>Each installment of the severance payments and benefits due under this Agreement that, in accordance with the dates and terms set forth herein, will in all circumstances, regardless of when the separation from service occurs, be paid within the short- term deferral period (as defined in Section 409A) shall be treated as a short-term deferral within the meaning of Treasury Regulation Section 1.409A-l(b)(4) to the maximum extent permissible under Section 409A; and</w:t>
      </w:r>
    </w:p>
    <w:p>
      <w:pPr>
        <w:spacing w:after="0" w:line="118" w:lineRule="exact"/>
        <w:rPr>
          <w:rFonts w:ascii="Arial" w:cs="Arial" w:eastAsia="Arial" w:hAnsi="Arial"/>
          <w:sz w:val="14"/>
          <w:szCs w:val="14"/>
          <w:color w:val="auto"/>
        </w:rPr>
      </w:pPr>
    </w:p>
    <w:p>
      <w:pPr>
        <w:ind w:firstLine="1303"/>
        <w:spacing w:after="0" w:line="270" w:lineRule="auto"/>
        <w:tabs>
          <w:tab w:leader="none" w:pos="1593" w:val="left"/>
        </w:tabs>
        <w:numPr>
          <w:ilvl w:val="1"/>
          <w:numId w:val="43"/>
        </w:numPr>
        <w:rPr>
          <w:rFonts w:ascii="Arial" w:cs="Arial" w:eastAsia="Arial" w:hAnsi="Arial"/>
          <w:sz w:val="14"/>
          <w:szCs w:val="14"/>
          <w:color w:val="auto"/>
        </w:rPr>
      </w:pPr>
      <w:r>
        <w:rPr>
          <w:rFonts w:ascii="Arial" w:cs="Arial" w:eastAsia="Arial" w:hAnsi="Arial"/>
          <w:sz w:val="14"/>
          <w:szCs w:val="14"/>
          <w:color w:val="auto"/>
        </w:rPr>
        <w:t>Each installment of the severance payments and benefits due under this Agreement that is not described in Section 7(d)(i) above and that would, absent this subsection, be paid within the six-month period following the Executive's “separation from</w:t>
      </w:r>
    </w:p>
    <w:p>
      <w:pPr>
        <w:ind w:right="20"/>
        <w:spacing w:after="0" w:line="281" w:lineRule="auto"/>
        <w:rPr>
          <w:rFonts w:ascii="Arial" w:cs="Arial" w:eastAsia="Arial" w:hAnsi="Arial"/>
          <w:sz w:val="14"/>
          <w:szCs w:val="14"/>
          <w:color w:val="auto"/>
        </w:rPr>
      </w:pPr>
      <w:r>
        <w:rPr>
          <w:rFonts w:ascii="Arial" w:cs="Arial" w:eastAsia="Arial" w:hAnsi="Arial"/>
          <w:sz w:val="13"/>
          <w:szCs w:val="13"/>
          <w:color w:val="auto"/>
        </w:rPr>
        <w:t>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18" w:lineRule="exact"/>
        <w:rPr>
          <w:rFonts w:ascii="Arial" w:cs="Arial" w:eastAsia="Arial" w:hAnsi="Arial"/>
          <w:sz w:val="14"/>
          <w:szCs w:val="14"/>
          <w:color w:val="auto"/>
        </w:rPr>
      </w:pPr>
    </w:p>
    <w:p>
      <w:pPr>
        <w:ind w:right="180" w:firstLine="871"/>
        <w:spacing w:after="0" w:line="263" w:lineRule="auto"/>
        <w:tabs>
          <w:tab w:leader="none" w:pos="145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determination of whether and when the Executive's separation from service from the Company has occurred shall be made in a manner consistent with, and based on the presumptions set forth in, Treasury Regulation Section 1.409A-l(h). Solely for purposes of</w:t>
      </w:r>
    </w:p>
    <w:p>
      <w:pPr>
        <w:spacing w:after="0"/>
        <w:rPr>
          <w:rFonts w:ascii="Arial" w:cs="Arial" w:eastAsia="Arial" w:hAnsi="Arial"/>
          <w:sz w:val="14"/>
          <w:szCs w:val="14"/>
          <w:color w:val="auto"/>
        </w:rPr>
      </w:pPr>
      <w:r>
        <w:rPr>
          <w:rFonts w:ascii="Arial" w:cs="Arial" w:eastAsia="Arial" w:hAnsi="Arial"/>
          <w:sz w:val="14"/>
          <w:szCs w:val="14"/>
          <w:color w:val="auto"/>
        </w:rPr>
        <w:t>this Section, “Company” shall include all persons with whom the Company would be considered a single employer as determined under Treasury Regulation Section 1.409A-l(h)(3).</w:t>
      </w:r>
    </w:p>
    <w:p>
      <w:pPr>
        <w:spacing w:after="0" w:line="151" w:lineRule="exact"/>
        <w:rPr>
          <w:rFonts w:ascii="Arial" w:cs="Arial" w:eastAsia="Arial" w:hAnsi="Arial"/>
          <w:sz w:val="14"/>
          <w:szCs w:val="14"/>
          <w:color w:val="auto"/>
        </w:rPr>
      </w:pPr>
    </w:p>
    <w:p>
      <w:pPr>
        <w:ind w:right="180" w:firstLine="871"/>
        <w:spacing w:after="0" w:line="263" w:lineRule="auto"/>
        <w:tabs>
          <w:tab w:leader="none" w:pos="1441"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26" w:lineRule="exact"/>
        <w:rPr>
          <w:rFonts w:ascii="Arial" w:cs="Arial" w:eastAsia="Arial" w:hAnsi="Arial"/>
          <w:sz w:val="14"/>
          <w:szCs w:val="14"/>
          <w:color w:val="auto"/>
        </w:rPr>
      </w:pPr>
    </w:p>
    <w:p>
      <w:pPr>
        <w:ind w:left="1480" w:hanging="609"/>
        <w:spacing w:after="0"/>
        <w:tabs>
          <w:tab w:leader="none" w:pos="14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Company shall have no liability to the Executive or to any other person if the payments and benefits provided in this</w:t>
      </w:r>
    </w:p>
    <w:p>
      <w:pPr>
        <w:sectPr>
          <w:pgSz w:w="11900" w:h="16838" w:orient="portrait"/>
          <w:cols w:equalWidth="0" w:num="1">
            <w:col w:w="11420"/>
          </w:cols>
          <w:pgMar w:left="260" w:top="341" w:right="2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Agreement that are intended to be exempt from or compliant with Section 409A are not so exempt or compliant.</w:t>
      </w:r>
    </w:p>
    <w:p>
      <w:pPr>
        <w:spacing w:after="0" w:line="163" w:lineRule="exact"/>
        <w:rPr>
          <w:sz w:val="20"/>
          <w:szCs w:val="20"/>
          <w:color w:val="auto"/>
        </w:rPr>
      </w:pPr>
    </w:p>
    <w:p>
      <w:pPr>
        <w:ind w:right="240" w:firstLine="432"/>
        <w:spacing w:after="0" w:line="271"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21"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9.</w:t>
      </w:r>
      <w:r>
        <w:rPr>
          <w:sz w:val="20"/>
          <w:szCs w:val="20"/>
          <w:color w:val="auto"/>
        </w:rPr>
        <w:tab/>
      </w:r>
      <w:r>
        <w:rPr>
          <w:rFonts w:ascii="Arial" w:cs="Arial" w:eastAsia="Arial" w:hAnsi="Arial"/>
          <w:sz w:val="13"/>
          <w:szCs w:val="13"/>
          <w:u w:val="single" w:color="auto"/>
          <w:color w:val="auto"/>
        </w:rPr>
        <w:t>Cooperation; Other Documents; Non-Disclosure</w:t>
      </w:r>
      <w:r>
        <w:rPr>
          <w:rFonts w:ascii="Arial" w:cs="Arial" w:eastAsia="Arial" w:hAnsi="Arial"/>
          <w:sz w:val="13"/>
          <w:szCs w:val="13"/>
          <w:color w:val="auto"/>
        </w:rPr>
        <w:t>.</w:t>
      </w:r>
    </w:p>
    <w:p>
      <w:pPr>
        <w:spacing w:after="0" w:line="163" w:lineRule="exact"/>
        <w:rPr>
          <w:sz w:val="20"/>
          <w:szCs w:val="20"/>
          <w:color w:val="auto"/>
        </w:rPr>
      </w:pPr>
    </w:p>
    <w:p>
      <w:pPr>
        <w:ind w:firstLine="871"/>
        <w:spacing w:after="0" w:line="283" w:lineRule="auto"/>
        <w:tabs>
          <w:tab w:leader="none" w:pos="1457"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Litigation and Regulatory Cooperation</w:t>
      </w:r>
      <w:r>
        <w:rPr>
          <w:rFonts w:ascii="Arial" w:cs="Arial" w:eastAsia="Arial" w:hAnsi="Arial"/>
          <w:sz w:val="13"/>
          <w:szCs w:val="13"/>
          <w:color w:val="auto"/>
        </w:rPr>
        <w:t xml:space="preserve">.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reasonably compensate Executive, in its sole discretion, for his time spent, and reimburse the Executive for any reasonable out-of-pocket expenses incurred, in connection with the Executive’s performance of obligations pursuant to this </w:t>
      </w:r>
      <w:hyperlink w:anchor="page52">
        <w:r>
          <w:rPr>
            <w:rFonts w:ascii="Arial" w:cs="Arial" w:eastAsia="Arial" w:hAnsi="Arial"/>
            <w:sz w:val="12"/>
            <w:szCs w:val="12"/>
            <w:u w:val="single" w:color="auto"/>
            <w:color w:val="0000EE"/>
          </w:rPr>
          <w:t>Section 9(a)</w:t>
        </w:r>
      </w:hyperlink>
      <w:r>
        <w:rPr>
          <w:rFonts w:ascii="Arial" w:cs="Arial" w:eastAsia="Arial" w:hAnsi="Arial"/>
          <w:sz w:val="13"/>
          <w:szCs w:val="13"/>
          <w:color w:val="auto"/>
        </w:rPr>
        <w:t>.</w:t>
      </w:r>
      <w:r>
        <w:rPr>
          <w:rFonts w:ascii="Arial" w:cs="Arial" w:eastAsia="Arial" w:hAnsi="Arial"/>
          <w:sz w:val="13"/>
          <w:szCs w:val="13"/>
          <w:u w:val="single" w:color="auto"/>
          <w:color w:val="auto"/>
        </w:rPr>
        <w:t>Non-Disclosure</w:t>
      </w:r>
      <w:r>
        <w:rPr>
          <w:rFonts w:ascii="Arial" w:cs="Arial" w:eastAsia="Arial" w:hAnsi="Arial"/>
          <w:sz w:val="13"/>
          <w:szCs w:val="13"/>
          <w:color w:val="auto"/>
        </w:rPr>
        <w:t>. The Executive shall use his reasonable efforts to maintain the confidentiality of the terms of this Agreement to the extent permitted by law, but the Executive may disclose the terms of this Agreement to the extent it is concerted activity under Section 7 of the National Labor Relations Act and to his immediate family members and to his legal, tax, and other advisors.</w:t>
      </w:r>
    </w:p>
    <w:p>
      <w:pPr>
        <w:spacing w:after="0" w:line="107"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4"/>
          <w:szCs w:val="14"/>
          <w:color w:val="auto"/>
        </w:rPr>
        <w:t>Section 10.</w:t>
      </w:r>
      <w:r>
        <w:rPr>
          <w:sz w:val="20"/>
          <w:szCs w:val="20"/>
          <w:color w:val="auto"/>
        </w:rPr>
        <w:tab/>
      </w:r>
      <w:r>
        <w:rPr>
          <w:rFonts w:ascii="Arial" w:cs="Arial" w:eastAsia="Arial" w:hAnsi="Arial"/>
          <w:sz w:val="13"/>
          <w:szCs w:val="13"/>
          <w:u w:val="single" w:color="auto"/>
          <w:color w:val="auto"/>
        </w:rPr>
        <w:t>Arbitration of Disputes</w:t>
      </w:r>
      <w:r>
        <w:rPr>
          <w:rFonts w:ascii="Arial" w:cs="Arial" w:eastAsia="Arial" w:hAnsi="Arial"/>
          <w:sz w:val="13"/>
          <w:szCs w:val="13"/>
          <w:color w:val="auto"/>
        </w:rPr>
        <w:t>.</w:t>
      </w:r>
    </w:p>
    <w:p>
      <w:pPr>
        <w:spacing w:after="0" w:line="163" w:lineRule="exact"/>
        <w:rPr>
          <w:sz w:val="20"/>
          <w:szCs w:val="20"/>
          <w:color w:val="auto"/>
        </w:rPr>
      </w:pPr>
    </w:p>
    <w:p>
      <w:pPr>
        <w:ind w:right="20" w:firstLine="871"/>
        <w:spacing w:after="0" w:line="283" w:lineRule="auto"/>
        <w:tabs>
          <w:tab w:leader="none" w:pos="1465"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Scope of Arbitration Requirement</w:t>
      </w:r>
      <w:r>
        <w:rPr>
          <w:rFonts w:ascii="Arial" w:cs="Arial" w:eastAsia="Arial" w:hAnsi="Arial"/>
          <w:sz w:val="13"/>
          <w:szCs w:val="13"/>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3"/>
          <w:szCs w:val="13"/>
          <w:b w:val="1"/>
          <w:bCs w:val="1"/>
          <w:u w:val="single" w:color="auto"/>
          <w:color w:val="auto"/>
        </w:rPr>
        <w:t>Arbitrable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Dispute</w:t>
      </w:r>
      <w:r>
        <w:rPr>
          <w:rFonts w:ascii="Arial" w:cs="Arial" w:eastAsia="Arial" w:hAnsi="Arial"/>
          <w:sz w:val="13"/>
          <w:szCs w:val="13"/>
          <w:color w:val="auto"/>
        </w:rPr>
        <w:t>”). Arbitration is the exclusive remedy for any Arbitrable Dispute, instead of any court or administrative action, unless the waiver of a certain court or administrative action is prohibited by</w:t>
      </w:r>
      <w:r>
        <w:rPr>
          <w:rFonts w:ascii="Arial" w:cs="Arial" w:eastAsia="Arial" w:hAnsi="Arial"/>
          <w:sz w:val="13"/>
          <w:szCs w:val="13"/>
          <w:b w:val="1"/>
          <w:bCs w:val="1"/>
          <w:color w:val="auto"/>
        </w:rPr>
        <w:t xml:space="preserve"> </w:t>
      </w:r>
      <w:r>
        <w:rPr>
          <w:rFonts w:ascii="Arial" w:cs="Arial" w:eastAsia="Arial" w:hAnsi="Arial"/>
          <w:sz w:val="13"/>
          <w:szCs w:val="13"/>
          <w:color w:val="auto"/>
        </w:rPr>
        <w:t>law. Except as otherwise required under applicable law, the Executive hereby waives any right to assert an Arbitrable Dispute as a class action or</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representative action claim against the Company and agrees to only submit the Executive’s own, individual claims in arbitration and will not seek to represent the interests of any other person.</w:t>
      </w:r>
    </w:p>
    <w:p>
      <w:pPr>
        <w:sectPr>
          <w:pgSz w:w="11900" w:h="16838" w:orient="portrait"/>
          <w:cols w:equalWidth="0" w:num="1">
            <w:col w:w="11420"/>
          </w:cols>
          <w:pgMar w:left="260" w:top="341" w:right="219" w:bottom="1440" w:gutter="0" w:footer="0" w:header="0"/>
        </w:sectPr>
      </w:pPr>
    </w:p>
    <w:bookmarkStart w:id="52" w:name="page53"/>
    <w:bookmarkEnd w:id="52"/>
    <w:p>
      <w:pPr>
        <w:ind w:right="200" w:firstLine="871"/>
        <w:spacing w:after="0" w:line="262" w:lineRule="auto"/>
        <w:tabs>
          <w:tab w:leader="none" w:pos="1457"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Procedure</w:t>
      </w:r>
      <w:r>
        <w:rPr>
          <w:rFonts w:ascii="Arial" w:cs="Arial" w:eastAsia="Arial" w:hAnsi="Arial"/>
          <w:sz w:val="14"/>
          <w:szCs w:val="14"/>
          <w:color w:val="auto"/>
        </w:rPr>
        <w:t>. Any arbitration will be administered by the American Arbitration Association (“</w:t>
      </w:r>
      <w:r>
        <w:rPr>
          <w:rFonts w:ascii="Arial" w:cs="Arial" w:eastAsia="Arial" w:hAnsi="Arial"/>
          <w:sz w:val="14"/>
          <w:szCs w:val="14"/>
          <w:b w:val="1"/>
          <w:bCs w:val="1"/>
          <w:u w:val="single" w:color="auto"/>
          <w:color w:val="auto"/>
        </w:rPr>
        <w:t>AAA</w:t>
      </w:r>
      <w:r>
        <w:rPr>
          <w:rFonts w:ascii="Arial" w:cs="Arial" w:eastAsia="Arial" w:hAnsi="Arial"/>
          <w:sz w:val="14"/>
          <w:szCs w:val="14"/>
          <w:color w:val="auto"/>
        </w:rPr>
        <w:t>”) and the neutral arbitrator will be selected in a manner consistent with AAA’s National Rules For The Resolution of Employment Disputes (“</w:t>
      </w:r>
      <w:r>
        <w:rPr>
          <w:rFonts w:ascii="Arial" w:cs="Arial" w:eastAsia="Arial" w:hAnsi="Arial"/>
          <w:sz w:val="14"/>
          <w:szCs w:val="14"/>
          <w:b w:val="1"/>
          <w:bCs w:val="1"/>
          <w:u w:val="single" w:color="auto"/>
          <w:color w:val="auto"/>
        </w:rPr>
        <w:t>Applicable Arbitration Rules</w:t>
      </w:r>
      <w:r>
        <w:rPr>
          <w:rFonts w:ascii="Arial" w:cs="Arial" w:eastAsia="Arial" w:hAnsi="Arial"/>
          <w:sz w:val="14"/>
          <w:szCs w:val="14"/>
          <w:color w:val="auto"/>
        </w:rPr>
        <w:t>”). Any arbitration under this Agreement must be conducted in the Commonwealth of Pennsylvania, and the arbitrator must administer and conduct the</w:t>
      </w:r>
    </w:p>
    <w:p>
      <w:pPr>
        <w:spacing w:after="0" w:line="1" w:lineRule="exact"/>
        <w:rPr>
          <w:rFonts w:ascii="Arial" w:cs="Arial" w:eastAsia="Arial" w:hAnsi="Arial"/>
          <w:sz w:val="14"/>
          <w:szCs w:val="14"/>
          <w:color w:val="auto"/>
        </w:rPr>
      </w:pPr>
    </w:p>
    <w:p>
      <w:pPr>
        <w:ind w:right="20"/>
        <w:spacing w:after="0" w:line="258" w:lineRule="auto"/>
        <w:rPr>
          <w:rFonts w:ascii="Arial" w:cs="Arial" w:eastAsia="Arial" w:hAnsi="Arial"/>
          <w:sz w:val="14"/>
          <w:szCs w:val="14"/>
          <w:color w:val="auto"/>
        </w:rPr>
      </w:pPr>
      <w:r>
        <w:rPr>
          <w:rFonts w:ascii="Arial" w:cs="Arial" w:eastAsia="Arial" w:hAnsi="Arial"/>
          <w:sz w:val="14"/>
          <w:szCs w:val="14"/>
          <w:color w:val="auto"/>
        </w:rPr>
        <w:t>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23" w:lineRule="exact"/>
        <w:rPr>
          <w:rFonts w:ascii="Arial" w:cs="Arial" w:eastAsia="Arial" w:hAnsi="Arial"/>
          <w:sz w:val="14"/>
          <w:szCs w:val="14"/>
          <w:color w:val="auto"/>
        </w:rPr>
      </w:pPr>
    </w:p>
    <w:p>
      <w:pPr>
        <w:ind w:right="300" w:firstLine="871"/>
        <w:spacing w:after="0" w:line="271" w:lineRule="auto"/>
        <w:tabs>
          <w:tab w:leader="none" w:pos="1465"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Costs</w:t>
      </w:r>
      <w:r>
        <w:rPr>
          <w:rFonts w:ascii="Arial" w:cs="Arial" w:eastAsia="Arial" w:hAnsi="Arial"/>
          <w:sz w:val="14"/>
          <w:szCs w:val="14"/>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12" w:lineRule="exact"/>
        <w:rPr>
          <w:rFonts w:ascii="Arial" w:cs="Arial" w:eastAsia="Arial" w:hAnsi="Arial"/>
          <w:sz w:val="14"/>
          <w:szCs w:val="14"/>
          <w:color w:val="auto"/>
        </w:rPr>
      </w:pPr>
    </w:p>
    <w:p>
      <w:pPr>
        <w:ind w:firstLine="871"/>
        <w:spacing w:after="0" w:line="271" w:lineRule="auto"/>
        <w:tabs>
          <w:tab w:leader="none" w:pos="1457"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Applicability</w:t>
      </w:r>
      <w:r>
        <w:rPr>
          <w:rFonts w:ascii="Arial" w:cs="Arial" w:eastAsia="Arial" w:hAnsi="Arial"/>
          <w:sz w:val="14"/>
          <w:szCs w:val="14"/>
          <w:color w:val="auto"/>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21" w:lineRule="exact"/>
        <w:rPr>
          <w:rFonts w:ascii="Arial" w:cs="Arial" w:eastAsia="Arial" w:hAnsi="Arial"/>
          <w:sz w:val="14"/>
          <w:szCs w:val="14"/>
          <w:color w:val="auto"/>
        </w:rPr>
      </w:pPr>
    </w:p>
    <w:p>
      <w:pPr>
        <w:ind w:right="40" w:firstLine="871"/>
        <w:spacing w:after="0" w:line="271" w:lineRule="auto"/>
        <w:tabs>
          <w:tab w:leader="none" w:pos="1441"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Remedy</w:t>
      </w:r>
      <w:r>
        <w:rPr>
          <w:rFonts w:ascii="Arial" w:cs="Arial" w:eastAsia="Arial" w:hAnsi="Arial"/>
          <w:sz w:val="14"/>
          <w:szCs w:val="14"/>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21" w:lineRule="exact"/>
        <w:rPr>
          <w:sz w:val="20"/>
          <w:szCs w:val="20"/>
          <w:color w:val="auto"/>
        </w:rPr>
      </w:pPr>
    </w:p>
    <w:p>
      <w:pPr>
        <w:ind w:firstLine="432"/>
        <w:spacing w:after="0" w:line="265"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Consent to Jurisdiction</w:t>
      </w:r>
      <w:r>
        <w:rPr>
          <w:rFonts w:ascii="Arial" w:cs="Arial" w:eastAsia="Arial" w:hAnsi="Arial"/>
          <w:sz w:val="14"/>
          <w:szCs w:val="14"/>
          <w:color w:val="auto"/>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27" w:lineRule="exact"/>
        <w:rPr>
          <w:sz w:val="20"/>
          <w:szCs w:val="20"/>
          <w:color w:val="auto"/>
        </w:rPr>
      </w:pPr>
    </w:p>
    <w:p>
      <w:pPr>
        <w:jc w:val="center"/>
        <w:ind w:right="40"/>
        <w:spacing w:after="0"/>
        <w:tabs>
          <w:tab w:leader="none" w:pos="140" w:val="left"/>
        </w:tabs>
        <w:rPr>
          <w:sz w:val="20"/>
          <w:szCs w:val="20"/>
          <w:color w:val="auto"/>
        </w:rPr>
      </w:pPr>
      <w:r>
        <w:rPr>
          <w:rFonts w:ascii="Arial" w:cs="Arial" w:eastAsia="Arial" w:hAnsi="Arial"/>
          <w:sz w:val="14"/>
          <w:szCs w:val="14"/>
          <w:color w:val="auto"/>
        </w:rPr>
        <w:t>Section 12.</w:t>
      </w:r>
      <w:r>
        <w:rPr>
          <w:sz w:val="20"/>
          <w:szCs w:val="20"/>
          <w:color w:val="auto"/>
        </w:rPr>
        <w:tab/>
      </w:r>
      <w:r>
        <w:rPr>
          <w:rFonts w:ascii="Arial" w:cs="Arial" w:eastAsia="Arial" w:hAnsi="Arial"/>
          <w:sz w:val="13"/>
          <w:szCs w:val="13"/>
          <w:u w:val="single" w:color="auto"/>
          <w:color w:val="auto"/>
        </w:rPr>
        <w:t>Integration</w:t>
      </w:r>
      <w:r>
        <w:rPr>
          <w:rFonts w:ascii="Arial" w:cs="Arial" w:eastAsia="Arial" w:hAnsi="Arial"/>
          <w:sz w:val="13"/>
          <w:szCs w:val="13"/>
          <w:color w:val="auto"/>
        </w:rPr>
        <w:t>. This Agreement, together with the Confidential Information Agreement executed concurrently herewith, constitute the entire agreement between the Parties</w:t>
      </w:r>
    </w:p>
    <w:p>
      <w:pPr>
        <w:sectPr>
          <w:pgSz w:w="11900" w:h="16838" w:orient="portrait"/>
          <w:cols w:equalWidth="0" w:num="1">
            <w:col w:w="11400"/>
          </w:cols>
          <w:pgMar w:left="260" w:top="445" w:right="239" w:bottom="1440" w:gutter="0" w:footer="0" w:header="0"/>
        </w:sectPr>
      </w:pPr>
    </w:p>
    <w:bookmarkStart w:id="53" w:name="page54"/>
    <w:bookmarkEnd w:id="53"/>
    <w:p>
      <w:pPr>
        <w:ind w:right="680"/>
        <w:spacing w:after="0" w:line="287" w:lineRule="auto"/>
        <w:rPr>
          <w:sz w:val="20"/>
          <w:szCs w:val="20"/>
          <w:color w:val="auto"/>
        </w:rPr>
      </w:pPr>
      <w:r>
        <w:rPr>
          <w:rFonts w:ascii="Arial" w:cs="Arial" w:eastAsia="Arial" w:hAnsi="Arial"/>
          <w:sz w:val="14"/>
          <w:szCs w:val="14"/>
          <w:color w:val="auto"/>
        </w:rPr>
        <w:t>with respect to the subject matter hereof and supersedes all prior agreements between the Parties concerning such subject matter. Without limiting the foregoing, the parties agree that any employment agreement, other than this Agreement, existing between the Parties as of the date hereof is hereby terminated and shall be of no force of effect.</w:t>
      </w:r>
    </w:p>
    <w:p>
      <w:pPr>
        <w:spacing w:after="0" w:line="110" w:lineRule="exact"/>
        <w:rPr>
          <w:sz w:val="20"/>
          <w:szCs w:val="20"/>
          <w:color w:val="auto"/>
        </w:rPr>
      </w:pPr>
    </w:p>
    <w:p>
      <w:pPr>
        <w:jc w:val="both"/>
        <w:ind w:right="340" w:firstLine="432"/>
        <w:spacing w:after="0" w:line="271"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Withholding</w:t>
      </w:r>
      <w:r>
        <w:rPr>
          <w:rFonts w:ascii="Arial" w:cs="Arial" w:eastAsia="Arial" w:hAnsi="Arial"/>
          <w:sz w:val="14"/>
          <w:szCs w:val="14"/>
          <w:color w:val="auto"/>
        </w:rPr>
        <w:t>. All payments made by the Company to the Executive under this Agreement will be net of any tax or other amounts lawfully withheld by the Company under applicable law. Nothing in this Agreement is to be construed to obligate the Company to design or implement any compensation arrangement in a way that minimizes tax consequences for the Executive.</w:t>
      </w:r>
    </w:p>
    <w:p>
      <w:pPr>
        <w:spacing w:after="0" w:line="121" w:lineRule="exact"/>
        <w:rPr>
          <w:sz w:val="20"/>
          <w:szCs w:val="20"/>
          <w:color w:val="auto"/>
        </w:rPr>
      </w:pPr>
    </w:p>
    <w:p>
      <w:pPr>
        <w:ind w:right="40" w:firstLine="432"/>
        <w:spacing w:after="0" w:line="301"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Successor to the Executive</w:t>
      </w:r>
      <w:r>
        <w:rPr>
          <w:rFonts w:ascii="Arial" w:cs="Arial" w:eastAsia="Arial" w:hAnsi="Arial"/>
          <w:sz w:val="13"/>
          <w:szCs w:val="13"/>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 Company shall continue the payments to the Executive’s beneficiary designated in writing to the Company prior to his death (or to his estate, if the Executive fails to make such a designation).</w:t>
      </w:r>
    </w:p>
    <w:p>
      <w:pPr>
        <w:spacing w:after="0" w:line="9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Enforceability</w:t>
      </w:r>
      <w:r>
        <w:rPr>
          <w:rFonts w:ascii="Arial" w:cs="Arial" w:eastAsia="Arial" w:hAnsi="Arial"/>
          <w:sz w:val="14"/>
          <w:szCs w:val="14"/>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21"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Survival</w:t>
      </w:r>
      <w:r>
        <w:rPr>
          <w:rFonts w:ascii="Arial" w:cs="Arial" w:eastAsia="Arial" w:hAnsi="Arial"/>
          <w:sz w:val="14"/>
          <w:szCs w:val="14"/>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10" w:lineRule="exact"/>
        <w:rPr>
          <w:sz w:val="20"/>
          <w:szCs w:val="20"/>
          <w:color w:val="auto"/>
        </w:rPr>
      </w:pPr>
    </w:p>
    <w:p>
      <w:pPr>
        <w:ind w:firstLine="432"/>
        <w:spacing w:after="0" w:line="271"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Waiver</w:t>
      </w:r>
      <w:r>
        <w:rPr>
          <w:rFonts w:ascii="Arial" w:cs="Arial" w:eastAsia="Arial" w:hAnsi="Arial"/>
          <w:sz w:val="14"/>
          <w:szCs w:val="14"/>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21" w:lineRule="exact"/>
        <w:rPr>
          <w:sz w:val="20"/>
          <w:szCs w:val="20"/>
          <w:color w:val="auto"/>
        </w:rPr>
      </w:pPr>
    </w:p>
    <w:p>
      <w:pPr>
        <w:ind w:right="180" w:firstLine="432"/>
        <w:spacing w:after="0" w:line="271"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Notices</w:t>
      </w:r>
      <w:r>
        <w:rPr>
          <w:rFonts w:ascii="Arial" w:cs="Arial" w:eastAsia="Arial" w:hAnsi="Arial"/>
          <w:sz w:val="14"/>
          <w:szCs w:val="14"/>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21"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4"/>
          <w:szCs w:val="14"/>
          <w:color w:val="auto"/>
        </w:rPr>
        <w:t>Section 19.</w:t>
      </w:r>
      <w:r>
        <w:rPr>
          <w:sz w:val="20"/>
          <w:szCs w:val="20"/>
          <w:color w:val="auto"/>
        </w:rPr>
        <w:tab/>
      </w:r>
      <w:r>
        <w:rPr>
          <w:rFonts w:ascii="Arial" w:cs="Arial" w:eastAsia="Arial" w:hAnsi="Arial"/>
          <w:sz w:val="13"/>
          <w:szCs w:val="13"/>
          <w:u w:val="single" w:color="auto"/>
          <w:color w:val="auto"/>
        </w:rPr>
        <w:t>Amendment</w:t>
      </w:r>
      <w:r>
        <w:rPr>
          <w:rFonts w:ascii="Arial" w:cs="Arial" w:eastAsia="Arial" w:hAnsi="Arial"/>
          <w:sz w:val="13"/>
          <w:szCs w:val="13"/>
          <w:color w:val="auto"/>
        </w:rPr>
        <w:t>. This Agreement may be amended or modified only by a written instrument signed by the Executive and by a duly authorized representative of the Company.</w:t>
      </w:r>
    </w:p>
    <w:p>
      <w:pPr>
        <w:sectPr>
          <w:pgSz w:w="11900" w:h="16838" w:orient="portrait"/>
          <w:cols w:equalWidth="0" w:num="1">
            <w:col w:w="11420"/>
          </w:cols>
          <w:pgMar w:left="260" w:top="341" w:right="219" w:bottom="1440" w:gutter="0" w:footer="0" w:header="0"/>
        </w:sectPr>
      </w:pPr>
    </w:p>
    <w:bookmarkStart w:id="54" w:name="page55"/>
    <w:bookmarkEnd w:id="54"/>
    <w:p>
      <w:pPr>
        <w:ind w:right="60" w:firstLine="432"/>
        <w:spacing w:after="0" w:line="287" w:lineRule="auto"/>
        <w:rPr>
          <w:sz w:val="20"/>
          <w:szCs w:val="20"/>
          <w:color w:val="auto"/>
        </w:rPr>
      </w:pPr>
      <w:r>
        <w:rPr>
          <w:rFonts w:ascii="Arial" w:cs="Arial" w:eastAsia="Arial" w:hAnsi="Arial"/>
          <w:sz w:val="14"/>
          <w:szCs w:val="14"/>
          <w:color w:val="auto"/>
        </w:rPr>
        <w:t xml:space="preserve">Section 20. </w:t>
      </w:r>
      <w:r>
        <w:rPr>
          <w:rFonts w:ascii="Arial" w:cs="Arial" w:eastAsia="Arial" w:hAnsi="Arial"/>
          <w:sz w:val="14"/>
          <w:szCs w:val="14"/>
          <w:u w:val="single" w:color="auto"/>
          <w:color w:val="auto"/>
        </w:rPr>
        <w:t>Governing Law</w:t>
      </w:r>
      <w:r>
        <w:rPr>
          <w:rFonts w:ascii="Arial" w:cs="Arial" w:eastAsia="Arial" w:hAnsi="Arial"/>
          <w:sz w:val="14"/>
          <w:szCs w:val="14"/>
          <w:color w:val="auto"/>
        </w:rPr>
        <w:t>. This is a Pennsylvania contract and is to be construed under and be governed in all respects by the laws of the Commonwealth of Pennsylvania without giving effect to the conflict of laws principles of that state.</w:t>
      </w:r>
    </w:p>
    <w:p>
      <w:pPr>
        <w:spacing w:after="0" w:line="11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21" w:lineRule="exact"/>
        <w:rPr>
          <w:sz w:val="20"/>
          <w:szCs w:val="20"/>
          <w:color w:val="auto"/>
        </w:rPr>
      </w:pPr>
    </w:p>
    <w:p>
      <w:pPr>
        <w:jc w:val="both"/>
        <w:ind w:right="100" w:firstLine="432"/>
        <w:spacing w:after="0" w:line="301" w:lineRule="auto"/>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Successor to Company</w:t>
      </w:r>
      <w:r>
        <w:rPr>
          <w:rFonts w:ascii="Arial" w:cs="Arial" w:eastAsia="Arial" w:hAnsi="Arial"/>
          <w:sz w:val="13"/>
          <w:szCs w:val="13"/>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95" w:lineRule="exact"/>
        <w:rPr>
          <w:sz w:val="20"/>
          <w:szCs w:val="20"/>
          <w:color w:val="auto"/>
        </w:rPr>
      </w:pPr>
    </w:p>
    <w:p>
      <w:pPr>
        <w:ind w:firstLine="432"/>
        <w:spacing w:after="0" w:line="336" w:lineRule="auto"/>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Voluntary Nature of Agreement</w:t>
      </w:r>
      <w:r>
        <w:rPr>
          <w:rFonts w:ascii="Arial" w:cs="Arial" w:eastAsia="Arial" w:hAnsi="Arial"/>
          <w:sz w:val="12"/>
          <w:szCs w:val="12"/>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78"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 Page Follows]</w:t>
      </w:r>
    </w:p>
    <w:p>
      <w:pPr>
        <w:sectPr>
          <w:pgSz w:w="11900" w:h="16838" w:orient="portrait"/>
          <w:cols w:equalWidth="0" w:num="1">
            <w:col w:w="11400"/>
          </w:cols>
          <w:pgMar w:left="26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1"/>
          <w:szCs w:val="11"/>
          <w:color w:val="77757B"/>
        </w:rPr>
        <w:t>The Parties are executing this Executive Agreement as of the date set forth in the introductory paragraph.</w:t>
      </w:r>
    </w:p>
    <w:p>
      <w:pPr>
        <w:sectPr>
          <w:pgSz w:w="11900" w:h="16838" w:orient="portrait"/>
          <w:cols w:equalWidth="0" w:num="1">
            <w:col w:w="9599"/>
          </w:cols>
          <w:pgMar w:left="860" w:top="471" w:right="1440" w:bottom="1440" w:gutter="0" w:footer="0" w:header="0"/>
        </w:sectPr>
      </w:pPr>
    </w:p>
    <w:bookmarkStart w:id="56" w:name="page57"/>
    <w:bookmarkEnd w:id="56"/>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77757B"/>
        </w:rPr>
        <w:t>[Signature Page intentionally omitted to Executive Employment Agreement]</w:t>
      </w:r>
    </w:p>
    <w:p>
      <w:pPr>
        <w:sectPr>
          <w:pgSz w:w="11900" w:h="16838" w:orient="portrait"/>
          <w:cols w:equalWidth="0" w:num="1">
            <w:col w:w="9019"/>
          </w:cols>
          <w:pgMar w:left="1440" w:top="1440" w:right="1440" w:bottom="1440" w:gutter="0" w:footer="0" w:header="0"/>
        </w:sectPr>
      </w:pPr>
    </w:p>
    <w:bookmarkStart w:id="57" w:name="page58"/>
    <w:bookmarkEnd w:id="57"/>
    <w:p>
      <w:pPr>
        <w:ind w:left="6180"/>
        <w:spacing w:after="0"/>
        <w:rPr>
          <w:sz w:val="20"/>
          <w:szCs w:val="20"/>
          <w:color w:val="auto"/>
        </w:rPr>
      </w:pPr>
      <w:r>
        <w:rPr>
          <w:rFonts w:ascii="Arial" w:cs="Arial" w:eastAsia="Arial" w:hAnsi="Arial"/>
          <w:sz w:val="14"/>
          <w:szCs w:val="14"/>
          <w:b w:val="1"/>
          <w:bCs w:val="1"/>
          <w:color w:val="auto"/>
        </w:rPr>
        <w:t>EXHIBIT A</w:t>
      </w:r>
    </w:p>
    <w:p>
      <w:pPr>
        <w:spacing w:after="0" w:line="298" w:lineRule="exact"/>
        <w:rPr>
          <w:sz w:val="20"/>
          <w:szCs w:val="20"/>
          <w:color w:val="auto"/>
        </w:rPr>
      </w:pPr>
    </w:p>
    <w:p>
      <w:pPr>
        <w:ind w:left="5400"/>
        <w:spacing w:after="0"/>
        <w:rPr>
          <w:sz w:val="20"/>
          <w:szCs w:val="20"/>
          <w:color w:val="auto"/>
        </w:rPr>
      </w:pPr>
      <w:r>
        <w:rPr>
          <w:rFonts w:ascii="Arial" w:cs="Arial" w:eastAsia="Arial" w:hAnsi="Arial"/>
          <w:sz w:val="14"/>
          <w:szCs w:val="14"/>
          <w:b w:val="1"/>
          <w:bCs w:val="1"/>
          <w:u w:val="single" w:color="auto"/>
          <w:color w:val="auto"/>
        </w:rPr>
        <w:t>GENERAL RELEASE LANGUAGE</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Executive agrees, for himself, his spouse, heirs, executor or administrator, assigns, insurers, attorneys, and other persons or entities acting or purporting to act on his behalf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Executive’s Parties</w:t>
      </w:r>
      <w:r>
        <w:rPr>
          <w:rFonts w:ascii="Arial" w:cs="Arial" w:eastAsia="Arial" w:hAnsi="Arial"/>
          <w:sz w:val="13"/>
          <w:szCs w:val="13"/>
          <w:color w:val="auto"/>
        </w:rPr>
        <w:t>”), to irrevocably and unconditionally release, acquit, and forever discharge the Company, its affiliates, subsidiaries, directors, officers, employees, shareholders, partners,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agents, representatives, predecessors, successors, assigns, insurers, attorneys, benefit plans sponsored by the Company, and said plans’ fiduciaries, agents and trustees (the “</w:t>
      </w:r>
      <w:r>
        <w:rPr>
          <w:rFonts w:ascii="Arial" w:cs="Arial" w:eastAsia="Arial" w:hAnsi="Arial"/>
          <w:sz w:val="12"/>
          <w:szCs w:val="12"/>
          <w:b w:val="1"/>
          <w:bCs w:val="1"/>
          <w:u w:val="single" w:color="auto"/>
          <w:color w:val="auto"/>
        </w:rPr>
        <w:t>Company’s Parties</w:t>
      </w:r>
      <w:r>
        <w:rPr>
          <w:rFonts w:ascii="Arial" w:cs="Arial" w:eastAsia="Arial" w:hAnsi="Arial"/>
          <w:sz w:val="12"/>
          <w:szCs w:val="12"/>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from any and all actions, causes of action, suits, claims, obligations, liabilities, debts, demands, contentions, damages, judgments, levies, and executions of any kind, whether in law or in equity,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known or unknown, which the Executive’s Parties have, have had, or may in the future claim to have against the Company’s Parties by reason of, arising out of, related to, or resulting from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Executive’s employment with the Company or the termination of that employment.</w:t>
      </w:r>
    </w:p>
    <w:p>
      <w:pPr>
        <w:spacing w:after="0" w:line="10"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Executive hereby acknowledges his understanding that under this Agreement he is releasing any known or unknown claims he may have.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Executive expressly waives and relinquishes all rights and benefits under that section and any law of any jurisdiction of similar effect with respect to his release of claims.</w:t>
      </w:r>
    </w:p>
    <w:p>
      <w:pPr>
        <w:sectPr>
          <w:pgSz w:w="11900" w:h="16838" w:orient="portrait"/>
          <w:cols w:equalWidth="0" w:num="1">
            <w:col w:w="11400"/>
          </w:cols>
          <w:pgMar w:left="260" w:top="337" w:right="239" w:bottom="1440" w:gutter="0" w:footer="0" w:header="0"/>
        </w:sectPr>
      </w:pPr>
    </w:p>
    <w:bookmarkStart w:id="58" w:name="page59"/>
    <w:bookmarkEnd w:id="58"/>
    <w:p>
      <w:pPr>
        <w:ind w:left="5540"/>
        <w:spacing w:after="0"/>
        <w:rPr>
          <w:sz w:val="20"/>
          <w:szCs w:val="20"/>
          <w:color w:val="auto"/>
        </w:rPr>
      </w:pPr>
      <w:r>
        <w:rPr>
          <w:rFonts w:ascii="Arial" w:cs="Arial" w:eastAsia="Arial" w:hAnsi="Arial"/>
          <w:sz w:val="14"/>
          <w:szCs w:val="14"/>
          <w:b w:val="1"/>
          <w:bCs w:val="1"/>
          <w:color w:val="auto"/>
        </w:rPr>
        <w:t xml:space="preserve">EXHIBIT B </w:t>
      </w:r>
      <w:r>
        <w:rPr>
          <w:rFonts w:ascii="Arial" w:cs="Arial" w:eastAsia="Arial" w:hAnsi="Arial"/>
          <w:sz w:val="14"/>
          <w:szCs w:val="14"/>
          <w:b w:val="1"/>
          <w:bCs w:val="1"/>
          <w:u w:val="single" w:color="auto"/>
          <w:color w:val="auto"/>
        </w:rPr>
        <w:t>EXISTING CONFLICTS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If applicable, Executive to describe, in specific terms, any ongoing business relationship with any organization. Please provide a copy of any agreement(s) you might have with said organization(s) that creates a business relationship described in Section 3 (d).</w:t>
      </w:r>
    </w:p>
    <w:p>
      <w:pPr>
        <w:sectPr>
          <w:pgSz w:w="11900" w:h="16838" w:orient="portrait"/>
          <w:cols w:equalWidth="0" w:num="1">
            <w:col w:w="11300"/>
          </w:cols>
          <w:pgMar w:left="260" w:top="48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May 28, 2018</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Mr. David Hastings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Delivered by email:</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Dear David,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 Signing Bonus</w:t>
      </w:r>
    </w:p>
    <w:p>
      <w:pPr>
        <w:spacing w:after="0" w:line="18"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Further to our discussions and the employment offer outlined in the attached Executive Employment Agreement between you and Arbutus Biopharma, Inc. (“Arbutus” or the “Company”), effective June 11, 2018 (the “Start Date”), I am pleased to offer a signing bonus as follows:</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Should you accept the terms of the Executive Employment Agreement and commence employment on the Start Date, you will be eligible for a $75,000.00 signing bonus, to be paid on the first scheduled payday following completion of your first month of employment, subject to required withholdings. You agree that should you resign your position with Arbutus within eighteen (18) months of your Start Date, you will repay the signing bonus paid, net of taxes.</w:t>
      </w:r>
    </w:p>
    <w:p>
      <w:pPr>
        <w:spacing w:after="0" w:line="93" w:lineRule="exact"/>
        <w:rPr>
          <w:sz w:val="20"/>
          <w:szCs w:val="20"/>
          <w:color w:val="auto"/>
        </w:rPr>
      </w:pPr>
    </w:p>
    <w:p>
      <w:pPr>
        <w:ind w:right="380"/>
        <w:spacing w:after="0" w:line="315" w:lineRule="auto"/>
        <w:rPr>
          <w:sz w:val="20"/>
          <w:szCs w:val="20"/>
          <w:color w:val="auto"/>
        </w:rPr>
      </w:pPr>
      <w:r>
        <w:rPr>
          <w:rFonts w:ascii="Arial" w:cs="Arial" w:eastAsia="Arial" w:hAnsi="Arial"/>
          <w:sz w:val="13"/>
          <w:szCs w:val="13"/>
          <w:color w:val="auto"/>
        </w:rPr>
        <w:t>If you are in agreement with these terms, please sign where indicated below and return a signed copy of this letter to my attention. Should you have any questions regarding this letter, the Executive Employment Agreement, or anything else, please do not hesitate to call me.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Best regards,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Mark Murray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ACCEPTED AND AGREED: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272415</wp:posOffset>
            </wp:positionV>
            <wp:extent cx="838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180340</wp:posOffset>
            </wp:positionV>
            <wp:extent cx="838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203200</wp:posOffset>
            </wp:positionV>
            <wp:extent cx="3529330" cy="412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9330" cy="412115"/>
                    </a:xfrm>
                    <a:prstGeom prst="rect">
                      <a:avLst/>
                    </a:prstGeom>
                    <a:noFill/>
                  </pic:spPr>
                </pic:pic>
              </a:graphicData>
            </a:graphic>
          </wp:anchor>
        </w:drawing>
      </w:r>
    </w:p>
    <w:sectPr>
      <w:pgSz w:w="11900" w:h="16838" w:orient="portrait"/>
      <w:cols w:equalWidth="0" w:num="1">
        <w:col w:w="11480"/>
      </w:cols>
      <w:pgMar w:left="220" w:top="75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4"/>
    </w:lvl>
  </w:abstractNum>
  <w:abstractNum w:abstractNumId="5">
    <w:nsid w:val="B03E0C6"/>
    <w:multiLevelType w:val="hybridMultilevel"/>
    <w:lvl w:ilvl="0">
      <w:lvlJc w:val="left"/>
      <w:lvlText w:val="%1."/>
      <w:numFmt w:val="decimal"/>
      <w:start w:val="5"/>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9"/>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1"/>
    </w:lvl>
  </w:abstractNum>
  <w:abstractNum w:abstractNumId="13">
    <w:nsid w:val="8138641"/>
    <w:multiLevelType w:val="hybridMultilevel"/>
    <w:lvl w:ilvl="0">
      <w:lvlJc w:val="left"/>
      <w:lvlText w:val="%1."/>
      <w:numFmt w:val="decimal"/>
      <w:start w:val="1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2"/>
      <w:numFmt w:val="decimal"/>
      <w:start w:val="101"/>
    </w:lvl>
  </w:abstractNum>
  <w:abstractNum w:abstractNumId="16">
    <w:nsid w:val="737B8DDC"/>
    <w:multiLevelType w:val="hybridMultilevel"/>
    <w:lvl w:ilvl="0">
      <w:lvlJc w:val="left"/>
      <w:lvlText w:val="%1."/>
      <w:numFmt w:val="decimal"/>
      <w:start w:val="1"/>
    </w:lvl>
    <w:lvl w:ilvl="1">
      <w:lvlJc w:val="left"/>
      <w:lvlText w:val="(%2)"/>
      <w:numFmt w:val="lowerLetter"/>
      <w:start w:val="1"/>
    </w:lvl>
  </w:abstractNum>
  <w:abstractNum w:abstractNumId="17">
    <w:nsid w:val="6CEAF087"/>
    <w:multiLevelType w:val="hybridMultilevel"/>
    <w:lvl w:ilvl="0">
      <w:lvlJc w:val="left"/>
      <w:lvlText w:val="%1."/>
      <w:numFmt w:val="decimal"/>
      <w:start w:val="1"/>
    </w:lvl>
    <w:lvl w:ilvl="1">
      <w:lvlJc w:val="left"/>
      <w:lvlText w:val="(%2)"/>
      <w:numFmt w:val="lowerLetter"/>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upp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4"/>
    </w:lvl>
  </w:abstractNum>
  <w:abstractNum w:abstractNumId="23">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
    <w:nsid w:val="440BADF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25">
    <w:nsid w:val="5072367"/>
    <w:multiLevelType w:val="hybridMultilevel"/>
    <w:lvl w:ilvl="0">
      <w:lvlJc w:val="left"/>
      <w:lvlText w:val="%1"/>
      <w:numFmt w:val="lowerLetter"/>
      <w:start w:val="1"/>
    </w:lvl>
    <w:lvl w:ilvl="1">
      <w:lvlJc w:val="left"/>
      <w:lvlText w:val="(%2)"/>
      <w:numFmt w:val="lowerLetter"/>
      <w:start w:val="22"/>
    </w:lvl>
  </w:abstractNum>
  <w:abstractNum w:abstractNumId="26">
    <w:nsid w:val="3804823E"/>
    <w:multiLevelType w:val="hybridMultilevel"/>
    <w:lvl w:ilvl="0">
      <w:lvlJc w:val="left"/>
      <w:lvlText w:val="(%1)"/>
      <w:numFmt w:val="lowerLetter"/>
      <w:start w:val="3"/>
    </w:lvl>
    <w:lvl w:ilvl="1">
      <w:lvlJc w:val="left"/>
      <w:lvlText w:val="(%2)"/>
      <w:numFmt w:val="lowerLetter"/>
      <w:start w:val="9"/>
    </w:lvl>
  </w:abstractNum>
  <w:abstractNum w:abstractNumId="27">
    <w:nsid w:val="77465F01"/>
    <w:multiLevelType w:val="hybridMultilevel"/>
    <w:lvl w:ilvl="0">
      <w:lvlJc w:val="left"/>
      <w:lvlText w:val="(%1)"/>
      <w:numFmt w:val="lowerRoman"/>
      <w:start w:val="3"/>
    </w:lvl>
  </w:abstractNum>
  <w:abstractNum w:abstractNumId="28">
    <w:nsid w:val="7724C67E"/>
    <w:multiLevelType w:val="hybridMultilevel"/>
    <w:lvl w:ilvl="0">
      <w:lvlJc w:val="left"/>
      <w:lvlText w:val="%1"/>
      <w:numFmt w:val="lowerLetter"/>
      <w:start w:val="1"/>
    </w:lvl>
    <w:lvl w:ilvl="1">
      <w:lvlJc w:val="left"/>
      <w:lvlText w:val="(%2)"/>
      <w:numFmt w:val="lowerRoman"/>
      <w:start w:val="4"/>
    </w:lvl>
  </w:abstractNum>
  <w:abstractNum w:abstractNumId="29">
    <w:nsid w:val="5C482A97"/>
    <w:multiLevelType w:val="hybridMultilevel"/>
    <w:lvl w:ilvl="0">
      <w:lvlJc w:val="left"/>
      <w:lvlText w:val="(%1)"/>
      <w:numFmt w:val="lowerLetter"/>
      <w:start w:val="4"/>
    </w:lvl>
    <w:lvl w:ilvl="1">
      <w:lvlJc w:val="left"/>
      <w:lvlText w:val="%2"/>
      <w:numFmt w:val="lowerRoman"/>
      <w:start w:val="1"/>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1)"/>
      <w:numFmt w:val="lowerLetter"/>
      <w:start w:val="6"/>
    </w:lvl>
    <w:lvl w:ilvl="1">
      <w:lvlJc w:val="left"/>
      <w:lvlText w:val="(%2)"/>
      <w:numFmt w:val="lowerRoman"/>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
    </w:lvl>
    <w:lvl w:ilvl="1">
      <w:lvlJc w:val="left"/>
      <w:lvlText w:val="(%2)"/>
      <w:numFmt w:val="lowerLetter"/>
      <w:start w:val="5"/>
    </w:lvl>
  </w:abstractNum>
  <w:abstractNum w:abstractNumId="34">
    <w:nsid w:val="580BD78F"/>
    <w:multiLevelType w:val="hybridMultilevel"/>
    <w:lvl w:ilvl="0">
      <w:lvlJc w:val="left"/>
      <w:lvlText w:val="(%1)"/>
      <w:numFmt w:val="decimal"/>
      <w:start w:val="30"/>
    </w:lvl>
    <w:lvl w:ilvl="1">
      <w:lvlJc w:val="left"/>
      <w:lvlText w:val="(%2)"/>
      <w:numFmt w:val="lowerLetter"/>
      <w:start w:val="6"/>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lvl w:ilvl="1">
      <w:lvlJc w:val="left"/>
      <w:lvlText w:val="(%2)"/>
      <w:numFmt w:val="lowerLetter"/>
      <w:start w:val="2"/>
    </w:lvl>
  </w:abstractNum>
  <w:abstractNum w:abstractNumId="37">
    <w:nsid w:val="70A64E2A"/>
    <w:multiLevelType w:val="hybridMultilevel"/>
    <w:lvl w:ilvl="0">
      <w:lvlJc w:val="left"/>
      <w:lvlText w:val="(%1)"/>
      <w:numFmt w:val="lowerLetter"/>
      <w:start w:val="25"/>
    </w:lvl>
    <w:lvl w:ilvl="1">
      <w:lvlJc w:val="left"/>
      <w:lvlText w:val="%2"/>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2"/>
    </w:lvl>
    <w:lvl w:ilvl="1">
      <w:lvlJc w:val="left"/>
      <w:lvlText w:val="(%2)"/>
      <w:numFmt w:val="lowerRoman"/>
      <w:start w:val="1"/>
    </w:lvl>
  </w:abstractNum>
  <w:abstractNum w:abstractNumId="40">
    <w:nsid w:val="1D4ED43B"/>
    <w:multiLevelType w:val="hybridMultilevel"/>
    <w:lvl w:ilvl="0">
      <w:lvlJc w:val="left"/>
      <w:lvlText w:val="(%1)"/>
      <w:numFmt w:val="lowerLetter"/>
      <w:start w:val="3"/>
    </w:lvl>
    <w:lvl w:ilvl="1">
      <w:lvlJc w:val="left"/>
      <w:lvlText w:val="(%2)"/>
      <w:numFmt w:val="lowerRoman"/>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4"/>
    </w:lvl>
    <w:lvl w:ilvl="1">
      <w:lvlJc w:val="left"/>
      <w:lvlText w:val="(%2)"/>
      <w:numFmt w:val="lowerRoman"/>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2"/>
    </w:lvl>
  </w:abstractNum>
  <w:abstractNum w:abstractNumId="45">
    <w:nsid w:val="4B588F5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2019-12-28T20:41:59Z</dcterms:created>
  <dcterms:modified xsi:type="dcterms:W3CDTF">2019-12-28T20:41:59Z</dcterms:modified>
</cp:coreProperties>
</file>