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ind w:left="4000" w:right="1220" w:hanging="2775"/>
        <w:spacing w:after="0" w:line="407" w:lineRule="auto"/>
        <w:tabs>
          <w:tab w:leader="none" w:pos="141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2016</w:t>
      </w:r>
    </w:p>
    <w:p>
      <w:pPr>
        <w:jc w:val="center"/>
        <w:ind w:right="-1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9"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British Columbia, Canada</w:t>
            </w:r>
          </w:p>
        </w:tc>
        <w:tc>
          <w:tcPr>
            <w:tcW w:w="6600" w:type="dxa"/>
            <w:vAlign w:val="bottom"/>
            <w:gridSpan w:val="5"/>
          </w:tcPr>
          <w:p>
            <w:pPr>
              <w:jc w:val="center"/>
              <w:ind w:left="5610"/>
              <w:spacing w:after="0"/>
              <w:rPr>
                <w:sz w:val="20"/>
                <w:szCs w:val="20"/>
                <w:color w:val="auto"/>
              </w:rPr>
            </w:pPr>
            <w:r>
              <w:rPr>
                <w:rFonts w:ascii="Arial" w:cs="Arial" w:eastAsia="Arial" w:hAnsi="Arial"/>
                <w:sz w:val="18"/>
                <w:szCs w:val="18"/>
                <w:b w:val="1"/>
                <w:bCs w:val="1"/>
                <w:color w:val="auto"/>
                <w:w w:val="89"/>
              </w:rPr>
              <w:t>980,597,776</w:t>
            </w:r>
          </w:p>
        </w:tc>
        <w:tc>
          <w:tcPr>
            <w:tcW w:w="22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1"/>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12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14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3" w:lineRule="exact"/>
        <w:rPr>
          <w:sz w:val="24"/>
          <w:szCs w:val="24"/>
          <w:color w:val="auto"/>
        </w:rPr>
      </w:pPr>
    </w:p>
    <w:p>
      <w:pPr>
        <w:jc w:val="both"/>
        <w:ind w:right="20"/>
        <w:spacing w:after="0" w:line="29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2660" w:right="1800" w:hanging="4685"/>
        <w:spacing w:after="0" w:line="313" w:lineRule="auto"/>
        <w:tabs>
          <w:tab w:leader="none" w:pos="264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[X] Non-accelerated filer [ ] Smaller reporting company [ ] (Do not check if a smaller</w:t>
      </w:r>
    </w:p>
    <w:p>
      <w:pPr>
        <w:ind w:left="4720"/>
        <w:spacing w:after="0"/>
        <w:rPr>
          <w:sz w:val="20"/>
          <w:szCs w:val="20"/>
          <w:color w:val="auto"/>
        </w:rPr>
      </w:pPr>
      <w:r>
        <w:rPr>
          <w:rFonts w:ascii="Arial" w:cs="Arial" w:eastAsia="Arial" w:hAnsi="Arial"/>
          <w:sz w:val="18"/>
          <w:szCs w:val="18"/>
          <w:color w:val="auto"/>
        </w:rPr>
        <w:t>reporting company)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2016, the registrant had 54,625,703 common shares, no par value, outstanding.</w:t>
      </w:r>
    </w:p>
    <w:p>
      <w:pPr>
        <w:sectPr>
          <w:pgSz w:w="11900" w:h="16838" w:orient="portrait"/>
          <w:cols w:equalWidth="0" w:num="1">
            <w:col w:w="11420"/>
          </w:cols>
          <w:pgMar w:left="240" w:top="922"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F- 1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line="202"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F- 1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920" w:type="dxa"/>
            <w:vAlign w:val="bottom"/>
            <w:gridSpan w:val="15"/>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F- 19</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OPERATIONS</w:t>
              </w:r>
            </w:hyperlink>
          </w:p>
        </w:tc>
        <w:tc>
          <w:tcPr>
            <w:tcW w:w="6660" w:type="dxa"/>
            <w:vAlign w:val="bottom"/>
            <w:tcBorders>
              <w:top w:val="single" w:sz="8" w:color="0000EE"/>
              <w:bottom w:val="single" w:sz="8" w:color="CCEEFF"/>
            </w:tcBorders>
            <w:gridSpan w:val="9"/>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3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F- 34</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72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DISCLOSURE CONTROLS AND PROCEDURES AND INTERNAL CONTROLS OVER FINANCIAL REPORTING</w:t>
              </w:r>
            </w:hyperlink>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F- 34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5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10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PART II. OTHER INFORMATION</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F- 35</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8920" w:type="dxa"/>
            <w:vAlign w:val="bottom"/>
            <w:gridSpan w:val="15"/>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F- 35</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318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DEFAULTS UPON SENIOR SECURITIES</w:t>
              </w:r>
            </w:hyperlink>
          </w:p>
        </w:tc>
        <w:tc>
          <w:tcPr>
            <w:tcW w:w="5740" w:type="dxa"/>
            <w:vAlign w:val="bottom"/>
            <w:tcBorders>
              <w:bottom w:val="single" w:sz="8" w:color="CCEEFF"/>
            </w:tcBorders>
            <w:gridSpan w:val="6"/>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F- 35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920" w:type="dxa"/>
            <w:vAlign w:val="bottom"/>
            <w:gridSpan w:val="1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620" w:type="dxa"/>
            <w:vAlign w:val="bottom"/>
            <w:gridSpan w:val="5"/>
          </w:tcPr>
          <w:p>
            <w:pPr>
              <w:jc w:val="right"/>
              <w:ind w:right="2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F- 35</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0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188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OTHER INFORMATION</w:t>
              </w:r>
            </w:hyperlink>
          </w:p>
        </w:tc>
        <w:tc>
          <w:tcPr>
            <w:tcW w:w="7040" w:type="dxa"/>
            <w:vAlign w:val="bottom"/>
            <w:tcBorders>
              <w:bottom w:val="single" w:sz="8" w:color="CCEEFF"/>
            </w:tcBorders>
            <w:gridSpan w:val="8"/>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F- 36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820" w:type="dxa"/>
            <w:vAlign w:val="bottom"/>
            <w:tcBorders>
              <w:bottom w:val="single" w:sz="8" w:color="0000EE"/>
            </w:tcBorders>
            <w:gridSpan w:val="2"/>
          </w:tcPr>
          <w:p>
            <w:pPr>
              <w:spacing w:after="0" w:line="20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EXHIBITS</w:t>
              </w:r>
            </w:hyperlink>
          </w:p>
        </w:tc>
        <w:tc>
          <w:tcPr>
            <w:tcW w:w="8100" w:type="dxa"/>
            <w:vAlign w:val="bottom"/>
            <w:gridSpan w:val="13"/>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0000EE"/>
            </w:tcBorders>
            <w:gridSpan w:val="3"/>
          </w:tcPr>
          <w:p>
            <w:pPr>
              <w:jc w:val="right"/>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F- 36</w:t>
              </w:r>
            </w:hyperlink>
          </w:p>
        </w:tc>
        <w:tc>
          <w:tcPr>
            <w:tcW w:w="20" w:type="dxa"/>
            <w:vAlign w:val="bottom"/>
          </w:tcPr>
          <w:p>
            <w:pPr>
              <w:spacing w:after="0"/>
              <w:rPr>
                <w:sz w:val="17"/>
                <w:szCs w:val="17"/>
                <w:color w:val="auto"/>
              </w:rPr>
            </w:pPr>
          </w:p>
        </w:tc>
      </w:tr>
      <w:tr>
        <w:trPr>
          <w:trHeight w:val="615"/>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60" w:type="dxa"/>
            <w:vAlign w:val="bottom"/>
            <w:gridSpan w:val="11"/>
          </w:tcPr>
          <w:p>
            <w:pPr>
              <w:ind w:left="37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ectPr>
          <w:pgSz w:w="11900" w:h="16838" w:orient="portrait"/>
          <w:cols w:equalWidth="0" w:num="1">
            <w:col w:w="11420"/>
          </w:cols>
          <w:pgMar w:left="240" w:top="823" w:right="239" w:bottom="946"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144,772</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Short-term investments (note 2)</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27,802</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Accrued revenue</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Investment tax credits receivable</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Prepaid expenses and other assets</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1,469</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174,757</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Long-term investments (note 2)</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10,099</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13,167</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(9,925)</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3,242</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352,642</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162,514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703,254</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 (note 4)</w:t>
            </w:r>
          </w:p>
        </w:tc>
        <w:tc>
          <w:tcPr>
            <w:tcW w:w="2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7,711</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Deferred revenue (note 3)</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924</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Liability-classified options (notes 2 and 5)</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1,755</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Warrants (note 2)</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11,112</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 (note 3)</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Contingent consideration (note 7)</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7,741</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146,324</w:t>
            </w:r>
          </w:p>
        </w:tc>
        <w:tc>
          <w:tcPr>
            <w:tcW w:w="0" w:type="dxa"/>
            <w:vAlign w:val="bottom"/>
          </w:tcPr>
          <w:p>
            <w:pPr>
              <w:spacing w:after="0"/>
              <w:rPr>
                <w:sz w:val="1"/>
                <w:szCs w:val="1"/>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165,177</w:t>
            </w:r>
          </w:p>
        </w:tc>
        <w:tc>
          <w:tcPr>
            <w:tcW w:w="0" w:type="dxa"/>
            <w:vAlign w:val="bottom"/>
          </w:tcPr>
          <w:p>
            <w:pPr>
              <w:spacing w:after="0"/>
              <w:rPr>
                <w:sz w:val="1"/>
                <w:szCs w:val="1"/>
                <w:color w:val="auto"/>
              </w:rPr>
            </w:pP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Common shares (note 5)</w:t>
            </w: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80"/>
              <w:spacing w:after="0"/>
              <w:rPr>
                <w:sz w:val="20"/>
                <w:szCs w:val="20"/>
                <w:color w:val="auto"/>
              </w:rPr>
            </w:pPr>
            <w:r>
              <w:rPr>
                <w:rFonts w:ascii="Arial" w:cs="Arial" w:eastAsia="Arial" w:hAnsi="Arial"/>
                <w:sz w:val="18"/>
                <w:szCs w:val="18"/>
                <w:color w:val="auto"/>
              </w:rPr>
              <w:t>Authorized - unlimited number with no par value</w:t>
            </w: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260" w:type="dxa"/>
            <w:vAlign w:val="bottom"/>
          </w:tcPr>
          <w:p>
            <w:pPr>
              <w:ind w:left="300"/>
              <w:spacing w:after="0"/>
              <w:rPr>
                <w:sz w:val="20"/>
                <w:szCs w:val="20"/>
                <w:color w:val="auto"/>
              </w:rPr>
            </w:pPr>
            <w:r>
              <w:rPr>
                <w:rFonts w:ascii="Arial" w:cs="Arial" w:eastAsia="Arial" w:hAnsi="Arial"/>
                <w:sz w:val="18"/>
                <w:szCs w:val="18"/>
                <w:color w:val="auto"/>
              </w:rPr>
              <w:t>Issued and outstanding: 54,625,691</w:t>
            </w:r>
          </w:p>
        </w:tc>
        <w:tc>
          <w:tcPr>
            <w:tcW w:w="2320" w:type="dxa"/>
            <w:vAlign w:val="bottom"/>
          </w:tcPr>
          <w:p>
            <w:pPr>
              <w:spacing w:after="0"/>
              <w:rPr>
                <w:sz w:val="22"/>
                <w:szCs w:val="22"/>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840,475</w:t>
            </w:r>
          </w:p>
        </w:tc>
        <w:tc>
          <w:tcPr>
            <w:tcW w:w="0" w:type="dxa"/>
            <w:vAlign w:val="bottom"/>
          </w:tcPr>
          <w:p>
            <w:pPr>
              <w:spacing w:after="0"/>
              <w:rPr>
                <w:sz w:val="1"/>
                <w:szCs w:val="1"/>
                <w:color w:val="auto"/>
              </w:rPr>
            </w:pPr>
          </w:p>
        </w:tc>
      </w:tr>
      <w:tr>
        <w:trPr>
          <w:trHeight w:val="230"/>
        </w:trPr>
        <w:tc>
          <w:tcPr>
            <w:tcW w:w="6260" w:type="dxa"/>
            <w:vAlign w:val="bottom"/>
          </w:tcPr>
          <w:p>
            <w:pPr>
              <w:ind w:left="480"/>
              <w:spacing w:after="0"/>
              <w:rPr>
                <w:sz w:val="20"/>
                <w:szCs w:val="20"/>
                <w:color w:val="auto"/>
              </w:rPr>
            </w:pPr>
            <w:r>
              <w:rPr>
                <w:rFonts w:ascii="Arial" w:cs="Arial" w:eastAsia="Arial" w:hAnsi="Arial"/>
                <w:sz w:val="18"/>
                <w:szCs w:val="18"/>
                <w:color w:val="auto"/>
              </w:rPr>
              <w:t>(December 31, 2015 - 54,570,691)</w:t>
            </w:r>
          </w:p>
        </w:tc>
        <w:tc>
          <w:tcPr>
            <w:tcW w:w="23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2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30,243</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Deficit</w:t>
            </w:r>
          </w:p>
        </w:tc>
        <w:tc>
          <w:tcPr>
            <w:tcW w:w="2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(282,859)</w:t>
            </w:r>
          </w:p>
        </w:tc>
        <w:tc>
          <w:tcPr>
            <w:tcW w:w="0" w:type="dxa"/>
            <w:vAlign w:val="bottom"/>
          </w:tcPr>
          <w:p>
            <w:pPr>
              <w:spacing w:after="0"/>
              <w:rPr>
                <w:sz w:val="1"/>
                <w:szCs w:val="1"/>
                <w:color w:val="auto"/>
              </w:rPr>
            </w:pPr>
          </w:p>
        </w:tc>
      </w:tr>
      <w:tr>
        <w:trPr>
          <w:trHeight w:val="270"/>
        </w:trPr>
        <w:tc>
          <w:tcPr>
            <w:tcW w:w="626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2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(49,782)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-5822315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-5479415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-5136515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-4792980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-4441825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-4098290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-3747135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-3052445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-2709545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-1671320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-1320165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-3404235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December 31,</w:t>
      </w:r>
    </w:p>
    <w:p>
      <w:pPr>
        <w:spacing w:after="0" w:line="6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745" w:hanging="745"/>
        <w:spacing w:after="0"/>
        <w:tabs>
          <w:tab w:leader="none" w:pos="745" w:val="left"/>
        </w:tabs>
        <w:numPr>
          <w:ilvl w:val="0"/>
          <w:numId w:val="2"/>
        </w:numPr>
        <w:rPr>
          <w:rFonts w:ascii="Arial" w:cs="Arial" w:eastAsia="Arial" w:hAnsi="Arial"/>
          <w:sz w:val="18"/>
          <w:szCs w:val="18"/>
          <w:color w:val="auto"/>
        </w:rPr>
      </w:pPr>
      <w:r>
        <w:rPr>
          <w:rFonts w:ascii="Arial" w:cs="Arial" w:eastAsia="Arial" w:hAnsi="Arial"/>
          <w:sz w:val="18"/>
          <w:szCs w:val="18"/>
          <w:color w:val="auto"/>
        </w:rPr>
        <w:t>166,779</w:t>
      </w:r>
    </w:p>
    <w:p>
      <w:pPr>
        <w:spacing w:after="0" w:line="63" w:lineRule="exact"/>
        <w:rPr>
          <w:rFonts w:ascii="Arial" w:cs="Arial" w:eastAsia="Arial" w:hAnsi="Arial"/>
          <w:sz w:val="18"/>
          <w:szCs w:val="18"/>
          <w:color w:val="auto"/>
        </w:rPr>
      </w:pPr>
    </w:p>
    <w:p>
      <w:pPr>
        <w:ind w:left="845"/>
        <w:spacing w:after="0"/>
        <w:rPr>
          <w:rFonts w:ascii="Arial" w:cs="Arial" w:eastAsia="Arial" w:hAnsi="Arial"/>
          <w:sz w:val="18"/>
          <w:szCs w:val="18"/>
          <w:color w:val="auto"/>
        </w:rPr>
      </w:pPr>
      <w:r>
        <w:rPr>
          <w:rFonts w:ascii="Arial" w:cs="Arial" w:eastAsia="Arial" w:hAnsi="Arial"/>
          <w:sz w:val="18"/>
          <w:szCs w:val="18"/>
          <w:color w:val="auto"/>
        </w:rPr>
        <w:t>14,525</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1,008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128</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246</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183,882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10,070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12,912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3,183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352,642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162,514</w:t>
      </w:r>
    </w:p>
    <w:p>
      <w:pPr>
        <w:spacing w:after="0" w:line="77" w:lineRule="exact"/>
        <w:rPr>
          <w:sz w:val="20"/>
          <w:szCs w:val="20"/>
          <w:color w:val="auto"/>
        </w:rPr>
      </w:pPr>
    </w:p>
    <w:p>
      <w:pPr>
        <w:ind w:left="745" w:hanging="745"/>
        <w:spacing w:after="0"/>
        <w:tabs>
          <w:tab w:leader="none" w:pos="745" w:val="left"/>
        </w:tabs>
        <w:numPr>
          <w:ilvl w:val="0"/>
          <w:numId w:val="3"/>
        </w:numPr>
        <w:rPr>
          <w:rFonts w:ascii="Arial" w:cs="Arial" w:eastAsia="Arial" w:hAnsi="Arial"/>
          <w:sz w:val="18"/>
          <w:szCs w:val="18"/>
          <w:color w:val="auto"/>
        </w:rPr>
      </w:pPr>
      <w:r>
        <w:rPr>
          <w:rFonts w:ascii="Arial" w:cs="Arial" w:eastAsia="Arial" w:hAnsi="Arial"/>
          <w:sz w:val="18"/>
          <w:szCs w:val="18"/>
          <w:color w:val="auto"/>
        </w:rPr>
        <w:t>712,291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25" w:hanging="925"/>
        <w:spacing w:after="0"/>
        <w:tabs>
          <w:tab w:leader="none" w:pos="925" w:val="left"/>
        </w:tabs>
        <w:numPr>
          <w:ilvl w:val="0"/>
          <w:numId w:val="4"/>
        </w:numPr>
        <w:rPr>
          <w:rFonts w:ascii="Arial" w:cs="Arial" w:eastAsia="Arial" w:hAnsi="Arial"/>
          <w:sz w:val="18"/>
          <w:szCs w:val="18"/>
          <w:color w:val="auto"/>
        </w:rPr>
      </w:pPr>
      <w:r>
        <w:rPr>
          <w:rFonts w:ascii="Arial" w:cs="Arial" w:eastAsia="Arial" w:hAnsi="Arial"/>
          <w:sz w:val="18"/>
          <w:szCs w:val="18"/>
          <w:color w:val="auto"/>
        </w:rPr>
        <w:t>8,827</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868</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065"/>
        <w:spacing w:after="0"/>
        <w:rPr>
          <w:rFonts w:ascii="Arial" w:cs="Arial" w:eastAsia="Arial" w:hAnsi="Arial"/>
          <w:sz w:val="18"/>
          <w:szCs w:val="18"/>
          <w:color w:val="auto"/>
        </w:rPr>
      </w:pPr>
      <w:r>
        <w:rPr>
          <w:rFonts w:ascii="Arial" w:cs="Arial" w:eastAsia="Arial" w:hAnsi="Arial"/>
          <w:sz w:val="18"/>
          <w:szCs w:val="18"/>
          <w:color w:val="auto"/>
        </w:rPr>
        <w:t>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10,578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7,497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146,324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164,612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834,240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30,206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(266,985)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9840" w:space="135"/>
            <w:col w:w="1445"/>
          </w:cols>
          <w:pgMar w:left="240" w:top="823" w:right="239" w:bottom="946"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538,077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547,679</w:t>
            </w:r>
          </w:p>
        </w:tc>
      </w:tr>
      <w:tr>
        <w:trPr>
          <w:trHeight w:val="27"/>
        </w:trPr>
        <w:tc>
          <w:tcPr>
            <w:tcW w:w="57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703,254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712,291</w:t>
            </w:r>
          </w:p>
        </w:tc>
      </w:tr>
      <w:tr>
        <w:trPr>
          <w:trHeight w:val="27"/>
        </w:trPr>
        <w:tc>
          <w:tcPr>
            <w:tcW w:w="5740" w:type="dxa"/>
            <w:vAlign w:val="bottom"/>
            <w:shd w:val="clear" w:color="auto" w:fill="000000"/>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(note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823" w:right="239" w:bottom="946" w:gutter="0" w:footer="0" w:header="0"/>
          <w:type w:val="continuous"/>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w:t>
      </w:r>
    </w:p>
    <w:p>
      <w:pPr>
        <w:sectPr>
          <w:pgSz w:w="11900" w:h="16838" w:orient="portrait"/>
          <w:cols w:equalWidth="0" w:num="1">
            <w:col w:w="11420"/>
          </w:cols>
          <w:pgMar w:left="240" w:top="823" w:right="239" w:bottom="946"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except share and per share amounts)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both"/>
        <w:ind w:left="9380"/>
        <w:spacing w:after="0"/>
        <w:tabs>
          <w:tab w:leader="none" w:pos="1094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80"/>
          </w:cols>
          <w:pgMar w:left="240" w:top="801" w:right="279" w:bottom="1440" w:gutter="0" w:footer="0" w:header="0"/>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40"/>
              <w:spacing w:after="0"/>
              <w:rPr>
                <w:sz w:val="20"/>
                <w:szCs w:val="20"/>
                <w:color w:val="auto"/>
              </w:rPr>
            </w:pPr>
            <w:r>
              <w:rPr>
                <w:rFonts w:ascii="Arial" w:cs="Arial" w:eastAsia="Arial" w:hAnsi="Arial"/>
                <w:sz w:val="18"/>
                <w:szCs w:val="18"/>
                <w:color w:val="auto"/>
              </w:rPr>
              <w:t>Collaborations and contracts</w:t>
            </w:r>
          </w:p>
        </w:tc>
        <w:tc>
          <w:tcPr>
            <w:tcW w:w="23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107</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Licensing fees, milestone and royalty payments</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496</w:t>
            </w:r>
          </w:p>
        </w:tc>
      </w:tr>
      <w:tr>
        <w:trPr>
          <w:trHeight w:val="27"/>
        </w:trPr>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603</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13,144</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7,219</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217</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20,580</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2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(19,977)</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Other income (losses)</w:t>
            </w:r>
          </w:p>
        </w:tc>
        <w:tc>
          <w:tcPr>
            <w:tcW w:w="2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244</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2,942</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 (note 3)</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 (note 2)</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 (note 7)</w:t>
            </w:r>
          </w:p>
        </w:tc>
        <w:tc>
          <w:tcPr>
            <w:tcW w:w="2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(244)</w:t>
            </w:r>
          </w:p>
        </w:tc>
      </w:tr>
      <w:tr>
        <w:trPr>
          <w:trHeight w:val="27"/>
        </w:trPr>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4,103</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3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(15,874)</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Loss per common share</w:t>
            </w:r>
          </w:p>
        </w:tc>
        <w:tc>
          <w:tcPr>
            <w:tcW w:w="2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36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3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2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36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51,400,485</w:t>
            </w: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63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3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(15,874)</w:t>
            </w:r>
          </w:p>
        </w:tc>
      </w:tr>
      <w:tr>
        <w:trPr>
          <w:trHeight w:val="34"/>
        </w:trPr>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-3635375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-3987165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925" w:hanging="925"/>
        <w:spacing w:after="0"/>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3,520</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1,162</w:t>
      </w:r>
    </w:p>
    <w:p>
      <w:pPr>
        <w:spacing w:after="0" w:line="76"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4,682</w:t>
      </w:r>
    </w:p>
    <w:p>
      <w:pPr>
        <w:spacing w:after="0" w:line="33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10,557</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2,716</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9,295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22,688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(18,006)</w:t>
      </w:r>
    </w:p>
    <w:p>
      <w:pPr>
        <w:spacing w:after="0" w:line="33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7,038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6,017</w:t>
      </w:r>
    </w:p>
    <w:p>
      <w:pPr>
        <w:spacing w:after="0" w:line="63" w:lineRule="exact"/>
        <w:rPr>
          <w:sz w:val="20"/>
          <w:szCs w:val="20"/>
          <w:color w:val="auto"/>
        </w:rPr>
      </w:pPr>
    </w:p>
    <w:p>
      <w:pPr>
        <w:ind w:left="785" w:hanging="785"/>
        <w:spacing w:after="0"/>
        <w:tabs>
          <w:tab w:leader="none" w:pos="785" w:val="left"/>
        </w:tabs>
        <w:numPr>
          <w:ilvl w:val="0"/>
          <w:numId w:val="6"/>
        </w:numPr>
        <w:rPr>
          <w:rFonts w:ascii="Arial" w:cs="Arial" w:eastAsia="Arial" w:hAnsi="Arial"/>
          <w:sz w:val="16"/>
          <w:szCs w:val="16"/>
          <w:color w:val="auto"/>
        </w:rPr>
      </w:pPr>
      <w:r>
        <w:rPr>
          <w:rFonts w:ascii="Arial" w:cs="Arial" w:eastAsia="Arial" w:hAnsi="Arial"/>
          <w:sz w:val="16"/>
          <w:szCs w:val="16"/>
          <w:color w:val="auto"/>
        </w:rPr>
        <w:t>(11,989)</w:t>
      </w:r>
    </w:p>
    <w:p>
      <w:pPr>
        <w:spacing w:after="0" w:line="356" w:lineRule="exact"/>
        <w:rPr>
          <w:rFonts w:ascii="Arial" w:cs="Arial" w:eastAsia="Arial" w:hAnsi="Arial"/>
          <w:sz w:val="16"/>
          <w:szCs w:val="16"/>
          <w:color w:val="auto"/>
        </w:rPr>
      </w:pPr>
    </w:p>
    <w:p>
      <w:pPr>
        <w:ind w:left="965" w:hanging="965"/>
        <w:spacing w:after="0"/>
        <w:tabs>
          <w:tab w:leader="none" w:pos="965" w:val="left"/>
        </w:tabs>
        <w:numPr>
          <w:ilvl w:val="0"/>
          <w:numId w:val="6"/>
        </w:numPr>
        <w:rPr>
          <w:rFonts w:ascii="Arial" w:cs="Arial" w:eastAsia="Arial" w:hAnsi="Arial"/>
          <w:sz w:val="16"/>
          <w:szCs w:val="16"/>
          <w:color w:val="auto"/>
        </w:rPr>
      </w:pPr>
      <w:r>
        <w:rPr>
          <w:rFonts w:ascii="Arial" w:cs="Arial" w:eastAsia="Arial" w:hAnsi="Arial"/>
          <w:sz w:val="16"/>
          <w:szCs w:val="16"/>
          <w:color w:val="auto"/>
        </w:rPr>
        <w:t>(0.40)</w:t>
      </w:r>
    </w:p>
    <w:p>
      <w:pPr>
        <w:spacing w:after="0" w:line="356"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7"/>
          <w:szCs w:val="17"/>
          <w:color w:val="auto"/>
        </w:rPr>
        <w:t>30,208,136</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(9,174)</w:t>
      </w:r>
    </w:p>
    <w:p>
      <w:pPr>
        <w:spacing w:after="0" w:line="77" w:lineRule="exact"/>
        <w:rPr>
          <w:sz w:val="20"/>
          <w:szCs w:val="20"/>
          <w:color w:val="auto"/>
        </w:rPr>
      </w:pPr>
    </w:p>
    <w:p>
      <w:pPr>
        <w:ind w:left="785" w:hanging="785"/>
        <w:spacing w:after="0"/>
        <w:tabs>
          <w:tab w:leader="none" w:pos="785" w:val="left"/>
        </w:tabs>
        <w:numPr>
          <w:ilvl w:val="0"/>
          <w:numId w:val="7"/>
        </w:numPr>
        <w:rPr>
          <w:rFonts w:ascii="Arial" w:cs="Arial" w:eastAsia="Arial" w:hAnsi="Arial"/>
          <w:sz w:val="16"/>
          <w:szCs w:val="16"/>
          <w:color w:val="auto"/>
        </w:rPr>
      </w:pPr>
      <w:r>
        <w:rPr>
          <w:rFonts w:ascii="Arial" w:cs="Arial" w:eastAsia="Arial" w:hAnsi="Arial"/>
          <w:sz w:val="16"/>
          <w:szCs w:val="16"/>
          <w:color w:val="auto"/>
        </w:rPr>
        <w:t>(21,163)</w:t>
      </w:r>
    </w:p>
    <w:p>
      <w:pPr>
        <w:spacing w:after="0" w:line="628" w:lineRule="exact"/>
        <w:rPr>
          <w:sz w:val="20"/>
          <w:szCs w:val="20"/>
          <w:color w:val="auto"/>
        </w:rPr>
      </w:pPr>
    </w:p>
    <w:p>
      <w:pPr>
        <w:sectPr>
          <w:pgSz w:w="11900" w:h="16838" w:orient="portrait"/>
          <w:cols w:equalWidth="0" w:num="2">
            <w:col w:w="9840" w:space="135"/>
            <w:col w:w="1405"/>
          </w:cols>
          <w:pgMar w:left="240" w:top="801" w:right="279" w:bottom="1440" w:gutter="0" w:footer="0" w:header="0"/>
          <w:type w:val="continuous"/>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F- 2</w:t>
      </w:r>
    </w:p>
    <w:p>
      <w:pPr>
        <w:sectPr>
          <w:pgSz w:w="11900" w:h="16838" w:orient="portrait"/>
          <w:cols w:equalWidth="0" w:num="1">
            <w:col w:w="11380"/>
          </w:cols>
          <w:pgMar w:left="240" w:top="801" w:right="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 other</w:t>
            </w:r>
          </w:p>
        </w:tc>
        <w:tc>
          <w:tcPr>
            <w:tcW w:w="18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Total</w:t>
            </w:r>
          </w:p>
        </w:tc>
      </w:tr>
      <w:tr>
        <w:trPr>
          <w:trHeight w:val="203"/>
        </w:trPr>
        <w:tc>
          <w:tcPr>
            <w:tcW w:w="302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Number</w:t>
            </w:r>
          </w:p>
        </w:tc>
        <w:tc>
          <w:tcPr>
            <w:tcW w:w="2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Share</w:t>
            </w: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Additional paid-in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comprehensive</w:t>
            </w:r>
          </w:p>
        </w:tc>
        <w:tc>
          <w:tcPr>
            <w:tcW w:w="18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color w:val="auto"/>
                <w:w w:val="96"/>
              </w:rPr>
              <w:t>stockholders'</w:t>
            </w:r>
          </w:p>
        </w:tc>
      </w:tr>
      <w:tr>
        <w:trPr>
          <w:trHeight w:val="206"/>
        </w:trPr>
        <w:tc>
          <w:tcPr>
            <w:tcW w:w="302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capital</w:t>
            </w:r>
          </w:p>
        </w:tc>
        <w:tc>
          <w:tcPr>
            <w:tcW w:w="1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capital</w:t>
            </w: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Deficit</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loss</w:t>
            </w:r>
          </w:p>
        </w:tc>
        <w:tc>
          <w:tcPr>
            <w:tcW w:w="18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Arial" w:cs="Arial" w:eastAsia="Arial" w:hAnsi="Arial"/>
                <w:sz w:val="16"/>
                <w:szCs w:val="16"/>
                <w:color w:val="auto"/>
              </w:rPr>
              <w:t>equity</w:t>
            </w:r>
          </w:p>
        </w:tc>
      </w:tr>
      <w:tr>
        <w:trPr>
          <w:trHeight w:val="33"/>
        </w:trPr>
        <w:tc>
          <w:tcPr>
            <w:tcW w:w="3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2015</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54,570,691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834,240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30,206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(266,985)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547,679</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5,971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7,912</w:t>
            </w:r>
          </w:p>
        </w:tc>
      </w:tr>
      <w:tr>
        <w:trPr>
          <w:trHeight w:val="33"/>
        </w:trPr>
        <w:tc>
          <w:tcPr>
            <w:tcW w:w="3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equity to liability stock</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 awards (notes 2 and 5)</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r>
      <w:tr>
        <w:trPr>
          <w:trHeight w:val="220"/>
        </w:trPr>
        <w:tc>
          <w:tcPr>
            <w:tcW w:w="302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3020" w:type="dxa"/>
            <w:vAlign w:val="bottom"/>
          </w:tcPr>
          <w:p>
            <w:pPr>
              <w:ind w:left="200"/>
              <w:spacing w:after="0"/>
              <w:rPr>
                <w:sz w:val="20"/>
                <w:szCs w:val="20"/>
                <w:color w:val="auto"/>
              </w:rPr>
            </w:pPr>
            <w:r>
              <w:rPr>
                <w:rFonts w:ascii="Arial" w:cs="Arial" w:eastAsia="Arial" w:hAnsi="Arial"/>
                <w:sz w:val="16"/>
                <w:szCs w:val="16"/>
                <w:color w:val="auto"/>
              </w:rPr>
              <w:t>pursuant to exercise of options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115</w:t>
            </w:r>
          </w:p>
        </w:tc>
      </w:tr>
      <w:tr>
        <w:trPr>
          <w:trHeight w:val="33"/>
        </w:trPr>
        <w:tc>
          <w:tcPr>
            <w:tcW w:w="3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3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pursuant to exercise of warrants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(15,874)</w:t>
            </w:r>
          </w:p>
        </w:tc>
      </w:tr>
      <w:tr>
        <w:trPr>
          <w:trHeight w:val="33"/>
        </w:trPr>
        <w:tc>
          <w:tcPr>
            <w:tcW w:w="3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2016</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54,625,691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840,475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30,243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(282,859)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538,077</w:t>
            </w:r>
          </w:p>
        </w:tc>
      </w:tr>
      <w:tr>
        <w:trPr>
          <w:trHeight w:val="27"/>
        </w:trPr>
        <w:tc>
          <w:tcPr>
            <w:tcW w:w="30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00"/>
          </w:cols>
          <w:pgMar w:left="240" w:top="801"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47"/>
        </w:trPr>
        <w:tc>
          <w:tcPr>
            <w:tcW w:w="8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for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Items not involving cash:</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Depreciation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0"/>
        </w:trPr>
        <w:tc>
          <w:tcPr>
            <w:tcW w:w="8340" w:type="dxa"/>
            <w:vAlign w:val="bottom"/>
          </w:tcPr>
          <w:p>
            <w:pPr>
              <w:ind w:left="160"/>
              <w:spacing w:after="0"/>
              <w:rPr>
                <w:sz w:val="20"/>
                <w:szCs w:val="20"/>
                <w:color w:val="auto"/>
              </w:rPr>
            </w:pPr>
            <w:r>
              <w:rPr>
                <w:rFonts w:ascii="Arial" w:cs="Arial" w:eastAsia="Arial" w:hAnsi="Arial"/>
                <w:sz w:val="16"/>
                <w:szCs w:val="16"/>
                <w:color w:val="auto"/>
              </w:rPr>
              <w:t>Stock-based compensation - research, development,</w:t>
            </w:r>
          </w:p>
        </w:tc>
        <w:tc>
          <w:tcPr>
            <w:tcW w:w="340" w:type="dxa"/>
            <w:vAlign w:val="bottom"/>
          </w:tcPr>
          <w:p>
            <w:pPr>
              <w:spacing w:after="0"/>
              <w:rPr>
                <w:sz w:val="19"/>
                <w:szCs w:val="19"/>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2,947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60"/>
              <w:spacing w:after="0"/>
              <w:rPr>
                <w:sz w:val="20"/>
                <w:szCs w:val="20"/>
                <w:color w:val="auto"/>
              </w:rPr>
            </w:pPr>
            <w:r>
              <w:rPr>
                <w:rFonts w:ascii="Arial" w:cs="Arial" w:eastAsia="Arial" w:hAnsi="Arial"/>
                <w:sz w:val="16"/>
                <w:szCs w:val="16"/>
                <w:color w:val="auto"/>
              </w:rPr>
              <w:t>collaborations and contract expenses</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 - general and administrative</w:t>
            </w:r>
          </w:p>
        </w:tc>
        <w:tc>
          <w:tcPr>
            <w:tcW w:w="3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expenses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37"/>
        </w:trPr>
        <w:tc>
          <w:tcPr>
            <w:tcW w:w="8340" w:type="dxa"/>
            <w:vAlign w:val="bottom"/>
          </w:tcPr>
          <w:p>
            <w:pPr>
              <w:ind w:left="80"/>
              <w:spacing w:after="0"/>
              <w:rPr>
                <w:sz w:val="20"/>
                <w:szCs w:val="20"/>
                <w:color w:val="auto"/>
              </w:rPr>
            </w:pPr>
            <w:r>
              <w:rPr>
                <w:rFonts w:ascii="Arial" w:cs="Arial" w:eastAsia="Arial" w:hAnsi="Arial"/>
                <w:sz w:val="16"/>
                <w:szCs w:val="16"/>
                <w:color w:val="auto"/>
              </w:rPr>
              <w:t>Unrealized foreign exchange (gains) losses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(3,006)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Change in fair value of warrant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Change in fair value of contingent consideration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non-cash operating items: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668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Accrued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37"/>
        </w:trPr>
        <w:tc>
          <w:tcPr>
            <w:tcW w:w="8340" w:type="dxa"/>
            <w:vAlign w:val="bottom"/>
          </w:tcPr>
          <w:p>
            <w:pPr>
              <w:ind w:left="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37"/>
        </w:trPr>
        <w:tc>
          <w:tcPr>
            <w:tcW w:w="834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(17,843)</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Disposition (acquisition) of short and 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acquired through acquisition (note 3)</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(13,582)</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issuance of common shares, net of issuance costs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142,175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exercise of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Issuance of common shares pursuant to exercise of warrants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142,820</w:t>
            </w:r>
          </w:p>
        </w:tc>
        <w:tc>
          <w:tcPr>
            <w:tcW w:w="0" w:type="dxa"/>
            <w:vAlign w:val="bottom"/>
          </w:tcPr>
          <w:p>
            <w:pPr>
              <w:spacing w:after="0"/>
              <w:rPr>
                <w:sz w:val="1"/>
                <w:szCs w:val="1"/>
                <w:color w:val="auto"/>
              </w:rPr>
            </w:pPr>
          </w:p>
        </w:tc>
      </w:tr>
      <w:tr>
        <w:trPr>
          <w:trHeight w:val="220"/>
        </w:trPr>
        <w:tc>
          <w:tcPr>
            <w:tcW w:w="834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 and</w:t>
            </w:r>
          </w:p>
        </w:tc>
        <w:tc>
          <w:tcPr>
            <w:tcW w:w="340" w:type="dxa"/>
            <w:vAlign w:val="bottom"/>
          </w:tcPr>
          <w:p>
            <w:pPr>
              <w:spacing w:after="0"/>
              <w:rPr>
                <w:sz w:val="19"/>
                <w:szCs w:val="19"/>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3,006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160,089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166,779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72,187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144,772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232,276</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Acquisition of Arbutus Inc. excluding cash acquired</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381,618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477"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Arbutus Biopharma Corporation (the “Company” or “Arbutus”) is a biopharmaceutical business dedicated to discovering, developing, and commercializing a cure for patients suffering from chronic hepatitis B infection (“HBV”), a disease of the liver caused by hepatitis B virus (“HBV”).</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50"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2015 and included in the Company’s 2015 annual report on Form 10-K. The unaudited condensed consolidated financial statements reflect, in the opinion of management, all adjustments and reclassifications necessary to present fairly the financial position, results of operations and cash flows at March 31, 2016 and for all periods presented. The results of operations for the three months ended March 31, 2016 and March 31, 2015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2015, except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two of its wholly-owned subsidiaries, Arbutus Biopharma Inc. ("Arbutus Inc.") and Protiva Biotherapeutics Inc. ("Protiva"). All intercompany transactions and balances have been eliminated on consolidation.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Arbutus Inc. and Protiva, the Company's wholly-owned subsidiary, Protiva Agricultural Development Company Inc. ("PADCo"), was previously recorded by the Company using the equity method. On March 4, 2016, Monsanto exercised its option to acquire 100% of the outstanding shares of PADCo, as described in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Prior to January 1, 2016, the Company's functional currency was the Canadian dollar. Translation gains and losses from the application of the U.S. dollar as the reporting currency while the Canadian dollar was the functional currency are included as part of cumulative currency translation adjustment, which is reported as a component of shareholders' equity under accumulated other comprehensive loss.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assessed its functional currency and determined as at January 1, 2016, its functional currency changed from the Canadian dollar to the U.S. dollar based on management's analysis of changes in the primary economic environment in which the Company operates. The change in functional currency is accounted for prospectively from January 1, 2016 and financial statements prior to and including the period ended December 31, 2015 have not been restated for the change in functional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00"/>
          </w:cols>
          <w:pgMar w:left="240" w:top="234"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periods prior to January 1, 2016, the effects of exchange rate fluctuations on translating foreign currency monetary assets and liabilities into Canadian dollars were included in the statement of operations and comprehensive loss as foreign exchange gain/loss. Revenue and expense transactions were translated into the U.S. dollar reporting currency at the balance sheet date at average exchange rates during the period, and assets and liabilities were translated at end of period exchange rates, except for equity transactions, which were translated at historical exchange rates. Translation gains and losses from the application of the U.S. dollar as the reporting currency while the Canadian dollar was the functional currency are included as part of the cumulative foreign currency translation adjustment, which is reported as a component of shareholders’ equity under accumulated other comprehensive loss.</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periods commencing January 1, 2016,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incurred after January 1, 2016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is anti-dilutive. During the three months ended March 31, 2016, potential common shares of 7,371,193 (March 31, 2015 – 6,542,852) were excluded from the calculation of income per common share because their inclusion would be anti-dilutive, of which 3,021,180 (March 31, 2015 - 3,625,411) relates to shares issued subject to repurchase provisions as part of consideration paid for the acquisition of Arbutus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60" w:hanging="486"/>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in thousands, and indicates the fair value hierarchy of the valuation techniques used to determine such fair value: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234"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Level 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w w:val="94"/>
              </w:rPr>
              <w:t>March 31, 2016</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144,772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144,772</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investment certificate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Term deposit</w:t>
            </w:r>
          </w:p>
        </w:tc>
        <w:tc>
          <w:tcPr>
            <w:tcW w:w="17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10,099</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182,673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182,673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Liability-classified options</w:t>
            </w:r>
          </w:p>
        </w:tc>
        <w:tc>
          <w:tcPr>
            <w:tcW w:w="17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60" w:type="dxa"/>
            <w:vAlign w:val="bottom"/>
          </w:tcPr>
          <w:p>
            <w:pPr>
              <w:spacing w:after="0"/>
              <w:rPr>
                <w:sz w:val="21"/>
                <w:szCs w:val="21"/>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7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7,741</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10,218</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10,218</w:t>
            </w:r>
          </w:p>
        </w:tc>
      </w:tr>
      <w:tr>
        <w:trPr>
          <w:trHeight w:val="378"/>
        </w:trPr>
        <w:tc>
          <w:tcPr>
            <w:tcW w:w="38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2"/>
        </w:trPr>
        <w:tc>
          <w:tcPr>
            <w:tcW w:w="3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Level 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Level 2</w:t>
            </w:r>
          </w:p>
        </w:tc>
        <w:tc>
          <w:tcPr>
            <w:tcW w:w="48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0"/>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166,779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166,779</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investment certificates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Term deposit</w:t>
            </w:r>
          </w:p>
        </w:tc>
        <w:tc>
          <w:tcPr>
            <w:tcW w:w="17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10,070</w:t>
            </w:r>
          </w:p>
        </w:tc>
      </w:tr>
      <w:tr>
        <w:trPr>
          <w:trHeight w:val="27"/>
        </w:trPr>
        <w:tc>
          <w:tcPr>
            <w:tcW w:w="3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191,374</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7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760" w:type="dxa"/>
            <w:vAlign w:val="bottom"/>
          </w:tcPr>
          <w:p>
            <w:pPr>
              <w:spacing w:after="0"/>
              <w:rPr>
                <w:sz w:val="21"/>
                <w:szCs w:val="21"/>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7,497</w:t>
            </w:r>
          </w:p>
        </w:tc>
      </w:tr>
      <w:tr>
        <w:trPr>
          <w:trHeight w:val="27"/>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1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instrument</w:t>
            </w:r>
          </w:p>
        </w:tc>
        <w:tc>
          <w:tcPr>
            <w:tcW w:w="17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warrants,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color w:val="auto"/>
                <w:w w:val="99"/>
              </w:rPr>
              <w:t>Liability at beginning of</w:t>
            </w:r>
          </w:p>
        </w:tc>
        <w:tc>
          <w:tcPr>
            <w:tcW w:w="18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90"/>
              </w:rPr>
              <w:t>Fair value of warrants</w:t>
            </w:r>
          </w:p>
        </w:tc>
        <w:tc>
          <w:tcPr>
            <w:tcW w:w="20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87"/>
              </w:rPr>
              <w:t>Increase (decrease) in</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3"/>
              </w:rPr>
              <w:t>Foreign exchange (gain)</w:t>
            </w:r>
          </w:p>
        </w:tc>
        <w:tc>
          <w:tcPr>
            <w:tcW w:w="18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w w:val="93"/>
              </w:rPr>
              <w:t>Liability at end of the</w:t>
            </w:r>
          </w:p>
        </w:tc>
      </w:tr>
      <w:tr>
        <w:trPr>
          <w:trHeight w:val="230"/>
        </w:trPr>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the period</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exercised in the period</w:t>
            </w:r>
          </w:p>
        </w:tc>
        <w:tc>
          <w:tcPr>
            <w:tcW w:w="20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w w:val="92"/>
              </w:rPr>
              <w:t>fair value of warrants</w:t>
            </w:r>
          </w:p>
        </w:tc>
        <w:tc>
          <w:tcPr>
            <w:tcW w:w="500" w:type="dxa"/>
            <w:vAlign w:val="bottom"/>
          </w:tcPr>
          <w:p>
            <w:pPr>
              <w:spacing w:after="0"/>
              <w:rPr>
                <w:sz w:val="20"/>
                <w:szCs w:val="20"/>
                <w:color w:val="auto"/>
              </w:rPr>
            </w:pPr>
          </w:p>
        </w:tc>
        <w:tc>
          <w:tcPr>
            <w:tcW w:w="1440" w:type="dxa"/>
            <w:vAlign w:val="bottom"/>
          </w:tcPr>
          <w:p>
            <w:pPr>
              <w:jc w:val="right"/>
              <w:ind w:right="73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period</w:t>
            </w:r>
          </w:p>
        </w:tc>
      </w:tr>
      <w:tr>
        <w:trPr>
          <w:trHeight w:val="27"/>
        </w:trPr>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Three months ended</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1,223</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5,623</w:t>
            </w:r>
          </w:p>
        </w:tc>
      </w:tr>
      <w:tr>
        <w:trPr>
          <w:trHeight w:val="237"/>
        </w:trPr>
        <w:tc>
          <w:tcPr>
            <w:tcW w:w="1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680" w:type="dxa"/>
            <w:vAlign w:val="bottom"/>
          </w:tcPr>
          <w:p>
            <w:pPr>
              <w:ind w:left="40"/>
              <w:spacing w:after="0"/>
              <w:rPr>
                <w:sz w:val="20"/>
                <w:szCs w:val="20"/>
                <w:color w:val="auto"/>
              </w:rPr>
            </w:pPr>
            <w:r>
              <w:rPr>
                <w:rFonts w:ascii="Arial" w:cs="Arial" w:eastAsia="Arial" w:hAnsi="Arial"/>
                <w:sz w:val="18"/>
                <w:szCs w:val="18"/>
                <w:color w:val="auto"/>
                <w:w w:val="97"/>
              </w:rPr>
              <w:t>Three months ended</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883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30"/>
        </w:trPr>
        <w:tc>
          <w:tcPr>
            <w:tcW w:w="168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fair value of warrant liability for the three months ended March 31, 2016 is recorded in the statement of operations and comprehensive loss.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Black-Scholes option-pricing assumptions and the resultant fair values, in thousands, for warrants outstanding at March 31, 2016 and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23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 2016</w:t>
            </w:r>
          </w:p>
        </w:tc>
        <w:tc>
          <w:tcPr>
            <w:tcW w:w="24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w w:val="99"/>
              </w:rPr>
              <w:t>December 31,</w:t>
            </w:r>
          </w:p>
        </w:tc>
      </w:tr>
      <w:tr>
        <w:trPr>
          <w:trHeight w:val="230"/>
        </w:trPr>
        <w:tc>
          <w:tcPr>
            <w:tcW w:w="5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2015</w:t>
            </w:r>
          </w:p>
        </w:tc>
      </w:tr>
      <w:tr>
        <w:trPr>
          <w:trHeight w:val="27"/>
        </w:trPr>
        <w:tc>
          <w:tcPr>
            <w:tcW w:w="5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5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5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49.07%</w:t>
            </w:r>
          </w:p>
        </w:tc>
      </w:tr>
      <w:tr>
        <w:trPr>
          <w:trHeight w:val="27"/>
        </w:trPr>
        <w:tc>
          <w:tcPr>
            <w:tcW w:w="5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average term</w:t>
            </w:r>
          </w:p>
        </w:tc>
        <w:tc>
          <w:tcPr>
            <w:tcW w:w="258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0.5 years</w:t>
            </w:r>
          </w:p>
        </w:tc>
        <w:tc>
          <w:tcPr>
            <w:tcW w:w="2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0.6 years</w:t>
            </w:r>
          </w:p>
        </w:tc>
      </w:tr>
      <w:tr>
        <w:trPr>
          <w:trHeight w:val="27"/>
        </w:trPr>
        <w:tc>
          <w:tcPr>
            <w:tcW w:w="5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warrants outstanding</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Aggregate fair value of warrants outstanding</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722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883</w:t>
            </w:r>
          </w:p>
        </w:tc>
      </w:tr>
      <w:tr>
        <w:trPr>
          <w:trHeight w:val="27"/>
        </w:trPr>
        <w:tc>
          <w:tcPr>
            <w:tcW w:w="5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warrants outstanding</w:t>
            </w:r>
          </w:p>
        </w:tc>
        <w:tc>
          <w:tcPr>
            <w:tcW w:w="2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379,500</w:t>
            </w:r>
          </w:p>
        </w:tc>
      </w:tr>
      <w:tr>
        <w:trPr>
          <w:trHeight w:val="20"/>
        </w:trPr>
        <w:tc>
          <w:tcPr>
            <w:tcW w:w="57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Contingent consideration is a liability assumed by the Company from its acquisition of Arbutus Inc. in March 2015. To determine the fair value of the contingent consideration,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as in note 7. The Company revalues the contingent consideration at the end of each reporting period and records any change in value to the statement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color w:val="auto"/>
                <w:w w:val="96"/>
              </w:rPr>
              <w:t>Liability at beginning of the</w:t>
            </w:r>
          </w:p>
        </w:tc>
        <w:tc>
          <w:tcPr>
            <w:tcW w:w="320" w:type="dxa"/>
            <w:vAlign w:val="bottom"/>
          </w:tcPr>
          <w:p>
            <w:pPr>
              <w:spacing w:after="0"/>
              <w:rPr>
                <w:sz w:val="18"/>
                <w:szCs w:val="18"/>
                <w:color w:val="auto"/>
              </w:rPr>
            </w:pPr>
          </w:p>
        </w:tc>
        <w:tc>
          <w:tcPr>
            <w:tcW w:w="3000" w:type="dxa"/>
            <w:vAlign w:val="bottom"/>
          </w:tcPr>
          <w:p>
            <w:pPr>
              <w:jc w:val="right"/>
              <w:ind w:right="250"/>
              <w:spacing w:after="0"/>
              <w:rPr>
                <w:sz w:val="20"/>
                <w:szCs w:val="20"/>
                <w:color w:val="auto"/>
              </w:rPr>
            </w:pPr>
            <w:r>
              <w:rPr>
                <w:rFonts w:ascii="Arial" w:cs="Arial" w:eastAsia="Arial" w:hAnsi="Arial"/>
                <w:sz w:val="18"/>
                <w:szCs w:val="18"/>
                <w:color w:val="auto"/>
                <w:w w:val="94"/>
              </w:rPr>
              <w:t>Increase in fair value of Contingent</w:t>
            </w:r>
          </w:p>
        </w:tc>
        <w:tc>
          <w:tcPr>
            <w:tcW w:w="320" w:type="dxa"/>
            <w:vAlign w:val="bottom"/>
          </w:tcPr>
          <w:p>
            <w:pPr>
              <w:spacing w:after="0"/>
              <w:rPr>
                <w:sz w:val="18"/>
                <w:szCs w:val="18"/>
                <w:color w:val="auto"/>
              </w:rPr>
            </w:pPr>
          </w:p>
        </w:tc>
        <w:tc>
          <w:tcPr>
            <w:tcW w:w="2520" w:type="dxa"/>
            <w:vAlign w:val="bottom"/>
          </w:tcPr>
          <w:p>
            <w:pPr>
              <w:jc w:val="right"/>
              <w:ind w:right="250"/>
              <w:spacing w:after="0"/>
              <w:rPr>
                <w:sz w:val="20"/>
                <w:szCs w:val="20"/>
                <w:color w:val="auto"/>
              </w:rPr>
            </w:pPr>
            <w:r>
              <w:rPr>
                <w:rFonts w:ascii="Arial" w:cs="Arial" w:eastAsia="Arial" w:hAnsi="Arial"/>
                <w:sz w:val="18"/>
                <w:szCs w:val="18"/>
                <w:color w:val="auto"/>
                <w:w w:val="98"/>
              </w:rPr>
              <w:t>Liability at end of the period</w:t>
            </w:r>
          </w:p>
        </w:tc>
      </w:tr>
      <w:tr>
        <w:trPr>
          <w:trHeight w:val="257"/>
        </w:trPr>
        <w:tc>
          <w:tcPr>
            <w:tcW w:w="23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87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Consideration</w:t>
            </w:r>
          </w:p>
        </w:tc>
        <w:tc>
          <w:tcPr>
            <w:tcW w:w="3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r>
      <w:tr>
        <w:trPr>
          <w:trHeight w:val="222"/>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Three months ended March 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w w:val="92"/>
              </w:rPr>
              <w:t>Three months ended March 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7,497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7,741</w:t>
            </w: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3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Contingent consideration was assumed by the Company as part of its acquisition from Arbutus Inc. As such, the beginning balance for the three-months ended March 31, 2015 was the fair value as at the acquisition date of March 4, 2015. The beginning balance for the three-months ended March 31, 2016 was the fair value as at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Liability-classified stock option awards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accounts for liability-classified stock option awards ("liability options") under ASC 718 - Compensation - Stock Compensation, under which awards of options that provide for an exercise price that is not denominated in: (a) the currency of a market in which a substantial portion of the Company's equity securities trades, (b) the currency in which the employee's pay is denominated, or (c )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Liability options are re-measured to their fair values at each reporting date with changes in the fair value recognized in share-based compensation expense or additional paid-in capital until settlement or cancellation.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20"/>
          </w:cols>
          <w:pgMar w:left="240" w:top="234"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w:t>
      </w:r>
    </w:p>
    <w:p>
      <w:pPr>
        <w:spacing w:after="0" w:line="5" w:lineRule="exact"/>
        <w:rPr>
          <w:sz w:val="20"/>
          <w:szCs w:val="20"/>
          <w:color w:val="auto"/>
        </w:rPr>
      </w:pPr>
    </w:p>
    <w:p>
      <w:pPr>
        <w:ind w:firstLine="8"/>
        <w:spacing w:after="0" w:line="25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retrospectively with the cumulative effect of initially applying this ASU recognized at the date of initial application. In August 2015, the FASB issued ASU 2015-14, Revenue from Contracts with Customers (Topic 606): Deferral of the Effective Date to defer the effective date of Update 2014-9 for all entities by one year. The new guidance would be effective for fiscal years beginning after December 15, 2017, which for the Company means January 1, 2018. Entities are permitted to adopt in accordance with the original effective date if they choose. The Company has not yet determined the extent of the impact of adoption.</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March 2016, the FASB issued ASU 2016-08, Revenue from Contracts with Customers (Topic 606): Principal versus Agent Considerations, a clarification of ASU 2014-09 (see above). The amendments in this update do not change the core principle of the guidance, but are intended to improve the operability and understandability of the implementation guidance on principal versus agent considerations. Under these amendments, an entity must determine whether it is a principal or agent for each specified good or service promised to the customer, an entity must determine the nature of each specified good or service, and when another party is involved in providing goods or services to a customer, an entity that is a principal obtains control of (a) a good or another asset from the other party that it then transfers to the customer; (b) a right to a service that will be performed by another party, which gives the entity the ability to direct that party to provide the service to the customer on the entity’s behalf; or (c) a good or service from the other party that is combines with other goods or services to provide the specified good or service to the customer. The amendments in this update affect the guidance in ASU 2014-09, Revenue from Contracts with Customers (Topic 606), which is not yet effective. The effective date and transition requirements for the amendments in this update are the same as the effective date and transition requirements of Update 2014-09, which would be effective for fiscal years beginning after December 15, 2017, which for the Company means January 1, 2018. The Company has not yet determined the extent of the impact of adoption.</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2016, FASB issued ASU 2016-10, Revenue from Contracts with Customers (Topic 606): Identifying Performance Obligations and Licensing, a clarification of ASU 2014-09 (see above). The amendments in this update are expected to reduce the cost and complexity of applying the guidance on identifying promised goods or services. An entity is not required to assess whether promised goods or services are performance obligations if they are immaterial in the context of the contract with the customer. An entity is permitted, as an accounting policy election, to account for shipping and handling activities that occur after the customer has obtained control of a good as an activity to fulfill the promise to transfer the good rather than as an additional promised service. The amendments in this update are also intended to improve the operability and understandability of the licensing implementation guidance by providing clarification. An entity’s promise to grant a customer a license to intellectual property that has a significant standalone functionality does not include supporting or maintaining that intellectual property during the license period (i.e. drug formulas). In contrast, an entity’s promise to grant a customer a license to a symbolic intellectual property includes supporting or maintaining that intellectual property during the license period. Also, an entity should not split a sales-based or usage-based royalty into a portion subject to the recognition guidance on sales-based and usage-based royalties and a portion that is not subject to that guidance. The amendments in this update affect the guidance in ASU 2014-09, Revenue from Contracts with Customers (Topic 606), which is not yet effective. The effective date and transition requirements for the amendments in this update are the same as the effective date and transition requirements of Update 2014-09, which would be effective for fiscal years beginning after December 15, 2017, which for the Company means January 1, 2018. The Company has not yet determined the extent of the impact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23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The Company does not plan to early adopt this update. The extent of the impact of this adoption has not yet been determined.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the Company means January 1, 2017, and for annual periods and interim periods thereafter. Early application is permitted. The Company does not plan to early adopt this update. The extent on the impact of this adoption has not yet been determined.</w:t>
      </w:r>
    </w:p>
    <w:p>
      <w:pPr>
        <w:spacing w:after="0" w:line="18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revenue recognized under collaborations, contracts and licensing agreements,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49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Collaborations and contracts</w:t>
            </w:r>
          </w:p>
        </w:tc>
        <w:tc>
          <w:tcPr>
            <w:tcW w:w="3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DoD (a)</w:t>
            </w:r>
          </w:p>
        </w:tc>
        <w:tc>
          <w:tcPr>
            <w:tcW w:w="3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3,045</w:t>
            </w:r>
          </w:p>
        </w:tc>
      </w:tr>
      <w:tr>
        <w:trPr>
          <w:trHeight w:val="27"/>
        </w:trPr>
        <w:tc>
          <w:tcPr>
            <w:tcW w:w="49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 (b)</w:t>
            </w:r>
          </w:p>
        </w:tc>
        <w:tc>
          <w:tcPr>
            <w:tcW w:w="3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Dicerna (d)</w:t>
            </w:r>
          </w:p>
        </w:tc>
        <w:tc>
          <w:tcPr>
            <w:tcW w:w="39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9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research and development collaborations and contracts</w:t>
            </w:r>
          </w:p>
        </w:tc>
        <w:tc>
          <w:tcPr>
            <w:tcW w:w="3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Licensing fees, milestone and royalty payments</w:t>
            </w:r>
          </w:p>
        </w:tc>
        <w:tc>
          <w:tcPr>
            <w:tcW w:w="3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 licensing fees and milestone payments (b)</w:t>
            </w:r>
          </w:p>
        </w:tc>
        <w:tc>
          <w:tcPr>
            <w:tcW w:w="3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Acuitas milestone payments (c)</w:t>
            </w:r>
          </w:p>
        </w:tc>
        <w:tc>
          <w:tcPr>
            <w:tcW w:w="39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Dicerna licensing fee (d)</w:t>
            </w:r>
          </w:p>
        </w:tc>
        <w:tc>
          <w:tcPr>
            <w:tcW w:w="3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Spectrum royalty payments (e)</w:t>
            </w:r>
          </w:p>
        </w:tc>
        <w:tc>
          <w:tcPr>
            <w:tcW w:w="39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49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licensing fees, milestone and royalty payments</w:t>
            </w:r>
          </w:p>
        </w:tc>
        <w:tc>
          <w:tcPr>
            <w:tcW w:w="3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4,682</w:t>
            </w:r>
          </w:p>
        </w:tc>
      </w:tr>
      <w:tr>
        <w:trPr>
          <w:trHeight w:val="34"/>
        </w:trPr>
        <w:tc>
          <w:tcPr>
            <w:tcW w:w="49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783"/>
        </w:trPr>
        <w:tc>
          <w:tcPr>
            <w:tcW w:w="4960" w:type="dxa"/>
            <w:vAlign w:val="bottom"/>
          </w:tcPr>
          <w:p>
            <w:pPr>
              <w:spacing w:after="0"/>
              <w:rPr>
                <w:sz w:val="24"/>
                <w:szCs w:val="24"/>
                <w:color w:val="auto"/>
              </w:rPr>
            </w:pPr>
          </w:p>
        </w:tc>
        <w:tc>
          <w:tcPr>
            <w:tcW w:w="3960" w:type="dxa"/>
            <w:vAlign w:val="bottom"/>
          </w:tcPr>
          <w:p>
            <w:pPr>
              <w:jc w:val="right"/>
              <w:ind w:right="2930"/>
              <w:spacing w:after="0"/>
              <w:rPr>
                <w:sz w:val="20"/>
                <w:szCs w:val="20"/>
                <w:color w:val="auto"/>
              </w:rPr>
            </w:pPr>
            <w:r>
              <w:rPr>
                <w:rFonts w:ascii="Arial" w:cs="Arial" w:eastAsia="Arial" w:hAnsi="Arial"/>
                <w:sz w:val="18"/>
                <w:szCs w:val="18"/>
                <w:color w:val="auto"/>
              </w:rPr>
              <w:t>F- 10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35"/>
        </w:trPr>
        <w:tc>
          <w:tcPr>
            <w:tcW w:w="69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22"/>
        </w:trPr>
        <w:tc>
          <w:tcPr>
            <w:tcW w:w="6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6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6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DoD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Dicerna current portion (d)</w:t>
            </w:r>
          </w:p>
        </w:tc>
        <w:tc>
          <w:tcPr>
            <w:tcW w:w="15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909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6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portion</w:t>
            </w: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Dicerna long-term portion (d)</w:t>
            </w:r>
          </w:p>
        </w:tc>
        <w:tc>
          <w:tcPr>
            <w:tcW w:w="15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6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69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Contract with United States Government’s Department of Defense (“DoD”) to develop TKM-Ebola</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July 14, 2010, the Company signed a contract with the DoD to advance TKM-Ebola, an RNAi therapeutic utilizing the Company’s lipid nanoparticle technology to treat Ebola virus infection.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was completed in November 2015. The Company is currently conducting contract close out procedures with the DoD.</w:t>
      </w:r>
    </w:p>
    <w:p>
      <w:pPr>
        <w:spacing w:after="0" w:line="18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Option and Services Agreements with Monsanto Company (“Monsanto”)</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January 13, 2014, the Company and Monsanto signed an Option Agreement and a Services Agreement (together, the “Agreements”). Under the Agreements, Monsanto had an option to obtain a license to use the Company’s proprietary delivery technology and related intellectual property for use in agriculture.</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Under the Agreements, the Company established a wholly-owned subsidiary, PADCo. The Company determined that PADCo was a variable interest entity (“VIE”); however, Monsanto is the primary beneficiary of the arrangement. PADCo was established to perform research and development activities, which were funded by Monsanto in return for a call option to acquire the equity or all of the assets of PADCo. On March 4, 2016, Monsanto exercised its option to acquire 100% of the outstanding shares of PADCo and paid the Company an option exercise fee of $1,000,000. From the acquisition of PADCo, Monsanto received a worldwide, exclusive right to use the Company’s proprietary delivery technology in the field of agriculture. The Company recorded the exercise fee received as gain on disposition of financial instrument on its consolidated statement of operations and comprehensive loss for the three months ended March 31, 2016.</w:t>
      </w:r>
    </w:p>
    <w:p>
      <w:pPr>
        <w:spacing w:after="0" w:line="185" w:lineRule="exact"/>
        <w:rPr>
          <w:sz w:val="20"/>
          <w:szCs w:val="20"/>
          <w:color w:val="auto"/>
        </w:rPr>
      </w:pPr>
    </w:p>
    <w:p>
      <w:pPr>
        <w:ind w:left="60" w:firstLine="2"/>
        <w:spacing w:after="0" w:line="282" w:lineRule="auto"/>
        <w:tabs>
          <w:tab w:leader="none" w:pos="66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with Alnylam Pharmaceuticals, Inc. (“Alnylam”) and Acuitas Therapeutics Inc. (“Acuitas”, formerly AlCana Technologies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Alnylam and Ascletis Pharmaceuticals (Hangzhou) Co. Ltd. (“Ascletis”)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and Alnylam have now completed arbitration proceedings as provided for under the agreement. In a two to one decision, the arbitrators found that the milestone is not payable by Alnylam at this time.</w:t>
      </w:r>
    </w:p>
    <w:p>
      <w:pPr>
        <w:spacing w:after="0" w:line="16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Development and Supply Agreement with Dicerna Pharmaceuticals, Inc. (“Dicerna”)</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F- 11</w:t>
      </w:r>
    </w:p>
    <w:p>
      <w:pPr>
        <w:sectPr>
          <w:pgSz w:w="11900" w:h="16838" w:orient="portrait"/>
          <w:cols w:equalWidth="0" w:num="1">
            <w:col w:w="11420"/>
          </w:cols>
          <w:pgMar w:left="240" w:top="23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determined the deliverables under the Agreements included the rights granted, participation in the joint development committee, materials manufactured and other services provided, as directed under the joint development 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which the Company has estimated to be approximately 28 months as at March 31, 2016, that is, completion is expected to occur in March 2017.</w:t>
      </w:r>
    </w:p>
    <w:p>
      <w:pPr>
        <w:spacing w:after="0" w:line="17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w:t>
      </w:r>
    </w:p>
    <w:p>
      <w:pPr>
        <w:spacing w:after="0" w:line="1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Manufacturing work orders are invoiced at the time of execution of the work order, at the initiation of manufacture, and at the release of materials. The Company has deferred the recognition of revenue on all cash deposit payments received for manufacturing work orders until acceptance of inventory. Revenue from service work orders is recognized as the services are performed.</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162"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with Spectrum Pharmaceuticals, Inc. (“Spectrum”)</w:t>
      </w:r>
    </w:p>
    <w:p>
      <w:pPr>
        <w:spacing w:after="0" w:line="229"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Arial" w:cs="Arial" w:eastAsia="Arial" w:hAnsi="Arial"/>
          <w:sz w:val="14"/>
          <w:szCs w:val="14"/>
          <w:color w:val="auto"/>
        </w:rPr>
        <w:t>™</w:t>
      </w:r>
      <w:r>
        <w:rPr>
          <w:rFonts w:ascii="Arial" w:cs="Arial" w:eastAsia="Arial" w:hAnsi="Arial"/>
          <w:sz w:val="18"/>
          <w:szCs w:val="18"/>
          <w:color w:val="auto"/>
        </w:rPr>
        <w:t xml:space="preserve"> (Optisomal Vinorelbine) and Brakiva </w:t>
      </w:r>
      <w:r>
        <w:rPr>
          <w:rFonts w:ascii="Arial" w:cs="Arial" w:eastAsia="Arial" w:hAnsi="Arial"/>
          <w:sz w:val="14"/>
          <w:szCs w:val="14"/>
          <w:color w:val="auto"/>
        </w:rPr>
        <w:t>™</w:t>
      </w:r>
      <w:r>
        <w:rPr>
          <w:rFonts w:ascii="Arial" w:cs="Arial" w:eastAsia="Arial" w:hAnsi="Arial"/>
          <w:sz w:val="18"/>
          <w:szCs w:val="18"/>
          <w:color w:val="auto"/>
        </w:rPr>
        <w:t xml:space="preserve"> (Optisomal Topotecan).</w:t>
      </w:r>
    </w:p>
    <w:p>
      <w:pPr>
        <w:spacing w:after="0" w:line="1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Talon was acquired by Spectrum in July 2013. The acquisition does not affect the terms of the license between Talon and the Company. On September 3, 2013, Spectrum announced that they had shipped the first commercial orders of Marqibo. For the three months ended March 31, 2016, the Company recorded $28,000 in Marqibo royalty revenue (three months ended March 31, 2015 -$57,000). For the three months ended March 31, 2016, the Company accrued 2.5% in royalties due to TPC in respect of the Marqibo royalty earned by the Company – see note 7, contingencies and commitments.</w:t>
      </w:r>
    </w:p>
    <w:p>
      <w:pPr>
        <w:spacing w:after="0" w:line="150"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is comprised of the following, in thousands: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00"/>
          </w:cols>
          <w:pgMar w:left="240" w:top="23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9"/>
              </w:rPr>
              <w:t>December 31,</w:t>
            </w:r>
          </w:p>
        </w:tc>
      </w:tr>
      <w:tr>
        <w:trPr>
          <w:trHeight w:val="230"/>
        </w:trPr>
        <w:tc>
          <w:tcPr>
            <w:tcW w:w="2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5480" w:type="dxa"/>
            <w:vAlign w:val="bottom"/>
            <w:tcBorders>
              <w:bottom w:val="single" w:sz="8" w:color="auto"/>
            </w:tcBorders>
            <w:gridSpan w:val="2"/>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accruals</w:t>
            </w:r>
          </w:p>
        </w:tc>
        <w:tc>
          <w:tcPr>
            <w:tcW w:w="30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2,358</w:t>
            </w:r>
          </w:p>
        </w:tc>
      </w:tr>
      <w:tr>
        <w:trPr>
          <w:trHeight w:val="27"/>
        </w:trPr>
        <w:tc>
          <w:tcPr>
            <w:tcW w:w="5480" w:type="dxa"/>
            <w:vAlign w:val="bottom"/>
            <w:gridSpan w:val="2"/>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 fee accruals</w:t>
            </w:r>
          </w:p>
        </w:tc>
        <w:tc>
          <w:tcPr>
            <w:tcW w:w="3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Professional fee accruals</w:t>
            </w:r>
          </w:p>
        </w:tc>
        <w:tc>
          <w:tcPr>
            <w:tcW w:w="30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5480" w:type="dxa"/>
            <w:vAlign w:val="bottom"/>
            <w:gridSpan w:val="2"/>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lease inducements</w:t>
            </w:r>
          </w:p>
        </w:tc>
        <w:tc>
          <w:tcPr>
            <w:tcW w:w="3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Payroll accruals</w:t>
            </w:r>
          </w:p>
        </w:tc>
        <w:tc>
          <w:tcPr>
            <w:tcW w:w="30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2,331</w:t>
            </w:r>
          </w:p>
        </w:tc>
      </w:tr>
      <w:tr>
        <w:trPr>
          <w:trHeight w:val="27"/>
        </w:trPr>
        <w:tc>
          <w:tcPr>
            <w:tcW w:w="5480" w:type="dxa"/>
            <w:vAlign w:val="bottom"/>
            <w:gridSpan w:val="2"/>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37"/>
        </w:trPr>
        <w:tc>
          <w:tcPr>
            <w:tcW w:w="280" w:type="dxa"/>
            <w:vAlign w:val="bottom"/>
            <w:tcBorders>
              <w:top w:val="single" w:sz="8" w:color="auto"/>
            </w:tcBorders>
          </w:tcPr>
          <w:p>
            <w:pPr>
              <w:spacing w:after="0"/>
              <w:rPr>
                <w:sz w:val="20"/>
                <w:szCs w:val="20"/>
                <w:color w:val="auto"/>
              </w:rPr>
            </w:pPr>
          </w:p>
        </w:tc>
        <w:tc>
          <w:tcPr>
            <w:tcW w:w="520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7,711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r>
      <w:tr>
        <w:trPr>
          <w:trHeight w:val="27"/>
        </w:trPr>
        <w:tc>
          <w:tcPr>
            <w:tcW w:w="28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26"/>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Share Capital</w:t>
            </w:r>
          </w:p>
        </w:tc>
        <w:tc>
          <w:tcPr>
            <w:tcW w:w="3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80" w:hanging="472"/>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25, 2015, the Company announced that it had completed an underwritten public offering of 7,500,000 common shares, at a price of $20.25 per share, representing gross proceeds of $151,875,000. The Company also granted the underwriters a 30 day option to purchase an additional 1,125,000 shares for an additional $22,781,000 to cover any over-allotments. The underwriters did not exercise the option. The cost of financing, including commissions and professional fees, was $9,700,000, resulting in net proceeds of $142,175,000.</w:t>
      </w:r>
    </w:p>
    <w:p>
      <w:pPr>
        <w:spacing w:after="0" w:line="183" w:lineRule="exact"/>
        <w:rPr>
          <w:sz w:val="20"/>
          <w:szCs w:val="20"/>
          <w:color w:val="auto"/>
        </w:rPr>
      </w:pPr>
    </w:p>
    <w:p>
      <w:pPr>
        <w:ind w:right="8460" w:firstLine="8"/>
        <w:spacing w:after="0" w:line="503" w:lineRule="auto"/>
        <w:tabs>
          <w:tab w:leader="none" w:pos="49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Liability-classified stock options Valuation assumptions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Liability options are re-measured to their fair values at each reporting date, using the Black-Scholes valuation model. The methodology and assumptions prevailing at the re-measurement date used to estimate the fair values of liability options remain unchanged from the date of grant of equity classified stock option awards. Assumptions about the Company’s expected stock-price volatility are based on the historical volatility of the Company’s publicly traded stock. The risk-free interest rate used for each grant is equal to the zero coupon rate for instruments with a similar expected life. Expected life assumptions are based on the Company’s historical data. The weighted average Black-Scholes option-pricing assumptions and the resultant fair values as at the reclassification date of January 1, 2016, and as at March 31, 2016,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03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January 1,</w:t>
            </w:r>
          </w:p>
        </w:tc>
      </w:tr>
      <w:tr>
        <w:trPr>
          <w:trHeight w:val="270"/>
        </w:trPr>
        <w:tc>
          <w:tcPr>
            <w:tcW w:w="62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6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96.84%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97.78%</w:t>
            </w:r>
          </w:p>
        </w:tc>
      </w:tr>
      <w:tr>
        <w:trPr>
          <w:trHeight w:val="27"/>
        </w:trPr>
        <w:tc>
          <w:tcPr>
            <w:tcW w:w="6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Expected average term (years)</w:t>
            </w:r>
          </w:p>
        </w:tc>
        <w:tc>
          <w:tcPr>
            <w:tcW w:w="2200" w:type="dxa"/>
            <w:vAlign w:val="bottom"/>
          </w:tcPr>
          <w:p>
            <w:pPr>
              <w:spacing w:after="0"/>
              <w:rPr>
                <w:sz w:val="21"/>
                <w:szCs w:val="21"/>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b w:val="1"/>
                <w:bCs w:val="1"/>
                <w:color w:val="auto"/>
              </w:rPr>
              <w:t>5.2 years</w:t>
            </w:r>
          </w:p>
        </w:tc>
        <w:tc>
          <w:tcPr>
            <w:tcW w:w="24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5.3 years</w:t>
            </w:r>
          </w:p>
        </w:tc>
      </w:tr>
      <w:tr>
        <w:trPr>
          <w:trHeight w:val="27"/>
        </w:trPr>
        <w:tc>
          <w:tcPr>
            <w:tcW w:w="6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outstanding</w:t>
            </w: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Aggregate fair value of options outstanding (in thousands)</w:t>
            </w:r>
          </w:p>
        </w:tc>
        <w:tc>
          <w:tcPr>
            <w:tcW w:w="2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7"/>
        </w:trPr>
        <w:tc>
          <w:tcPr>
            <w:tcW w:w="6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options outstanding</w:t>
            </w:r>
          </w:p>
        </w:tc>
        <w:tc>
          <w:tcPr>
            <w:tcW w:w="2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694,500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718,333</w:t>
            </w:r>
          </w:p>
        </w:tc>
      </w:tr>
      <w:tr>
        <w:trPr>
          <w:trHeight w:val="20"/>
        </w:trPr>
        <w:tc>
          <w:tcPr>
            <w:tcW w:w="620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86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 for liability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Weighted</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Aggregate</w:t>
            </w:r>
          </w:p>
        </w:tc>
      </w:tr>
      <w:tr>
        <w:trPr>
          <w:trHeight w:val="216"/>
        </w:trPr>
        <w:tc>
          <w:tcPr>
            <w:tcW w:w="4200" w:type="dxa"/>
            <w:vAlign w:val="bottom"/>
          </w:tcPr>
          <w:p>
            <w:pPr>
              <w:spacing w:after="0"/>
              <w:rPr>
                <w:sz w:val="18"/>
                <w:szCs w:val="18"/>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optioned</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average exercise</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average exercise</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intrinsic</w:t>
            </w:r>
          </w:p>
        </w:tc>
      </w:tr>
      <w:tr>
        <w:trPr>
          <w:trHeight w:val="230"/>
        </w:trPr>
        <w:tc>
          <w:tcPr>
            <w:tcW w:w="4200" w:type="dxa"/>
            <w:vAlign w:val="bottom"/>
          </w:tcPr>
          <w:p>
            <w:pPr>
              <w:spacing w:after="0"/>
              <w:rPr>
                <w:sz w:val="20"/>
                <w:szCs w:val="20"/>
                <w:color w:val="auto"/>
              </w:rPr>
            </w:pPr>
          </w:p>
        </w:tc>
        <w:tc>
          <w:tcPr>
            <w:tcW w:w="2800" w:type="dxa"/>
            <w:vAlign w:val="bottom"/>
            <w:gridSpan w:val="2"/>
          </w:tcPr>
          <w:p>
            <w:pPr>
              <w:jc w:val="right"/>
              <w:ind w:right="26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price (C$)</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price (US$)</w:t>
            </w:r>
          </w:p>
        </w:tc>
        <w:tc>
          <w:tcPr>
            <w:tcW w:w="3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value (US$)</w:t>
            </w: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2016</w:t>
            </w:r>
          </w:p>
        </w:tc>
        <w:tc>
          <w:tcPr>
            <w:tcW w:w="2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718,333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Options forfeited, canceled or expired</w:t>
            </w:r>
          </w:p>
        </w:tc>
        <w:tc>
          <w:tcPr>
            <w:tcW w:w="2660" w:type="dxa"/>
            <w:vAlign w:val="bottom"/>
          </w:tcPr>
          <w:p>
            <w:pPr>
              <w:jc w:val="right"/>
              <w:spacing w:after="0"/>
              <w:rPr>
                <w:sz w:val="20"/>
                <w:szCs w:val="20"/>
                <w:color w:val="auto"/>
              </w:rPr>
            </w:pPr>
            <w:r>
              <w:rPr>
                <w:rFonts w:ascii="Arial" w:cs="Arial" w:eastAsia="Arial" w:hAnsi="Arial"/>
                <w:sz w:val="18"/>
                <w:szCs w:val="18"/>
                <w:color w:val="auto"/>
              </w:rPr>
              <w:t>(23,833)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2016</w:t>
            </w:r>
          </w:p>
        </w:tc>
        <w:tc>
          <w:tcPr>
            <w:tcW w:w="2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694,500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0"/>
        </w:trPr>
        <w:tc>
          <w:tcPr>
            <w:tcW w:w="42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Liability options expire at various dates from August 2, 2016 to May 22,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pertaining to liability options outstanding at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238125</wp:posOffset>
            </wp:positionV>
            <wp:extent cx="7203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7"/>
          </w:tcPr>
          <w:p>
            <w:pPr>
              <w:ind w:left="840"/>
              <w:spacing w:after="0"/>
              <w:rPr>
                <w:sz w:val="20"/>
                <w:szCs w:val="20"/>
                <w:color w:val="auto"/>
              </w:rPr>
            </w:pPr>
            <w:r>
              <w:rPr>
                <w:rFonts w:ascii="Arial" w:cs="Arial" w:eastAsia="Arial" w:hAnsi="Arial"/>
                <w:sz w:val="16"/>
                <w:szCs w:val="16"/>
                <w:color w:val="auto"/>
              </w:rPr>
              <w:t>Options outstanding March 31, 2016</w:t>
            </w:r>
          </w:p>
        </w:tc>
        <w:tc>
          <w:tcPr>
            <w:tcW w:w="2700" w:type="dxa"/>
            <w:vAlign w:val="bottom"/>
            <w:gridSpan w:val="4"/>
          </w:tcPr>
          <w:p>
            <w:pPr>
              <w:jc w:val="right"/>
              <w:ind w:right="79"/>
              <w:spacing w:after="0"/>
              <w:rPr>
                <w:sz w:val="20"/>
                <w:szCs w:val="20"/>
                <w:color w:val="auto"/>
              </w:rPr>
            </w:pPr>
            <w:r>
              <w:rPr>
                <w:rFonts w:ascii="Arial" w:cs="Arial" w:eastAsia="Arial" w:hAnsi="Arial"/>
                <w:sz w:val="16"/>
                <w:szCs w:val="16"/>
                <w:color w:val="auto"/>
                <w:w w:val="98"/>
              </w:rPr>
              <w:t>Options exercisable March 31, 2016</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Weighted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average</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Weighted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Weighted</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Number</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remaining</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Number</w:t>
            </w: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average</w:t>
            </w:r>
          </w:p>
        </w:tc>
      </w:tr>
      <w:tr>
        <w:trPr>
          <w:trHeight w:val="203"/>
        </w:trPr>
        <w:tc>
          <w:tcPr>
            <w:tcW w:w="1700" w:type="dxa"/>
            <w:vAlign w:val="bottom"/>
            <w:gridSpan w:val="3"/>
          </w:tcPr>
          <w:p>
            <w:pPr>
              <w:ind w:left="20"/>
              <w:spacing w:after="0"/>
              <w:rPr>
                <w:sz w:val="20"/>
                <w:szCs w:val="20"/>
                <w:color w:val="auto"/>
              </w:rPr>
            </w:pPr>
            <w:r>
              <w:rPr>
                <w:rFonts w:ascii="Arial" w:cs="Arial" w:eastAsia="Arial" w:hAnsi="Arial"/>
                <w:sz w:val="16"/>
                <w:szCs w:val="16"/>
                <w:color w:val="auto"/>
              </w:rPr>
              <w:t>Range of</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of options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contractual</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exercise</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of options</w:t>
            </w: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exercise</w:t>
            </w:r>
          </w:p>
        </w:tc>
      </w:tr>
      <w:tr>
        <w:trPr>
          <w:trHeight w:val="206"/>
        </w:trPr>
        <w:tc>
          <w:tcPr>
            <w:tcW w:w="1700" w:type="dxa"/>
            <w:vAlign w:val="bottom"/>
            <w:gridSpan w:val="3"/>
          </w:tcPr>
          <w:p>
            <w:pPr>
              <w:ind w:left="20"/>
              <w:spacing w:after="0"/>
              <w:rPr>
                <w:sz w:val="20"/>
                <w:szCs w:val="20"/>
                <w:color w:val="auto"/>
              </w:rPr>
            </w:pPr>
            <w:r>
              <w:rPr>
                <w:rFonts w:ascii="Arial" w:cs="Arial" w:eastAsia="Arial" w:hAnsi="Arial"/>
                <w:sz w:val="16"/>
                <w:szCs w:val="16"/>
                <w:color w:val="auto"/>
              </w:rPr>
              <w:t>Exercise prices (US$)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outstanding</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life (years)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price (US$)</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exercisable</w:t>
            </w: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price (US$)</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r>
      <w:tr>
        <w:trPr>
          <w:trHeight w:val="243"/>
        </w:trPr>
        <w:tc>
          <w:tcPr>
            <w:tcW w:w="1160" w:type="dxa"/>
            <w:vAlign w:val="bottom"/>
          </w:tcPr>
          <w:p>
            <w:pPr>
              <w:ind w:lef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2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2.95</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r>
      <w:tr>
        <w:trPr>
          <w:trHeight w:val="243"/>
        </w:trPr>
        <w:tc>
          <w:tcPr>
            <w:tcW w:w="1160" w:type="dxa"/>
            <w:vAlign w:val="bottom"/>
          </w:tcPr>
          <w:p>
            <w:pPr>
              <w:ind w:left="20"/>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20"/>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95,000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66,875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5.98</w:t>
            </w: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w:t>
            </w:r>
          </w:p>
        </w:tc>
      </w:tr>
      <w:tr>
        <w:trPr>
          <w:trHeight w:val="243"/>
        </w:trPr>
        <w:tc>
          <w:tcPr>
            <w:tcW w:w="1160" w:type="dxa"/>
            <w:vAlign w:val="bottom"/>
          </w:tcPr>
          <w:p>
            <w:pPr>
              <w:ind w:left="20"/>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Pr>
          <w:p>
            <w:pPr>
              <w:ind w:left="20"/>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105,500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71,481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11.74</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w:t>
            </w: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694,500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597,177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r>
      <w:tr>
        <w:trPr>
          <w:trHeight w:val="27"/>
        </w:trPr>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March 31, 2016, there were 597,177 liability options exercisable with a weighted average exercise price of $5.14 (C$6.67). The weighted average remaining contractual life of exercisable liability options as at March 31, 2016 was 5.8 years. The aggregate intrinsic value of in-the-money liability options exercisable at March 31, 2016 was $438,000.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non-vested liability stock option activity and related information at March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238125</wp:posOffset>
            </wp:positionV>
            <wp:extent cx="7203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Number of</w:t>
            </w:r>
          </w:p>
        </w:tc>
      </w:tr>
      <w:tr>
        <w:trPr>
          <w:trHeight w:val="216"/>
        </w:trPr>
        <w:tc>
          <w:tcPr>
            <w:tcW w:w="5380" w:type="dxa"/>
            <w:vAlign w:val="bottom"/>
          </w:tcPr>
          <w:p>
            <w:pPr>
              <w:spacing w:after="0"/>
              <w:rPr>
                <w:sz w:val="18"/>
                <w:szCs w:val="18"/>
                <w:color w:val="auto"/>
              </w:rPr>
            </w:pP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optioned</w:t>
            </w:r>
          </w:p>
        </w:tc>
      </w:tr>
      <w:tr>
        <w:trPr>
          <w:trHeight w:val="230"/>
        </w:trPr>
        <w:tc>
          <w:tcPr>
            <w:tcW w:w="5380" w:type="dxa"/>
            <w:vAlign w:val="bottom"/>
          </w:tcPr>
          <w:p>
            <w:pPr>
              <w:spacing w:after="0"/>
              <w:rPr>
                <w:sz w:val="20"/>
                <w:szCs w:val="20"/>
                <w:color w:val="auto"/>
              </w:rPr>
            </w:pP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common shares</w:t>
            </w:r>
          </w:p>
        </w:tc>
      </w:tr>
      <w:tr>
        <w:trPr>
          <w:trHeight w:val="27"/>
        </w:trPr>
        <w:tc>
          <w:tcPr>
            <w:tcW w:w="53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Non-vested at January 1, 2016</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134,000</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Options vested</w:t>
            </w:r>
          </w:p>
        </w:tc>
        <w:tc>
          <w:tcPr>
            <w:tcW w:w="4400" w:type="dxa"/>
            <w:vAlign w:val="bottom"/>
          </w:tcPr>
          <w:p>
            <w:pPr>
              <w:jc w:val="right"/>
              <w:spacing w:after="0"/>
              <w:rPr>
                <w:sz w:val="20"/>
                <w:szCs w:val="20"/>
                <w:color w:val="auto"/>
              </w:rPr>
            </w:pPr>
            <w:r>
              <w:rPr>
                <w:rFonts w:ascii="Arial" w:cs="Arial" w:eastAsia="Arial" w:hAnsi="Arial"/>
                <w:sz w:val="18"/>
                <w:szCs w:val="18"/>
                <w:color w:val="auto"/>
              </w:rPr>
              <w:t>(36,677)</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Non-vested options forfeited</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Non-vested at March 31, 2016</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97,323</w:t>
            </w:r>
          </w:p>
        </w:tc>
      </w:tr>
      <w:tr>
        <w:trPr>
          <w:trHeight w:val="34"/>
        </w:trPr>
        <w:tc>
          <w:tcPr>
            <w:tcW w:w="53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-368300</wp:posOffset>
            </wp:positionV>
            <wp:extent cx="720344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-719455</wp:posOffset>
            </wp:positionV>
            <wp:extent cx="720344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Weighted</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average</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fair value (US$)</w:t>
      </w:r>
    </w:p>
    <w:p>
      <w:pPr>
        <w:spacing w:after="0" w:line="62" w:lineRule="exact"/>
        <w:rPr>
          <w:sz w:val="20"/>
          <w:szCs w:val="20"/>
          <w:color w:val="auto"/>
        </w:rPr>
      </w:pPr>
    </w:p>
    <w:p>
      <w:pPr>
        <w:ind w:left="1020" w:hanging="1019"/>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3.61</w:t>
      </w:r>
    </w:p>
    <w:p>
      <w:pPr>
        <w:spacing w:after="0" w:line="86"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3.29</w:t>
      </w:r>
    </w:p>
    <w:p>
      <w:pPr>
        <w:spacing w:after="0" w:line="86"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1020" w:hanging="1019"/>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9347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9820" w:space="120"/>
            <w:col w:w="1480"/>
          </w:cols>
          <w:pgMar w:left="240" w:top="234" w:right="239" w:bottom="1440" w:gutter="0" w:footer="0" w:header="0"/>
          <w:type w:val="continuous"/>
        </w:sectPr>
      </w:pPr>
    </w:p>
    <w:p>
      <w:pPr>
        <w:spacing w:after="0" w:line="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weighted average remaining contractual life for liability options expected to vest at March 31, 2016 was 7.7 years and the weighted average exercise price for these options was $8.48 (C$11.01)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liability options that vested during the three months ended March 31, 2016 was $200,000.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23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at March 31, 2016 was the accounts receivable balance of $340,000 (December 31, 2015 -$1,008,000).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as at March 31, 2016 and at December 31, 2015.</w:t>
      </w:r>
    </w:p>
    <w:p>
      <w:pPr>
        <w:spacing w:after="0" w:line="221"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(C$9,323,000). As at March 31, 2016, a cumulative contribution of $2,851,000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has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is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TPC, the Company agreed to pay 2.5% royalties on any royalties the Company receives for Marqibo. For the three months ended March 31, 2016,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earned royalties on Marqibo sales in the amount of $28,000 (three months ended March 31, 2015 – $57,000) (see note 3(e)), resulting in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recorded by the Company as royalty payable to TPC (March 31, 2015 -$1,000). The cumulative amount paid or accrued up to March 31, 2016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$12,000, resulting in the contingent amount due to TPC being $2,838,000 (C$3,686,000)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Marina Biotech, Inc. (“Marina”)</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November 29, 2012 the Company announced a worldwide, non-exclusive license to a novel RNAi payload technology called Unlocked Nucleobase Analog (“UNA”) from Marina for the development of RNAi therapeutics.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UNA technology can be used in the development of RNAi therapeutics, which treats disease by silencing specific disease causing genes. UNAs can be incorporated into RNAi drugs and have the potential to improve them by increasing their stability and reducing off-target effects.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license agreement the Company paid Marina an upfront fee of $300,000. A further license payment of $200,000 was paid in 2013 and the Company will make milestone payments of up to $3,250,000 and royalties on each product developed by the Company that uses Marina’s UNA technology. The payments to Marina are expensed to research, development, collaborations and contracts expense.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August 9, 2013, Marina’s UNA technology was acquired by Arcturus Therapeutics, Inc. (“Arcturus”) and the UNA license agreement between the Company and Marina was assigned to Arcturus. The terms of the license are otherwise unchanged. On December 22, 2014, the Company received clearance from Health Canada to conduct a Phase I Clinical Study with ARB-1467, which utilizes Arcturus’ UNA technology. The dosing of first subject in the Phase I clinical trial of ARB-1467 occurred in January 2015, which resulted in a milestone payment of $250,000 to Arcturus.</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340"/>
          </w:cols>
          <w:pgMar w:left="240" w:top="234"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as well as to Spectrum. Alnylam has in turn sublicensed back to the Company under the licensed UBC patents for discovery, development and commercialization of RNAi products. In 2009, the Company entered into a supplemental agreement with UBC, Alnylam and Acuitas, in relation to a separate research collaboration to be conducted among UBC, Alnylam and Acuitas to which the Company has license rights. The settlement agreement signed in late 2012 to resolve the litigation among the Company, Alnylam, and Acuitas, provided for the effective termination of all obligations under such supplemental agreement as between and among all litigants.</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is currently disputing UBC’s allegations, and no dates have been scheduled for this arbitration.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However, the defense of arbitration and related matters are costly and may divert the attention of the Company’s management and other resources that would otherwise be engaged in other activities. Costs related to the arbitration have been recorded by the Company as incurred.</w:t>
      </w:r>
    </w:p>
    <w:p>
      <w:pPr>
        <w:spacing w:after="0" w:line="16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first patient in Phase 1b clinical trial in HBV patients, which the Company does not expect to occur in the next twelve-month period.</w:t>
      </w:r>
    </w:p>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regulatory, development and sales milestone payments have an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Contingent consideration is recorded as a financial liability, and measured at its fair value at each reporting period with any changes in fair value from the previous reporting period recorded in the statement of operations and comprehensive loss (see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Drexel and Blumberg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20"/>
          </w:cols>
          <w:pgMar w:left="240" w:top="23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partial consideration for this license, Arbutus Inc. paid a license initiation fee of $150,000 and issued warrants to Blumberg and Drexel.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$1,000,000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NeuroVive Pharmaceutical AB (“NeuroVive”)</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OCB-30). Under this license agreement, the Company has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the Company has (1) an option to expand its exclusive license to include treatment of viral diseases other than HBV and (2) an option, exercisable upon specified conditions, to expand its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the Company has not exercised its option.</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partial consideration for this license, Arbutus Inc. paid NeuroVive a license fee of $1,000,000. In 2015, the Company decided to discontinue the OCB-30 development program based on extensive research and analysis. Otherwise, the license agreement and ongoing relationship with NeuroVive remains in full effect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00"/>
          </w:cols>
          <w:pgMar w:left="240" w:top="234"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Cytos Biotechnology Ltd (“Cytos”)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360"/>
          </w:cols>
          <w:pgMar w:left="240" w:top="234" w:right="29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Included in the total consideration transferred for the acquisition of Arbutus Inc. in March 2015 are common shares issued as replacement awards, which are subject to repurchase provisions. The total fair value of these common shares attributed to the post acquisition period is approximately $56,934,000 and is being recognized as compensation expense over the expiry period of repurchase provision rights subsequent to the acquisition date. As at March 31, 2016, the total unrecognized compensation expense related to the expiry of repurchase provisions was $33,988,000.</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April 30, 2016 and May 6, 2016, two of the four shareholders of these common shares subject to repurchase provision departed, or will depart, from the Company, resulting in accelerated expiry of the repurchase provision. These departures will trigger the recognition of an incremental compensation expense of $14,008,000 in the three months ended June 30,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2015 and our unaudited condensed consolidated financial statements for the three month period ended March 31, 2016. Our consolidated financial statements have been prepared in accordance with U.S. generally accepted accounting principles and are presented in U.S. dollars.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completion of the deliverables under the Dicerna agreements in March 2017; the research benefits of the collaboration with The Baruch S. Blumberg Institute, including expanding our HBV drug candidate pipeline through internal development, acquisitions and in-licenses; evaluating combinations of two or more drug candidates in cohorts of patients with chronic HBV infection, and using the results to adaptively design additional treatment regimens for the next cohorts; evaluating different treatment durations to determine the optimal finite duration of therapy, until we select combination therapy regimens and treatment durations to conduct Phase III clinical trials intended to ultimately support regulatory filings for marketing approval; the design of the ARB-1467 Phase II multi-dosing study, with single dose and multi-dose HBsAg reduction data expected in the second half of 2016; filing an IND (or equivalent filing) for ARB-1740 in the second half of 2016; filing an IND (or equivalent filing) for our lead cccDNA formation inhibitor in the second half of 2016; filing an IND (or equivalent filing) for AB-423 in the second half of 2016; initiating clinical development of ARB-1598 in chronically infected HBV patients in 2016; the effectiveness of surface antigen secretion inhibitors; the effectiveness of cccDNA epigenetic modifiers; identifying potent, orally active small molecule human STING agonists that possess the desired characteristics to progress into human clinical studies; using the LNP delivery technology to develop a subcutaneous version of the RNAi agent targeting hepatitis B surface antigen and possibly applying it to other RNAi products and to create opportunities for future technology license agreements; a New Drug Application filing for Alnylam's patisisiran program in 2017; low-single-digit royalty payments as Alnylam’s LNP-enabled products are commercialized; mid-single digit royalty payments based on Marqibo’s commercial sales; potential development milestones and mid-single-digit royalty payments on future DCR-PH1 sales; the belief that current legal proceedings will not have a material adverse effect on our consolidated results of operations, cash flows, or financial condition; the expected return from strategic alliances, licensing agreements, and research collaborations; our intent to retain earnings, if any, to finance the growth and development of their business and not to pay dividends or to make any other distributions in the near future; arbitration proceedings with the University of British Columbia in connection with alleged unpaid royalties; anticipated royalty receipts; statements with respect to revenue and expense fluctuation and guidance; and the quantum and timing of potential funding.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234" w:right="239" w:bottom="1440" w:gutter="0" w:footer="0" w:header="0"/>
        </w:sectPr>
      </w:pPr>
    </w:p>
    <w:bookmarkStart w:id="21" w:name="page22"/>
    <w:bookmarkEnd w:id="21"/>
    <w:p>
      <w:pPr>
        <w:jc w:val="both"/>
        <w:ind w:firstLine="324"/>
        <w:spacing w:after="0" w:line="255" w:lineRule="auto"/>
        <w:rPr>
          <w:sz w:val="20"/>
          <w:szCs w:val="20"/>
          <w:color w:val="auto"/>
        </w:rPr>
      </w:pPr>
      <w:r>
        <w:rPr>
          <w:rFonts w:ascii="Arial" w:cs="Arial" w:eastAsia="Arial" w:hAnsi="Arial"/>
          <w:sz w:val="18"/>
          <w:szCs w:val="18"/>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or other diseases; the timing and quantum of payments to be received under contracts with our partners; assumptions related to our share price volatility, expected lives of warrants and warrant issuances and/or exercises; and our financial position and its ability to execute its business strategy. While we consider these assumptions to be reasonable, these assumptions are inherently subject to significant business, economic, competitive, market and social uncertainties and contingencies.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Arbutus Biopharma Corporation ("Arbutus", the "Company", "we", "us", and "our") is a publicly traded industry-leading Hepatitis B Virus (HBV) therapeutic solutions company. HBV represents a significant unmet medical need, and given the complex biology of the disease, we believe combination therapies are the key to HBV treatment and a potential cure, and development can be accelerated when multiple components of a combination therapy regimen are controlled by the same company. We have assembled an HBV pipeline consisting of multiple drug candidates, with complementary mechanisms of action, and plan to continue to broaden our pipeline.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Focused Product Pipeline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 pipeline like our business is focused on finding a cure for chronic HBV infection, with the objective of developing a combination of products that intervene at different points in the viral life cycle and reactivating the host immune system. Given our strong scientific and research capabilities in-house, we are able to conduct preclinical combination studies to evaluate combinations of our proprietary pipeline candidates.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584"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3344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66130"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 &amp; ARB-1740)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lead RNAi HBV candidate, ARB-1467 (formerly TKM-HBV),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 In preclinical models, ARB-1467 treatment results in reductions in intrahepatic and serum HBsAg, HBV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healthy volunteer subjects were dosed up to a dose of 0.4 mg/kg but a defined maximum tolerated dose was not reached.</w:t>
      </w:r>
    </w:p>
    <w:p>
      <w:pPr>
        <w:spacing w:after="0" w:line="18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Phase II study evaluates two dose levels of ARB-1467 administered as three monthly doses in chronic HBV infected patients who are on stable background nucleot(s)ide analog therapy. Eight subjects will be enrolled in each of the two dose cohorts with six subjects receiving ARB-1467, and two receiving placebo. The ARB-1467 Phase II multi-dosing study has been initiated and single dose and multi-dose HBsAg reduction data are expected in the second half of 2016.</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are focused on development of our lead HBV product candidates, we believe in continuous innovation and will incorporate technological and product design advancements that may result in an improvement in safety and/or efficacy. An example of this is our follow-on RNAi HBV candidate, ARB-1740. ARB-1740 is more potent than ARB-1467 in preclinical studies and has the potential to be effective at lower clinical doses than ARB-1467. ARB-1740 is chemically distinct from ARB-1467 (includes different target sequences) and employs the same LNP formulation as ARB-1467. We plan to file an IND (or equivalent filing) for ARB-1740 in the second half of 2016.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144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cccDNA Formation Inhibitors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developing small molecule cccDNA formation inhibitors. The inhibition of cccDNA formation is expected to reduce the amount of cccDNA in the infected liver by blocking the formation of new cccDNA. We acquired the exclusive, worldwide rights to this program through an in-license from the Blumberg Institute. We have made significant progress with the discovery of potent and small molecule cccDNA formation inhibitors. As presented at the 2015 International Meeting on Molecular Biology of Hepatitis B Viruses in October 2015, our cccDNA formation inhibitors demonstrate synergy with approved nucleot(s)ide analogs in preclinical models, which could lead to faster declines in cccDNA levels in patients than is seen with nucleot(s)ide analogs alone. We presented preclinical combination data from our cccDNA formation inhibitor program at various scientific conferences in April 2016. We plan to file an IND (or equivalent filing) for our lead cccDNA formation inhibitor in the second half of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Protein/ Capsid Assembly Inhibitor (AB-423)</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HBV core protein, or capsid, is required for viral replication and core protein may have additional roles in cccDNA function. Current nucleot(s)side analog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iral capsid, the ability of hepatitis B virus to replicate is impaired, resulting in reduced cccDNA. We presented preclinical combination data from our lead core protein/capsid assembly inhibitor AB-423 at scientific conferences in April 2016. We plan to file an IND (or equivalent filing) for AB-423 in the second half of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TLR9 Agonist (ARB-1598)</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Immune stimulation by toll-like receptor (TLR) agonists may overcome the immunologic blocks that allow chronic HBV persistence, including direct activation of the host’s innate antiviral response. Licensed from Cytos Biotechnology Ltd., (“Cytos”), ARB-1598 (formerly CYT003) is a biological carrier which is filled with the immunostimulatory oligonucleotide called G10, a TLR-9 agonist. ARB-1598 has been shown to directly activate B cells and stimulates human plasmacytoid dendritic cells to secrete Interferon alpha, and has previously been utilized in human trials in other indications. ARB-1598 also activates other antigen presenting cells indirectly and promotes the development of TH1 type cytokine response, which is thought to be potentially beneficial in promoting anti-HBV T cell immunity. ARB-1598 is undergoing preclinical evaluation to establish its utility for HBV, and we plan to initiate clinical development of ARB-1598 in chronically infected HBV patients in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Antigen Secretion Inhibitors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developing multiple small molecule orally bioavailable inhibitors of HBV surface antigen production and secretion. By inhibiting the production and secretion of HBV surface antigen from infected cells, we expect that the immune response of patients treated with this therapy may re-engage and thereby mount a more credible response to a hepatitis B virus infection.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cccDNA Epigenetic Modifiers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cccDNA formation inhibitors, we are developing cccDNA epigenetic modifiers. By controlling cccDNA transcription, we anticipate that we may be able to inhibit the formation of new virus and sub viral particles from cccDNA. This development program, which is currently in the discovery research stage, is based on proof of concept data generated by Blumberg using known inhibitors of enzymes involved in DNA information processing.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STING Agonists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developing stimulator of interferon genes (STING) agonists. By activating interferon genes, we anticipate that the body can produce additional interferon alpha and beta, which have antiviral properties. Our development program, which is currently in the discovery research stage, is based on proof of concept data in mice generated by Blumberg which showed that STING agonists can elicit an antiviral response and inhibit HBV replication in mouse liver cells. In collaboration with Blumberg, our plan is to identify potent, orally active small molecule human STING agonists that possess the desired characteristics to progress into human clinical studies.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Our Proprietary Delivery Technology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platform called Lipid Nanoparticle (LNP). The broad applicability of this platform to RNAi development has established Arbutus as a leader in this new area of innovative medicine.</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Advancements in LNP Technology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LNP technology represents the most widely adopted delivery technology in RNAi, which has enabled several clinical trials and has been administered to hundreds of human subjects. We continue to explore opportunities to generate value from our LNP platform technology, which is well suited to deliver therapies based on RNAi, mRNA, and gene editing constructs. We have also made progress in developing a proprietary GalNAc conjugate technology to enable subcutaneous delivery of an RNAi therapeutic targeting hepatitis B surface antigen and/or other HBV targets.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Non-HBV RNAi Assets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intent is to focus our efforts on discovering, developing and commercializing a cure for patients suffering from chronic HBV infection. As such, we have suspended further development of our non-HBV assets and are exploring different strategic options to maximize the value of these assets. Additional information on these programs can be found in Part I, Item 1, “— Business-Suspended Non-HBV RNAi Assets,” of the annual report on Form 10-K, filed on March 9,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Patisiran (ALN-TTR02)</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Anlylam's patisiran (ALN-TTR02) program represents the most clinically advanced application of our LNP delivery technology, and results demonstrate that multi-dosing with our LNP has been well-tolerated with treatments out to 25 months. New Drug Application filing for Alnylam's patisisiran program is expected in 2017. We are entitled to low-single-digit royalty payments as Alnylam’s LNP-enabled products are commercialized.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Marqibo®</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States.Spectrum has ongoing trials evaluating Marqibo in three additional indications, which are: first line use in patients with Philadelphia Negative Acute Lymphoblastic Leukemia (Ph-ALL), Pediatric ALL and Non-Hodgkin’s lymphoma. We are entitled to mid-single digit royalty payments based on Marqibo’s commercial sales.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DCR-PH1</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2014, we signed a licensing and collaboration agreement with Dicerna Pharmaceuticals, Inc. to utilize our LNP delivery technology exclusively in Dicerna's primary hyperoxaluria type 1 (PH1) development program. Dicerna will use our third generation LNP technology for delivery of DCR-PH1, Dicerna's product incorporating its Dicer substrate RNA (DsiRNA) molecule, for the treatment of PH1, a rare, inherited liver disorder that often results in kidney failure and for which there are no approved therapies. In December 2015, Dicerna announced initiation of dosing in healthy volunteers with plans to initiate the Phase I clinical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trial in patients with PH1 in 2016. We are entitled to potential development milestones and mid-single-digit royalty payments on future DCR-PH1 sales.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Saint Louis University Liver Center</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2016, we signed a licensing and research collaboration agreement with the Saint Louis University Liver Center to develop Ribonuclease H (RNaseH) inhibitors. RNaseH is a component of the viral polymerase and crucial to HBV replication. We believe that an RNaseH inhibitor could complement other direct antiviral HBV products by further crippling the viral replication process, which we believe is going to be a critical component in achieving a cure for chronic HBV. This collaboration allows us to further expand our pipeline and add another program focusing on a novel aspect of the HBV viral lifecycle.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Liability-classified stock option awards valuation </w:t>
      </w:r>
      <w:r>
        <w:rPr>
          <w:rFonts w:ascii="Arial" w:cs="Arial" w:eastAsia="Arial" w:hAnsi="Arial"/>
          <w:sz w:val="18"/>
          <w:szCs w:val="18"/>
          <w:color w:val="auto"/>
        </w:rPr>
        <w:t>/ The valuation of liability-classified stock option awards is a critical accounting estimate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liabilities recorded and the many assumptions that are required to calculate the liability, resulting in the classification of our liability-classified stock option awards as level 3 financial instruments.</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account for liability-classified stock option awards ("liability options") under ASC 718 - Compensation - Stock Compensation, under which awards of options that provide for an exercise price that is not denominated in: (a) the currency of a market in which a substantial portion of the Company's equity securities trades, (b) the currency in which the employee's pay is denominated, or (c ) the Company's functional currency, are required to be classified as liabilities. Due to the change in functional currency as of January 1, 2016, certain stock option awards with exercise prices denominated in Canadian dollars changed from equity classification to liability classification. As such, the historic equity classification of these stock option awards changed to liability classification effective January 1, 2016. The change in classification resulted in reclassification of these awards from, additional paid-in capital to liability-classified options.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classify liability options in our consolidated balance sheet as liabilities and revalue them at each balance sheet date. Any change in valuation is recorded in our statement of operations as increases or decreases in share-based compensation expense or additional paid-in capital until settlement or cancellation. We use the Black-Scholes pricing model to value the options. Determining the appropriate fair-value model and calculating the fair value of liability options requires considerable judgment. A small change in the estimates used may cause a relatively large change in the estimated valuation. Due to ongoing changes in our business and general stock market conditions, we continuously assess our fair value assumptions. We adjust the estimated expected life as appropriate, based on the pattern of exercises of our stock option awards. As at the reclassification date of January 1, 2016 and the balance sheet date of March 31, 2016, for the purpose of calculating the fair value, the weighed-average expected life of outstanding was 5.3 and 5.2 years, respectively; the weighted-average risk-free interest rate was 0.86% and 0.78%, respectively; the weighted-average volatility was 97.8% and 96.8%, respectively; and the dividend yield was 0% based on no history of dividend payment by the Company. For the three month period ended March 31, 2016, we recorded a total share-based compensation expense related to the change in fair value of liability options of $498,000.</w:t>
      </w:r>
    </w:p>
    <w:p>
      <w:pPr>
        <w:spacing w:after="0" w:line="17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Share purchase warrant valuation </w:t>
      </w:r>
      <w:r>
        <w:rPr>
          <w:rFonts w:ascii="Arial" w:cs="Arial" w:eastAsia="Arial" w:hAnsi="Arial"/>
          <w:sz w:val="16"/>
          <w:szCs w:val="16"/>
          <w:color w:val="auto"/>
        </w:rPr>
        <w:t>/ The valuation of share purchase warrants is a critical accounting estimate due to the value of liabilities recorded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many assumptions that are required to calculate the liability, resulting in the classification of our warrant liability as a level 3 financial instrument.</w:t>
      </w:r>
    </w:p>
    <w:p>
      <w:pPr>
        <w:spacing w:after="0" w:line="1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classify warrants in our consolidated balance sheet as liabilities and revalue them at each balance sheet date. Any change in valuation is recorded in our statement of operations. We use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Due to ongoing changes in our business and general stock market conditions, we continuously assess our warrant fair value assumptions. We adjust the estimated expected life as appropriate, based on the pattern of exercises of our warrants. As at December 31, 2015, for the purpose of calculating the fair value, the expected life of outstanding warrants was three months for warrants expiring in June 2016, and eleven months for warrants expiring in February 2017. Based on the pattern of decreasing exercises of warrants, we increased the expected life to five and a half months for outstanding warrants expiring in June 2016 effective January 1, 2016. As at March 31, 2016, the remaining expected life is two and a half months and eight months for outstanding warrants expiring in June 2016 and February 2017, respectively. For the three month period ended March 31, 2016, we recorded a gain in earnings due to the decrease in fair value of warrant liability of $161,000.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368" w:right="23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color w:val="auto"/>
        </w:rPr>
        <w:t>There are no other changes to our critical accounting policies and estimates from those disclosed in our annual MD&amp;A contained in our 2015 Annual Report filed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a clarification of ASU 2014-09 (see above).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In August 2015, the FASB issued ASU 2015-14, Revenue from Contracts with Customers (Topic 606): Deferral of the Effective Date to defer the effective date of Update 2014-09 for all entities by one year. The new guidance would be effective for fiscal years beginning after December 15, 2017, which for us means January 1, 2018. Entities are permitted to adopt in accordance with the original effective date if they choose. We have not yet determined the extent of the impact of adoption.</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2016, the FASB issued ASU 2016-08, Revenue from Contracts with Customers (Topic 606): Principal versus Agent Considerations, a clarification of ASU 2014-09 (see above). The amendments in this update do not change the core principle of the guidance, but are intended to improve the operability and understandability of the implementation guidance on principal versus agent considerations. Under these amendments, an entity must determine whether it is a principal or agent for each specified good or service promised to the customer, an entity must determine the nature of each specified good or service, and when another party is involved in providing goods or services to a customer, an entity that is a principal obtains control of (a) a good or another asset from the other party that it then transfers to the customer; (b) a right to a service that will be performed by another party, which gives the entity the ability to direct that party to provide the service to the customer on the entity’s behalf; or (c) a good or service from the other party that is combines with other goods or services to provide the specified good or service to the customer. The amendments in this update affect the guidance in ASU 2014-09, Revenue from Contracts with Customers (Topic 606), which is not yet effective. The effective date and transition requirements for the amendments in this update are the same as the effective date and transition requirements of Update 2014-09, which would be effective for fiscal years beginning after December 15, 2017, which for the Company means January 1, 2018. The Company has not yet determined the extent of the impact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April 2016, FASB issued ASU 2016-10, Revenue from Contracts with Customers (Topic 606): Identifying Performance Obligations and Licensing, a clarification of ASU 2014-09 (see above). The amendments in this update are expected to reduce the cost and complexity of applying the guidance on identifying promised goods or services. An entity is not required to assess whether promised goods or services are performance obligations if they are immaterial in the context of the contract with the customer. An entity is permitted, as an accounting policy election, to account for shipping and handling activities that occur after the customer has obtained control of a good as an activity to fulfill the promise to transfer the good rather than as an additional promised service. The amendments in this update are also intended to improve the operability and understandability of the licensing implementation guidance by providing clarification. An entity’s promise to grant a customer a license to intellectual property that has a significant standalone functionality does not include supporting or maintaining that intellectual property during the license period (i.e. drug formulas). In contrast, an entity’s promise to grant a customer a license to a symbolic intellectual property includes supporting or maintaining that intellectual property during the license period. Also, an entity should not split a sales-based or usage-based royalty into a portion subject to the recognition guidance on sales-based and usage-based royalties and a portion that is not subject to that guidance. The amendments in this update affect the guidance in ASU 2014-09, Revenue from Contracts with Customers (Topic 606), which is not yet effective. The effective date and transition requirements for the amendments in this update are the same as the effective date and transition requirements of Update 2014-09, which would be effective for fiscal years beginning after December 15, 2017, which for the Company means January 1, 2018. The Company has not yet determined the extent of the impact of adoption.</w:t>
      </w:r>
    </w:p>
    <w:p>
      <w:pPr>
        <w:spacing w:after="0" w:line="18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The update is intended to simplify several aspects of the accounting for share-based payment transactions, including the income tax consequences, classification of awards as either equity or liabilities, and classification of the statement of cash flows. Under this update, there are five simplifications for public companies. All excess tax benefits and tax deficiencies should be recognized as income tax expense or benefit in the income statement and the tax effects of exercised or vested awards should be treated as discrete items in the reporting period in which they occur. Excess tax benefits should be classified along with other tax cash flows as an operating activity. An entity can make an entity-wide accounting policy election to either estimate the number of awards that are expected to vest (current GAAP) or account for forfeitures when they occur. Cash paid by an employee when directly withholding shares for tax withholding purposes should be classified as financing activity. The amendments in this update would be effective for annual periods beginning after December 15, 2016, which for the Company means January 1, 2017. Early application is permitted. The Company does not plan to early adopt this update. The extent of the impact of this adoption has not yet been determined.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us means January 1, 2017, and for annual periods and interim periods thereafter. Early application is permitted. We do not plan to early adopt this update. The extent of the impact of this adoption has not yet been determined.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23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 millions $ except per share data)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center"/>
              <w:ind w:right="179"/>
              <w:spacing w:after="0"/>
              <w:rPr>
                <w:sz w:val="20"/>
                <w:szCs w:val="20"/>
                <w:color w:val="auto"/>
              </w:rPr>
            </w:pPr>
            <w:r>
              <w:rPr>
                <w:rFonts w:ascii="Arial" w:cs="Arial" w:eastAsia="Arial" w:hAnsi="Arial"/>
                <w:sz w:val="16"/>
                <w:szCs w:val="16"/>
                <w:color w:val="auto"/>
                <w:w w:val="93"/>
              </w:rPr>
              <w:t>Q1</w:t>
            </w:r>
          </w:p>
        </w:tc>
        <w:tc>
          <w:tcPr>
            <w:tcW w:w="320" w:type="dxa"/>
            <w:vAlign w:val="bottom"/>
          </w:tcPr>
          <w:p>
            <w:pPr>
              <w:spacing w:after="0"/>
              <w:rPr>
                <w:sz w:val="17"/>
                <w:szCs w:val="17"/>
                <w:color w:val="auto"/>
              </w:rPr>
            </w:pPr>
          </w:p>
        </w:tc>
        <w:tc>
          <w:tcPr>
            <w:tcW w:w="860" w:type="dxa"/>
            <w:vAlign w:val="bottom"/>
          </w:tcPr>
          <w:p>
            <w:pPr>
              <w:jc w:val="center"/>
              <w:ind w:right="179"/>
              <w:spacing w:after="0"/>
              <w:rPr>
                <w:sz w:val="20"/>
                <w:szCs w:val="20"/>
                <w:color w:val="auto"/>
              </w:rPr>
            </w:pPr>
            <w:r>
              <w:rPr>
                <w:rFonts w:ascii="Arial" w:cs="Arial" w:eastAsia="Arial" w:hAnsi="Arial"/>
                <w:sz w:val="16"/>
                <w:szCs w:val="16"/>
                <w:color w:val="auto"/>
                <w:w w:val="93"/>
              </w:rPr>
              <w:t>Q4</w:t>
            </w:r>
          </w:p>
        </w:tc>
        <w:tc>
          <w:tcPr>
            <w:tcW w:w="320" w:type="dxa"/>
            <w:vAlign w:val="bottom"/>
          </w:tcPr>
          <w:p>
            <w:pPr>
              <w:spacing w:after="0"/>
              <w:rPr>
                <w:sz w:val="17"/>
                <w:szCs w:val="17"/>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color w:val="auto"/>
                <w:w w:val="93"/>
              </w:rPr>
              <w:t>Q3</w:t>
            </w:r>
          </w:p>
        </w:tc>
        <w:tc>
          <w:tcPr>
            <w:tcW w:w="300" w:type="dxa"/>
            <w:vAlign w:val="bottom"/>
          </w:tcPr>
          <w:p>
            <w:pPr>
              <w:spacing w:after="0"/>
              <w:rPr>
                <w:sz w:val="17"/>
                <w:szCs w:val="17"/>
                <w:color w:val="auto"/>
              </w:rPr>
            </w:pPr>
          </w:p>
        </w:tc>
        <w:tc>
          <w:tcPr>
            <w:tcW w:w="840" w:type="dxa"/>
            <w:vAlign w:val="bottom"/>
          </w:tcPr>
          <w:p>
            <w:pPr>
              <w:jc w:val="center"/>
              <w:ind w:right="179"/>
              <w:spacing w:after="0"/>
              <w:rPr>
                <w:sz w:val="20"/>
                <w:szCs w:val="20"/>
                <w:color w:val="auto"/>
              </w:rPr>
            </w:pPr>
            <w:r>
              <w:rPr>
                <w:rFonts w:ascii="Arial" w:cs="Arial" w:eastAsia="Arial" w:hAnsi="Arial"/>
                <w:sz w:val="16"/>
                <w:szCs w:val="16"/>
                <w:color w:val="auto"/>
                <w:w w:val="84"/>
              </w:rPr>
              <w:t>Q2</w:t>
            </w:r>
          </w:p>
        </w:tc>
        <w:tc>
          <w:tcPr>
            <w:tcW w:w="300" w:type="dxa"/>
            <w:vAlign w:val="bottom"/>
          </w:tcPr>
          <w:p>
            <w:pPr>
              <w:spacing w:after="0"/>
              <w:rPr>
                <w:sz w:val="17"/>
                <w:szCs w:val="17"/>
                <w:color w:val="auto"/>
              </w:rPr>
            </w:pPr>
          </w:p>
        </w:tc>
        <w:tc>
          <w:tcPr>
            <w:tcW w:w="820" w:type="dxa"/>
            <w:vAlign w:val="bottom"/>
          </w:tcPr>
          <w:p>
            <w:pPr>
              <w:jc w:val="center"/>
              <w:ind w:right="199"/>
              <w:spacing w:after="0"/>
              <w:rPr>
                <w:sz w:val="20"/>
                <w:szCs w:val="20"/>
                <w:color w:val="auto"/>
              </w:rPr>
            </w:pPr>
            <w:r>
              <w:rPr>
                <w:rFonts w:ascii="Arial" w:cs="Arial" w:eastAsia="Arial" w:hAnsi="Arial"/>
                <w:sz w:val="16"/>
                <w:szCs w:val="16"/>
                <w:color w:val="auto"/>
                <w:w w:val="84"/>
              </w:rPr>
              <w:t>Q1</w:t>
            </w:r>
          </w:p>
        </w:tc>
        <w:tc>
          <w:tcPr>
            <w:tcW w:w="300" w:type="dxa"/>
            <w:vAlign w:val="bottom"/>
          </w:tcPr>
          <w:p>
            <w:pPr>
              <w:spacing w:after="0"/>
              <w:rPr>
                <w:sz w:val="17"/>
                <w:szCs w:val="17"/>
                <w:color w:val="auto"/>
              </w:rPr>
            </w:pPr>
          </w:p>
        </w:tc>
        <w:tc>
          <w:tcPr>
            <w:tcW w:w="820" w:type="dxa"/>
            <w:vAlign w:val="bottom"/>
          </w:tcPr>
          <w:p>
            <w:pPr>
              <w:jc w:val="center"/>
              <w:ind w:right="179"/>
              <w:spacing w:after="0"/>
              <w:rPr>
                <w:sz w:val="20"/>
                <w:szCs w:val="20"/>
                <w:color w:val="auto"/>
              </w:rPr>
            </w:pPr>
            <w:r>
              <w:rPr>
                <w:rFonts w:ascii="Arial" w:cs="Arial" w:eastAsia="Arial" w:hAnsi="Arial"/>
                <w:sz w:val="16"/>
                <w:szCs w:val="16"/>
                <w:color w:val="auto"/>
                <w:w w:val="93"/>
              </w:rPr>
              <w:t>Q4</w:t>
            </w:r>
          </w:p>
        </w:tc>
        <w:tc>
          <w:tcPr>
            <w:tcW w:w="300" w:type="dxa"/>
            <w:vAlign w:val="bottom"/>
          </w:tcPr>
          <w:p>
            <w:pPr>
              <w:spacing w:after="0"/>
              <w:rPr>
                <w:sz w:val="17"/>
                <w:szCs w:val="17"/>
                <w:color w:val="auto"/>
              </w:rPr>
            </w:pPr>
          </w:p>
        </w:tc>
        <w:tc>
          <w:tcPr>
            <w:tcW w:w="820" w:type="dxa"/>
            <w:vAlign w:val="bottom"/>
          </w:tcPr>
          <w:p>
            <w:pPr>
              <w:jc w:val="center"/>
              <w:ind w:right="179"/>
              <w:spacing w:after="0"/>
              <w:rPr>
                <w:sz w:val="20"/>
                <w:szCs w:val="20"/>
                <w:color w:val="auto"/>
              </w:rPr>
            </w:pPr>
            <w:r>
              <w:rPr>
                <w:rFonts w:ascii="Arial" w:cs="Arial" w:eastAsia="Arial" w:hAnsi="Arial"/>
                <w:sz w:val="16"/>
                <w:szCs w:val="16"/>
                <w:color w:val="auto"/>
                <w:w w:val="93"/>
              </w:rPr>
              <w:t>Q3</w:t>
            </w:r>
          </w:p>
        </w:tc>
        <w:tc>
          <w:tcPr>
            <w:tcW w:w="300" w:type="dxa"/>
            <w:vAlign w:val="bottom"/>
          </w:tcPr>
          <w:p>
            <w:pPr>
              <w:spacing w:after="0"/>
              <w:rPr>
                <w:sz w:val="17"/>
                <w:szCs w:val="17"/>
                <w:color w:val="auto"/>
              </w:rPr>
            </w:pPr>
          </w:p>
        </w:tc>
        <w:tc>
          <w:tcPr>
            <w:tcW w:w="780" w:type="dxa"/>
            <w:vAlign w:val="bottom"/>
          </w:tcPr>
          <w:p>
            <w:pPr>
              <w:jc w:val="center"/>
              <w:ind w:right="139"/>
              <w:spacing w:after="0"/>
              <w:rPr>
                <w:sz w:val="20"/>
                <w:szCs w:val="20"/>
                <w:color w:val="auto"/>
              </w:rPr>
            </w:pPr>
            <w:r>
              <w:rPr>
                <w:rFonts w:ascii="Arial" w:cs="Arial" w:eastAsia="Arial" w:hAnsi="Arial"/>
                <w:sz w:val="16"/>
                <w:szCs w:val="16"/>
                <w:color w:val="auto"/>
                <w:w w:val="93"/>
              </w:rPr>
              <w:t>Q2</w:t>
            </w:r>
          </w:p>
        </w:tc>
      </w:tr>
      <w:tr>
        <w:trPr>
          <w:trHeight w:val="270"/>
        </w:trPr>
        <w:tc>
          <w:tcPr>
            <w:tcW w:w="2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320" w:type="dxa"/>
            <w:vAlign w:val="bottom"/>
          </w:tcPr>
          <w:p>
            <w:pPr>
              <w:spacing w:after="0"/>
              <w:rPr>
                <w:sz w:val="23"/>
                <w:szCs w:val="23"/>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2015</w:t>
            </w:r>
          </w:p>
        </w:tc>
        <w:tc>
          <w:tcPr>
            <w:tcW w:w="320" w:type="dxa"/>
            <w:vAlign w:val="bottom"/>
          </w:tcPr>
          <w:p>
            <w:pPr>
              <w:spacing w:after="0"/>
              <w:rPr>
                <w:sz w:val="23"/>
                <w:szCs w:val="23"/>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3"/>
                <w:szCs w:val="23"/>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3"/>
                <w:szCs w:val="23"/>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3"/>
                <w:szCs w:val="23"/>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3"/>
                <w:szCs w:val="23"/>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2014</w:t>
            </w:r>
          </w:p>
        </w:tc>
      </w:tr>
      <w:tr>
        <w:trPr>
          <w:trHeight w:val="47"/>
        </w:trPr>
        <w:tc>
          <w:tcPr>
            <w:tcW w:w="2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4"/>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Collaborations and contracts: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2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2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2360" w:type="dxa"/>
            <w:vAlign w:val="bottom"/>
          </w:tcPr>
          <w:p>
            <w:pPr>
              <w:ind w:left="320"/>
              <w:spacing w:after="0"/>
              <w:rPr>
                <w:sz w:val="20"/>
                <w:szCs w:val="20"/>
                <w:color w:val="auto"/>
              </w:rPr>
            </w:pPr>
            <w:r>
              <w:rPr>
                <w:rFonts w:ascii="Arial" w:cs="Arial" w:eastAsia="Arial" w:hAnsi="Arial"/>
                <w:sz w:val="16"/>
                <w:szCs w:val="16"/>
                <w:color w:val="auto"/>
              </w:rPr>
              <w:t>Monsanto</w:t>
            </w:r>
          </w:p>
        </w:tc>
        <w:tc>
          <w:tcPr>
            <w:tcW w:w="28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Dicerna</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360" w:type="dxa"/>
            <w:vAlign w:val="bottom"/>
          </w:tcPr>
          <w:p>
            <w:pPr>
              <w:ind w:left="3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Acuitas licensing payments</w:t>
            </w:r>
          </w:p>
        </w:tc>
        <w:tc>
          <w:tcPr>
            <w:tcW w:w="28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Monsanto licensing fees and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milestone payments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Dicerna licensing fee</w:t>
            </w:r>
          </w:p>
        </w:tc>
        <w:tc>
          <w:tcPr>
            <w:tcW w:w="28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Spectrum milestone and royalty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44"/>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2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0.6</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12.7</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4.6</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w:t>
            </w:r>
          </w:p>
        </w:tc>
      </w:tr>
      <w:tr>
        <w:trPr>
          <w:trHeight w:val="3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Other income (losses)</w:t>
            </w:r>
          </w:p>
        </w:tc>
        <w:tc>
          <w:tcPr>
            <w:tcW w:w="28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2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(14.8)</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(8.6)</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r>
      <w:tr>
        <w:trPr>
          <w:trHeight w:val="237"/>
        </w:trPr>
        <w:tc>
          <w:tcPr>
            <w:tcW w:w="236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8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1.0</w:t>
            </w:r>
          </w:p>
        </w:tc>
        <w:tc>
          <w:tcPr>
            <w:tcW w:w="32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15.2</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2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(14.8)</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(8.6)</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r>
      <w:tr>
        <w:trPr>
          <w:trHeight w:val="225"/>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w w:val="90"/>
              </w:rPr>
              <w:t>Basic and diluted net loss per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share</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(0.31)</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(0.10)</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(0.57)</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(0.27)</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(0.40)</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(0.27)</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(0.39)</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(0.28)</w:t>
            </w:r>
          </w:p>
        </w:tc>
      </w:tr>
      <w:tr>
        <w:trPr>
          <w:trHeight w:val="27"/>
        </w:trPr>
        <w:tc>
          <w:tcPr>
            <w:tcW w:w="2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Our revenue is derived from research and development collaborations and contracts, licensing fees, milestone and royalty payments. Over the past</w:t>
      </w:r>
      <w:r>
        <w:rPr>
          <w:rFonts w:ascii="Arial" w:cs="Arial" w:eastAsia="Arial" w:hAnsi="Arial"/>
          <w:sz w:val="18"/>
          <w:szCs w:val="18"/>
          <w:b w:val="1"/>
          <w:bCs w:val="1"/>
          <w:color w:val="auto"/>
        </w:rPr>
        <w:t xml:space="preserve"> </w:t>
      </w:r>
      <w:r>
        <w:rPr>
          <w:rFonts w:ascii="Arial" w:cs="Arial" w:eastAsia="Arial" w:hAnsi="Arial"/>
          <w:sz w:val="18"/>
          <w:szCs w:val="18"/>
          <w:color w:val="auto"/>
        </w:rPr>
        <w:t>two years, our principal source of ongoing revenue has been our contract with the DoD to advance TKM-Ebola which began in July 2010 and terminated in October 2015.</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are fully reimbursed by the DoD, and this reimbursement amount is recorded as revenue. DoD revenue from the TKM-Ebola program also compensates us for labor and overheads and provides an incentive fee. As described in our critical accounting policies in our Annual Report, we estimate the labor and overhead rates to be charged under our TKM-Ebola contract and update these rate estimates throughout the year. In Q2 2014, we earned $0.9 million in DoD revenue due to lower contract activity as our clinical trial data was with the FDA for review. DoD revenue increased in Q3 2014 with an increase in activity as we prepared a response to the FDA’s partial clinical hold on our Phase I Clinical Trial. In October 2014, the DoD exercised a contract option adding $7.0 million to the contract for the scale-up and manufacture of TKM-Ebola-Guinea, our product targeting the Ebola-Makona (formerly known as Ebola-Guinea) strain responsible for the current outbreak in West Africa. DoD revenue increased in Q4 2014 and Q1 2015 as we purchased materials and manufactured TKM-Ebola-Guinea. In Q2 2015, material purchases and subcontract work related to TKM-Ebola-Guinea were less significant. In July 2015, we announced that activities had been suspended and in Q4 2015 the DoD contract was terminated. We are currently conducting contract close out procedures with the DoD.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In January 2014, we signed an Option Agreement and a Services Agreement with Monsanto for the use of our proprietary delivery technology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in agriculture. Over the option period, which was expected to be approximately four years, Monsanto made payments to us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their option rights. In Q1 2014, we received $14.5 million of the $17.5 million near term payments, of which $4.5 million relates to research services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use of our technology. In June 2014 and October 2014, we received further payments of $1.5 million each, following the completion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program developments. In 2015, we received an additional $1.3 million related to research services. The payments were being recognized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revenue on a straight-line basis over the option period. In Q4 2015, we did not receive further payments from Monsanto for the continuance of research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activities under the arrangement. As such, we revised our estimated option period end date to December 31, 2015, resulting in the full release of Monsanto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and recognition of $11.8 million in Monsanto revenue in Q4 2015. In March 2016, Monsanto exercised its option to acquire 100%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Protiva Agricultural Development Company Inc. (PADCo), for which Monsanto paid us an exercise fee of $1.0 million in Q1 2016.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this receipt in Q1 2016 as Other Income.</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Q4 2014, we received an upfront payment of $2.5 million, which is being recognized over the period over which we provide services to Dicerna, estimated to complete in Q1 2017. In addition, we have recognized Dicerna collaboration revenue for inventory manufacture and provision of development services.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2013, we began to earn royalties from Spectrum with respect to the commercial sales of Marqibo.</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Included in “other collaborations and contract revenue” is revenue from a BMS batch formulation agreement. In August 2014, the collaboration expired and both parties’ obligations under the agreement ended. Revenue recognized in Q3 2014 relates to the release of the deferred revenue balance of $1.6 million.</w:t>
      </w:r>
    </w:p>
    <w:p>
      <w:pPr>
        <w:spacing w:after="0" w:line="12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Expenses / </w:t>
      </w:r>
      <w:r>
        <w:rPr>
          <w:rFonts w:ascii="Arial" w:cs="Arial" w:eastAsia="Arial" w:hAnsi="Arial"/>
          <w:sz w:val="18"/>
          <w:szCs w:val="18"/>
          <w:color w:val="auto"/>
        </w:rPr>
        <w:t>Expenses consist primarily of clinical and pre-clinical trial expenses, personnel expenses, consulting and third party expenses, reimbursable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expenses, consumables and materials, patent filing expenses, facilities, stock-based compensation and general corporate costs. Impairment of intangible assets is also included in operating expenses.</w:t>
      </w:r>
    </w:p>
    <w:p>
      <w:pPr>
        <w:spacing w:after="0" w:line="1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expenses have increased in the past eight quarters due to an increase in our research and development activities as we seek to move more products into the clinic. In Q2 2014, we initiated a Phase I/II Clinical Trial for TKM-PLK1 in patients with HCC. In Q4 2014, we filed a Canadian Clinical Trial Application (CTA) for ARB-1467 and received clearance to conduct a Phase I Clinical Trial, as well as initiated manufacturing of TKM-Ebola-Guinea for emergency use in West Africa. In Q1 2015, we initiated a Phase I Clinical Trial for ARB-1467 and incurred significant material costs related to the TKM-Ebola-Guinea contract with the DoD. In addition, we incurred $9.3 million in costs for professional fees related to completing the merger with Arbutus Inc. (formerly OnCore Biopharma Inc.). In Q2 2015, we incurred an incremental $2.9 million R&amp;D expenses related to our HBV programs acquired through the merger with Arbutus Inc. In Q3 2015, we incurred $5.5 million in incremental R&amp;D expenses primarily related to an increase in HBV and HCC clinical trial expenses due to an increase in patient enrollment and a ramp up in spending on other Arbutus Inc. HBV programs. In Q4 2015 and Q1 2016, we continued to incur significant R&amp;D expense related to our HBV programs.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Q3 2015, we recorded a total impairment charge of $38.0 million based on our decision to discontinue our development of cyclophilin inhibitors. The decision was based on extensive preclinical evaluations of OCB-030, and other competitive cyclophilin inhibitors, following the acquisition of Arbutus Inc., which concluded that cyclophilins do not play a meaningful role in HBV biology.</w:t>
      </w:r>
    </w:p>
    <w:p>
      <w:pPr>
        <w:spacing w:after="0" w:line="17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consist primarily of changes in the fair value of our warrant liability and foreign exchange differences.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losses increased in Q3 2014 due primarily to the increase in fair value of our warrant liability. Increases in our share price from the previous reporting date results in an increase in the fair value of our warrant liability, and vice versa. We expect to see future changes in the fair value of our warrant liability and these changes will largely depend on the change in the Company’s share price, any change in our assumed rate of share price volatility, our assumptions for the expected lives of the warrants and warrant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368" w:right="239" w:bottom="1440" w:gutter="0" w:footer="0" w:header="0"/>
        </w:sectPr>
      </w:pPr>
    </w:p>
    <w:bookmarkStart w:id="30" w:name="page31"/>
    <w:bookmarkEnd w:id="30"/>
    <w:p>
      <w:pPr>
        <w:ind w:right="120"/>
        <w:spacing w:after="0" w:line="297" w:lineRule="auto"/>
        <w:rPr>
          <w:sz w:val="20"/>
          <w:szCs w:val="20"/>
          <w:color w:val="auto"/>
        </w:rPr>
      </w:pPr>
      <w:r>
        <w:rPr>
          <w:rFonts w:ascii="Arial" w:cs="Arial" w:eastAsia="Arial" w:hAnsi="Arial"/>
          <w:sz w:val="16"/>
          <w:szCs w:val="16"/>
          <w:color w:val="auto"/>
        </w:rPr>
        <w:t>We have recorded large foreign exchange gains and losses over the past eight quarters including a gain of $11.8 million in Q3 2015. Up until December 31, 2015, our foreign exchange gains and losses largely relate to U.S. dollar cash and investment holdings and fluctuations in the U.S./Canadian dollar exchange rate. We expect to record future foreign exchange gains and losses, on conversion from the Canadian dollar, to the U.S. dollar, as the functional currency for the company has changed to the U.S. dollar effective January 1, 2016. This change in functional currency results in a smaller proportion of our cash and investments being held in a foreign currency and therefore reduces the level of gains and losses we expect to record in this respect.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Q1 2016, other income included a $1.0 million gain on disposition of financial instrument related to the option exercise fee we received from Monsanto for the acquisition of PADCo in March 2016.</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 Income tax benefit relates to the decrease in deferred tax liability associated with the impairment charge recorded on acquired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Q3 2015, we recorded $15.2 million of income tax benefit for the estimated impairment of our cyclophilin inhibitor program, OCB-030. In Q4 2015, we recorded a further $1.0 million in income tax benefit due to the revision of fair value of cyclophilins.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 </w:t>
      </w:r>
      <w:r>
        <w:rPr>
          <w:rFonts w:ascii="Arial" w:cs="Arial" w:eastAsia="Arial" w:hAnsi="Arial"/>
          <w:sz w:val="18"/>
          <w:szCs w:val="18"/>
          <w:color w:val="auto"/>
        </w:rPr>
        <w:t>Fluctuations in our net loss are explained by changes in revenue, expenses and other income (losses) as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20,580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22,688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(15,874)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8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15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 of Total</w:t>
            </w:r>
          </w:p>
        </w:tc>
        <w:tc>
          <w:tcPr>
            <w:tcW w:w="600" w:type="dxa"/>
            <w:vAlign w:val="bottom"/>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5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DoD</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3,045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Monsanto</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Dicerna</w:t>
            </w:r>
          </w:p>
        </w:tc>
        <w:tc>
          <w:tcPr>
            <w:tcW w:w="10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collaborations and contracts revenue</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3,520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Monsanto licensing fee and milestone payments</w:t>
            </w:r>
          </w:p>
        </w:tc>
        <w:tc>
          <w:tcPr>
            <w:tcW w:w="10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Acuitas milestone payment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Dicerna licensing fee</w:t>
            </w:r>
          </w:p>
        </w:tc>
        <w:tc>
          <w:tcPr>
            <w:tcW w:w="10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Spectrum milestone and royalty payments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revenue</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603</w:t>
            </w: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4,682</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contracts are covered in more detail in the overview section of this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 revenue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July 2015, we announced that Ebola related activities were being suspended and, in Q4 2015, we received formal notification from the DoD terminating the contract, subject to the completion of certain post-termination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Monsanto revenue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and September 2015, we received $1.05 million and $0.75 million for research services. We were recognizing this revenue on a straight-line basis over the option period. As we did not receive further payments from Monsanto for the continuance of research activities under the arrangement, we revised our estimated option period end date as at December 31, 2015, resulting in the full release of Monsanto deferred revenue of $11.8 million and a total of $15.0 million in Monsanto revenue for the year ended December 31, 2015. In March 2016, Monsanto exercised its option to acquire 100% of the outstanding shares of the Company's wholly-owned subsidiary, Protiva Agricultural Development Company. The Company received $1,000,000 in exercise fee, which has been recorded as other income for the three-months ended March 31,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Dicerna revenue</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for the three-months ended March 31, 2016 relates to the earned portion of the upfront payment of $2.5 million for the use of our technology, which is being recognized over the period over which we provide services to Dicerna, estimated to complete in March 2017. Collaboration revenue for the three-months ended March 31, 2016 relates to services provided to Dicerna.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revenue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revenue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uses a license to our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Total</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 of Total</w:t>
            </w:r>
          </w:p>
        </w:tc>
      </w:tr>
      <w:tr>
        <w:trPr>
          <w:trHeight w:val="27"/>
        </w:trPr>
        <w:tc>
          <w:tcPr>
            <w:tcW w:w="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development, collaborations and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2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7,219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Acquisition costs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20,580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22,688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 represents less than 1% of total</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 R&amp;D expenses increased during the three months ended March 31, 2016 as compared to the three months ended March 31, 2015 as we increased spending on ARB-1467 for which Phase II clinical trials were initiated. We also continue to incur incremental costs related to an increase in activities for the research and preclinical HBV programs we acquired from our merger with Arbutus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20"/>
          </w:cols>
          <w:pgMar w:left="240" w:top="368" w:right="239" w:bottom="1440" w:gutter="0" w:footer="0" w:header="0"/>
        </w:sectPr>
      </w:pPr>
    </w:p>
    <w:bookmarkStart w:id="32" w:name="page33"/>
    <w:bookmarkEnd w:id="32"/>
    <w:p>
      <w:pPr>
        <w:ind w:right="80"/>
        <w:spacing w:after="0" w:line="255" w:lineRule="auto"/>
        <w:rPr>
          <w:sz w:val="20"/>
          <w:szCs w:val="20"/>
          <w:color w:val="auto"/>
        </w:rPr>
      </w:pPr>
      <w:r>
        <w:rPr>
          <w:rFonts w:ascii="Arial" w:cs="Arial" w:eastAsia="Arial" w:hAnsi="Arial"/>
          <w:sz w:val="18"/>
          <w:szCs w:val="18"/>
          <w:color w:val="auto"/>
        </w:rPr>
        <w:t>R&amp;D compensation expense increased in the three months ended March 31, 2016 as compared to the three months ended March 31, 2015 due to an increase in the number of employees in support of our expanded portfolio of product candidates, as well as from our merger with Arbutus Inc. In addition, in the three months ended March 31, 2016 we incurred a total of $4.8 million, of incremental non-cash compensation expense as compared to three months ended March 31, 2015, related to the expiry of repurchase rights on shares issued as part of the consideration paid for the merger with Arbutus Inc., of which $1.2 million has been included as part of research, development, collaborations and contracts expense, and $3.6 million included as part of general and administrative expense.</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General and administrative expenses were higher in the three months ended March 31, 2016 compared to of the three months ended March 31, 2015 due largely to an increase in compensation expense linked to our increase in employee base and incremental corporate expenses to support the growth of the Company following the completion of our merger with Arbutus Inc. This includes incremental non-cash compensation expense of $3.6 million we incurred related to the expiry of repurchase rights on shares issued as part of consideration paid for the merger with Arbutus Inc. (see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three-months ended March 31, 2015, we incurred $9.3 million in costs for professional fees related to completing the merger with Arbutus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244</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Foreign exchange gains</w:t>
            </w:r>
          </w:p>
        </w:tc>
        <w:tc>
          <w:tcPr>
            <w:tcW w:w="26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2,942</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Gain on disposition of financial instrument</w:t>
            </w:r>
          </w:p>
        </w:tc>
        <w:tc>
          <w:tcPr>
            <w:tcW w:w="26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Decrease (increase) in fair value of warrant liability</w:t>
            </w:r>
          </w:p>
        </w:tc>
        <w:tc>
          <w:tcPr>
            <w:tcW w:w="26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fair value of contingent consideration</w:t>
            </w:r>
          </w:p>
        </w:tc>
        <w:tc>
          <w:tcPr>
            <w:tcW w:w="26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(244)</w:t>
            </w:r>
          </w:p>
        </w:tc>
      </w:tr>
      <w:tr>
        <w:trPr>
          <w:trHeight w:val="27"/>
        </w:trPr>
        <w:tc>
          <w:tcPr>
            <w:tcW w:w="6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26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4,103</w:t>
            </w:r>
          </w:p>
        </w:tc>
      </w:tr>
      <w:tr>
        <w:trPr>
          <w:trHeight w:val="27"/>
        </w:trPr>
        <w:tc>
          <w:tcPr>
            <w:tcW w:w="60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525"/>
        <w:spacing w:after="0"/>
        <w:rPr>
          <w:sz w:val="20"/>
          <w:szCs w:val="20"/>
          <w:color w:val="auto"/>
        </w:rPr>
      </w:pPr>
      <w:r>
        <w:rPr>
          <w:rFonts w:ascii="Arial" w:cs="Arial" w:eastAsia="Arial" w:hAnsi="Arial"/>
          <w:sz w:val="18"/>
          <w:szCs w:val="18"/>
          <w:color w:val="auto"/>
        </w:rPr>
        <w:t>2015</w:t>
      </w:r>
    </w:p>
    <w:p>
      <w:pPr>
        <w:spacing w:after="0" w:line="77" w:lineRule="exact"/>
        <w:rPr>
          <w:sz w:val="20"/>
          <w:szCs w:val="20"/>
          <w:color w:val="auto"/>
        </w:rPr>
      </w:pPr>
    </w:p>
    <w:p>
      <w:pPr>
        <w:ind w:left="1065" w:hanging="1065"/>
        <w:spacing w:after="0"/>
        <w:tabs>
          <w:tab w:leader="none" w:pos="10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202</w:t>
      </w:r>
    </w:p>
    <w:p>
      <w:pPr>
        <w:spacing w:after="0" w:line="63" w:lineRule="exact"/>
        <w:rPr>
          <w:rFonts w:ascii="Arial" w:cs="Arial" w:eastAsia="Arial" w:hAnsi="Arial"/>
          <w:sz w:val="18"/>
          <w:szCs w:val="18"/>
          <w:color w:val="auto"/>
        </w:rPr>
      </w:pPr>
    </w:p>
    <w:p>
      <w:pPr>
        <w:ind w:left="925"/>
        <w:spacing w:after="0"/>
        <w:rPr>
          <w:rFonts w:ascii="Arial" w:cs="Arial" w:eastAsia="Arial" w:hAnsi="Arial"/>
          <w:sz w:val="18"/>
          <w:szCs w:val="18"/>
          <w:color w:val="auto"/>
        </w:rPr>
      </w:pPr>
      <w:r>
        <w:rPr>
          <w:rFonts w:ascii="Arial" w:cs="Arial" w:eastAsia="Arial" w:hAnsi="Arial"/>
          <w:sz w:val="18"/>
          <w:szCs w:val="18"/>
          <w:color w:val="auto"/>
        </w:rPr>
        <w:t>7,038</w:t>
      </w:r>
    </w:p>
    <w:p>
      <w:pPr>
        <w:spacing w:after="0" w:line="63" w:lineRule="exact"/>
        <w:rPr>
          <w:rFonts w:ascii="Arial" w:cs="Arial" w:eastAsia="Arial" w:hAnsi="Arial"/>
          <w:sz w:val="18"/>
          <w:szCs w:val="18"/>
          <w:color w:val="auto"/>
        </w:rPr>
      </w:pPr>
    </w:p>
    <w:p>
      <w:pPr>
        <w:ind w:left="11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(1,223)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925" w:hanging="925"/>
        <w:spacing w:after="0"/>
        <w:tabs>
          <w:tab w:leader="none" w:pos="9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6,017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840" w:space="135"/>
            <w:col w:w="1445"/>
          </w:cols>
          <w:pgMar w:left="240" w:top="368" w:right="239" w:bottom="1440" w:gutter="0" w:footer="0" w:header="0"/>
          <w:type w:val="continuous"/>
        </w:sectPr>
      </w:pP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For the three months ended March 31, 2016, we recorded a foreign exchange gain of $2.9 million which is primarily an unrealized gain related to an appreciation in the value of our Canadian dollar funds from the previous period, when converted to our functional currency of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financial instrument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4, 2016, Monsanto exercised its option to acquire 100% of the outstanding shares of our wholly-owned subsidiary, PADCo, as described above and paid us an exercise fee of $1,000,000.</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368"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Increase in fair value of warrant liability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conjunction with equity and debt financing transactions in 2011 and an equity private placement that closed on February 29,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Generally, a decrease in our share price from the previous reporting date results in a decrease in the fair value of our warrant liability and vice versa.</w:t>
      </w:r>
    </w:p>
    <w:p>
      <w:pPr>
        <w:spacing w:after="0" w:line="23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expect to see future changes in the fair value of our warrant liability and these changes will largely depend on the change in the Company’s share price, any change in our assumed rate of share price volatility, our assumptions for the expected lives of the warrants and warrant issuances or exercises.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r>
      <w:tr>
        <w:trPr>
          <w:trHeight w:val="237"/>
        </w:trPr>
        <w:tc>
          <w:tcPr>
            <w:tcW w:w="8340" w:type="dxa"/>
            <w:vAlign w:val="bottom"/>
          </w:tcPr>
          <w:p>
            <w:pPr>
              <w:ind w:left="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37,546</w:t>
            </w:r>
          </w:p>
        </w:tc>
      </w:tr>
      <w:tr>
        <w:trPr>
          <w:trHeight w:val="243"/>
        </w:trPr>
        <w:tc>
          <w:tcPr>
            <w:tcW w:w="8340" w:type="dxa"/>
            <w:vAlign w:val="bottom"/>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142,820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Effect of foreign exchange rate changes on cash &amp;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160,089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166,779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72,187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144,772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232,276</w:t>
            </w: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March 31, 2016, we had an aggregate of approximately $182.7 million in cash and cash equivalents, short-term and long-term investments as compared to an aggregate of $191.4 million in cash and cash equivalents and short-term investments at December 31, 2015.</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For the three months ended March 31, 2016, operating activities used $11.5 million in cash as compared to $17.9 million of cash used in the three months ended March 31, 2015. The decrease in cash used from operating activities is primarily related to the significant costs incurred related to the acquisition of Arbutus Inc. in March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2016, investing activities used $13.6 million in cash as we acquired short-term investments in January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584" w:right="23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8"/>
          <w:szCs w:val="18"/>
          <w:color w:val="auto"/>
        </w:rPr>
        <w:t>On March 25, 2015, we completed an underwritten public offering of 7,500,000 common shares, at a price of $20.25 per share, representing gross proceeds of $151.9 million. The cost of financing, including commissions and professional fees, was approximately $9.7 million, which gave us net proceeds of $142.2 million. We are using these proceeds to develop and advance product candidates through clinical trials, as well as for working capital and general corporate purposes.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Cash requirements / </w:t>
      </w:r>
      <w:r>
        <w:rPr>
          <w:rFonts w:ascii="Arial" w:cs="Arial" w:eastAsia="Arial" w:hAnsi="Arial"/>
          <w:sz w:val="17"/>
          <w:szCs w:val="17"/>
          <w:color w:val="auto"/>
        </w:rPr>
        <w:t>At March 31, 2016 we held $144.8 million in cash and cash equivalents and $38.8 million in short and long-term investments.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89" w:lineRule="exact"/>
        <w:rPr>
          <w:sz w:val="20"/>
          <w:szCs w:val="20"/>
          <w:color w:val="auto"/>
        </w:rPr>
      </w:pPr>
    </w:p>
    <w:p>
      <w:pPr>
        <w:ind w:left="1360" w:hanging="54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49" w:lineRule="exact"/>
        <w:rPr>
          <w:rFonts w:ascii="Arial" w:cs="Arial" w:eastAsia="Arial" w:hAnsi="Arial"/>
          <w:sz w:val="18"/>
          <w:szCs w:val="18"/>
          <w:color w:val="auto"/>
        </w:rPr>
      </w:pPr>
    </w:p>
    <w:p>
      <w:pPr>
        <w:ind w:left="1360" w:hanging="54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earned form our current collaborative partnership and licensing agreements with Dicerna;</w:t>
      </w:r>
    </w:p>
    <w:p>
      <w:pPr>
        <w:spacing w:after="0" w:line="238" w:lineRule="exact"/>
        <w:rPr>
          <w:rFonts w:ascii="Arial" w:cs="Arial" w:eastAsia="Arial" w:hAnsi="Arial"/>
          <w:sz w:val="18"/>
          <w:szCs w:val="18"/>
          <w:color w:val="auto"/>
        </w:rPr>
      </w:pPr>
    </w:p>
    <w:p>
      <w:pPr>
        <w:ind w:left="1300" w:right="340" w:hanging="482"/>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earned from our legacy collaborative partnerships and licensing agreements, including milestone payments from Alnylam and royalties from sales of Marqibo from Spectrum;</w:t>
      </w:r>
    </w:p>
    <w:p>
      <w:pPr>
        <w:spacing w:after="0" w:line="1" w:lineRule="exact"/>
        <w:rPr>
          <w:rFonts w:ascii="Arial" w:cs="Arial" w:eastAsia="Arial" w:hAnsi="Arial"/>
          <w:sz w:val="18"/>
          <w:szCs w:val="18"/>
          <w:color w:val="auto"/>
        </w:rPr>
      </w:pPr>
    </w:p>
    <w:p>
      <w:pPr>
        <w:ind w:left="1300" w:right="860" w:hanging="482"/>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right="120" w:hanging="482"/>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 in particular for our HBV and RNAi therapeutics programs;</w:t>
      </w:r>
    </w:p>
    <w:p>
      <w:pPr>
        <w:ind w:left="1300" w:hanging="482"/>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48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right="140" w:hanging="482"/>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commitments for capital expenditures </w:t>
      </w:r>
      <w:r>
        <w:rPr>
          <w:rFonts w:ascii="Arial" w:cs="Arial" w:eastAsia="Arial" w:hAnsi="Arial"/>
          <w:sz w:val="17"/>
          <w:szCs w:val="17"/>
          <w:color w:val="auto"/>
        </w:rPr>
        <w:t>/ As at the date of this discussion we do not have any material commitments for capital expenditure.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than as disclosed elsewhere in this MD&amp;A, there have not been any material changes to our contractual obligations from those disclosed in our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operations.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00"/>
          </w:cols>
          <w:pgMar w:left="240" w:top="368" w:right="2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123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related party transactions in the periods covered by this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April 30, 2016, we had 54,625,691 common shares issued and outstanding, outstanding options to purchase an additional 3,952,513 common shares and outstanding warrants to purchase an additional 379,500 common shares.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than the discussion below, there have been no material changes in our quantitative and qualitative disclosures about market risk from those disclosed in our Annual Report on the Form 10-K for the fiscal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 sensitive assets and liabilities. In addition to our warrant liability as disclosed in our Form 10-K, our liability-classified stock option awards are sensitive to interest rate changes due to their fair values being determined using the Black-Scholes model, which uses interest rate as an input. We have estimated the effects on our liability-classified stock option awards based on a one percentage point hypothetical adverse change in interest rates as of March 31, 2016. We determined the hypothetical fair value using the same Black-Scholes model, and determined that an increase in the interest rates of one percentage point would have had an adverse change to our liability-classified stock option awards of $0.01 million as at March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 2016, our functional currency changed from the Canadian dollar to the U.S. dollar based on our analysis of changes in the primary economic environment in which we operate. We will continue to incur substantial expenses and hold cash and investment balances in Canadian dollars, and as such, will remain subject to risks associated with foreign currency fluctuations. As at March 31, 2016, an adverse change of one percentage point in the foreign currency exchange rates of Canadian to U.S. dollars would have resulted in an incremental loss of $0.5 million. We recorded foreign exchange gains of $2.9 million for the three months ended March 31, 2016.</w:t>
      </w:r>
    </w:p>
    <w:p>
      <w:pPr>
        <w:spacing w:after="0" w:line="4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March 31, 2016,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March 31, 2016,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2016 that has materially affected, or is reasonably likely to materially affect, our internal control over financial reporting.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23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Alnylam Pharmaceuticals Inc. (“Alnylam”)</w:t>
      </w:r>
    </w:p>
    <w:p>
      <w:pPr>
        <w:spacing w:after="0" w:line="12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On June 21, 2013, we transferred manufacturing process technology to Ascletis Pharmaceuticals (Hangzhou) Co., Ltd. (“Ascletis”) to enable them to produce ALN-VSP, a product candidate licensed to them by Alnylam Pharmaceuticals Inc., or Alnylam. We believed that under a licensing agreement with Alnylam, the technology transfer to Ascletis triggered a $5 million milestone obligation from Alnylam to Arbutus. However, Alnylam demanded a declaration that we had not yet met our milestone obligations. We disputed Alnylam’s position. To remedy this dispute, the parties commenced arbitration proceedings, as provided for under the agreement. In addition to seeking a declaration that we had met our obligations under the agreement, we have also stated a claim for breach of contract, breach of the implied covenant of good faith and fair dealing, and fraud. The arbitration proceeding with Alnylam has concluded resulting in no milestone payment to Arbutus.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British Columbia (“UBC”)</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(UBC). These inventions are licensed to us by UBC under a license agreement, initially entered in 1998 as amended in 2001, 2006 and 2007. We have granted sublicenses under the UBC license to Alnylam as well as to Talon. Alnylam has in turn sublicensed back to us under the licensed UBC patents for discovery, development and commercialization of RNAi products. In mid-2009, we and our subsidiary Protiva entered into a supplemental agreement with UBC, Alnylam and Acuitas Technologies, Inc., in relation to a separate research collaboration to be conducted among UBC, Alnylam and Acuitas to which we have license rights. The settlement agreement signed in late 2012 to resolve the litigation among Alnylam, Acuitas, Arbutus and Protiva provided for the effective termination of all obligations under such supplemental agreement as between and among all litigants.</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November 10, 2014, the University of British Columbia filed a demand for arbitration against us,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fiscal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00"/>
          </w:cols>
          <w:pgMar w:left="240" w:top="499" w:right="25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merger with OnCore Biopharma, Inc., we and Roivant Sciences Ltd., Patrick T. Higgins, Michael J. McElhaugh, Michael J. Sofia and Bryce A. Roberts (the “OnCore Holders”), entered into a registration rights agreement, dated as of January 11, 2015, under which we agreed, among other things, to file by the deadline stated in the registration rights agreement, a shelf registration statement under the Securities Act of 1933 to register the resale of our common shares issued in the merger to the OnCore Holders.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November 2, 2015, the parties to the registration rights agreement entered into an Amending Agreement, in connection with which our obligation to file a shelf registration statement was amended to replace the filing deadline contained in the original registration rights agreement with a requirement that we file a shelf registration statement within 30 days following a written request made by Roivant Sciences Ltd., and that we use our commercially reasonable efforts to cause that registration statement to become effective under the Securities Act of 1933 as promptly as practicable and otherwise no later than 120 days following the date that the request is received from Roivant.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hereto.</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58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4, 2016.</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TEKMIRA PHARMACEUTICALS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420"/>
          </w:cols>
          <w:pgMar w:left="240" w:top="499"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440"/>
        <w:spacing w:after="0"/>
        <w:tabs>
          <w:tab w:leader="none" w:pos="60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37" w:lineRule="exact"/>
        <w:rPr>
          <w:sz w:val="20"/>
          <w:szCs w:val="20"/>
          <w:color w:val="auto"/>
        </w:rPr>
      </w:pPr>
    </w:p>
    <w:p>
      <w:pPr>
        <w:ind w:left="1520" w:right="700" w:hanging="971"/>
        <w:spacing w:after="0" w:line="277" w:lineRule="auto"/>
        <w:tabs>
          <w:tab w:leader="none" w:pos="1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Separation of Executive Employment Agreement and Share Repurchase Agreement between Arbutus Biopharma, Inc., Arbutus Biopharma Corporation and Patrick T. Higgins, dated April 20, 2016</w:t>
      </w:r>
    </w:p>
    <w:p>
      <w:pPr>
        <w:spacing w:after="0" w:line="333"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 or 15d14 of the Securities Exchange Act of 1934, as adopted pursuant to Section 302 of the SarbanesOxley Act of 2002</w:t>
      </w:r>
    </w:p>
    <w:p>
      <w:pPr>
        <w:spacing w:after="0" w:line="279"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 or 15d14 of the Securities Exchange Act of 1934, as adopted pursuant to Section 302 of the SarbanesOxley Act of 2002</w:t>
      </w:r>
    </w:p>
    <w:p>
      <w:pPr>
        <w:spacing w:after="0" w:line="279" w:lineRule="exact"/>
        <w:rPr>
          <w:sz w:val="20"/>
          <w:szCs w:val="20"/>
          <w:color w:val="auto"/>
        </w:rPr>
      </w:pPr>
    </w:p>
    <w:p>
      <w:pPr>
        <w:ind w:left="1520" w:hanging="971"/>
        <w:spacing w:after="0" w:line="277" w:lineRule="auto"/>
        <w:tabs>
          <w:tab w:leader="none" w:pos="1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79" w:lineRule="exact"/>
        <w:rPr>
          <w:sz w:val="20"/>
          <w:szCs w:val="20"/>
          <w:color w:val="auto"/>
        </w:rPr>
      </w:pPr>
    </w:p>
    <w:p>
      <w:pPr>
        <w:ind w:left="1520" w:right="20" w:hanging="971"/>
        <w:spacing w:after="0" w:line="277" w:lineRule="auto"/>
        <w:tabs>
          <w:tab w:leader="none" w:pos="15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79" w:lineRule="exact"/>
        <w:rPr>
          <w:sz w:val="20"/>
          <w:szCs w:val="20"/>
          <w:color w:val="auto"/>
        </w:rPr>
      </w:pPr>
    </w:p>
    <w:p>
      <w:pPr>
        <w:ind w:left="1520" w:hanging="904"/>
        <w:spacing w:after="0"/>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00"/>
          </w:cols>
          <w:pgMar w:left="240" w:top="823" w:right="2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April 20,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 Separation of Executive Employment Agreement and Share Repurchase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Mr. Higgins:</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Arbutus Biopharma,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you (“</w:t>
      </w:r>
      <w:r>
        <w:rPr>
          <w:rFonts w:ascii="Arial" w:cs="Arial" w:eastAsia="Arial" w:hAnsi="Arial"/>
          <w:sz w:val="21"/>
          <w:szCs w:val="21"/>
          <w:b w:val="1"/>
          <w:bCs w:val="1"/>
          <w:i w:val="1"/>
          <w:iCs w:val="1"/>
          <w:color w:val="auto"/>
        </w:rPr>
        <w:t>you</w:t>
      </w:r>
      <w:r>
        <w:rPr>
          <w:rFonts w:ascii="Arial" w:cs="Arial" w:eastAsia="Arial" w:hAnsi="Arial"/>
          <w:sz w:val="21"/>
          <w:szCs w:val="21"/>
          <w:color w:val="auto"/>
        </w:rPr>
        <w:t>”) entered into an Executive Employment Agreement effective as of July 10, 2015 (the “</w:t>
      </w:r>
      <w:r>
        <w:rPr>
          <w:rFonts w:ascii="Arial" w:cs="Arial" w:eastAsia="Arial" w:hAnsi="Arial"/>
          <w:sz w:val="21"/>
          <w:szCs w:val="21"/>
          <w:b w:val="1"/>
          <w:bCs w:val="1"/>
          <w:i w:val="1"/>
          <w:iCs w:val="1"/>
          <w:color w:val="auto"/>
        </w:rPr>
        <w:t>Employment Agreement</w:t>
      </w:r>
      <w:r>
        <w:rPr>
          <w:rFonts w:ascii="Arial" w:cs="Arial" w:eastAsia="Arial" w:hAnsi="Arial"/>
          <w:sz w:val="21"/>
          <w:szCs w:val="21"/>
          <w:color w:val="auto"/>
        </w:rPr>
        <w:t>”) pursuant to which you agreed to provide certain services to the Company. Further, Arbutus Biopharma Corporation (the “</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and you entered into a Share Repurchase Agreement effective as of July 10, 2015 (the “</w:t>
      </w:r>
      <w:r>
        <w:rPr>
          <w:rFonts w:ascii="Arial" w:cs="Arial" w:eastAsia="Arial" w:hAnsi="Arial"/>
          <w:sz w:val="21"/>
          <w:szCs w:val="21"/>
          <w:b w:val="1"/>
          <w:bCs w:val="1"/>
          <w:i w:val="1"/>
          <w:iCs w:val="1"/>
          <w:color w:val="auto"/>
        </w:rPr>
        <w:t>Share Repurchase Agreement</w:t>
      </w:r>
      <w:r>
        <w:rPr>
          <w:rFonts w:ascii="Arial" w:cs="Arial" w:eastAsia="Arial" w:hAnsi="Arial"/>
          <w:sz w:val="21"/>
          <w:szCs w:val="21"/>
          <w:color w:val="auto"/>
        </w:rPr>
        <w:t>”) pursuant to which the Parent received a repurchase right for certain Common Shares of the Parent (the “</w:t>
      </w:r>
      <w:r>
        <w:rPr>
          <w:rFonts w:ascii="Arial" w:cs="Arial" w:eastAsia="Arial" w:hAnsi="Arial"/>
          <w:sz w:val="21"/>
          <w:szCs w:val="21"/>
          <w:b w:val="1"/>
          <w:bCs w:val="1"/>
          <w:i w:val="1"/>
          <w:iCs w:val="1"/>
          <w:color w:val="auto"/>
        </w:rPr>
        <w:t>Common Shares</w:t>
      </w:r>
      <w:r>
        <w:rPr>
          <w:rFonts w:ascii="Arial" w:cs="Arial" w:eastAsia="Arial" w:hAnsi="Arial"/>
          <w:sz w:val="21"/>
          <w:szCs w:val="21"/>
          <w:color w:val="auto"/>
        </w:rPr>
        <w:t>”) as set forth therein.</w:t>
      </w:r>
    </w:p>
    <w:p>
      <w:pPr>
        <w:spacing w:after="0" w:line="17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This letters confirms the agreement between the Company and you that your employment with the Company shall terminate and the Employment Agreement shall terminate immediately as of the close of business on April 30, 2016 (the “</w:t>
      </w:r>
      <w:r>
        <w:rPr>
          <w:rFonts w:ascii="Arial" w:cs="Arial" w:eastAsia="Arial" w:hAnsi="Arial"/>
          <w:sz w:val="22"/>
          <w:szCs w:val="22"/>
          <w:b w:val="1"/>
          <w:bCs w:val="1"/>
          <w:i w:val="1"/>
          <w:iCs w:val="1"/>
          <w:color w:val="auto"/>
        </w:rPr>
        <w:t>Termination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This letter further confirms the agreement between the Parent and you that the Share Repurchase Agreement, including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Parent’s right to repurchase the Buyback Shares (as defined in the Share Repurchase Agreement), is terminated in its entirety as of the date hereof.</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The termination of your employment is being effected without Cause (as defined in the Employment Agreement) pursuant to Sec. 4(d) of the Employment Agreement. In connection with your termination and subject to your execution of the release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the Company shall pay to you, within sixty days from the date hereof, (i) a severance amount equal to $720,000 and (ii) a bonus payment equal to $48,096. Provided that you timely elect COBRA coverage, the Company shall also reimburse you for the COBRA premiums paid by you, if any, for the continuation of coverage under your existing group company health plan that you and your dependents are eligible to receive for the earlier of (x) a period of up to 24 months from the Termination Date, or (y) until you become eligible to receive health insurance benefits under any other employer’s group health plan. In addition, the Company shall pay to you the Accrued Benefit (as defined in the Employment Agreement) pursuant to Section 5(a).</w:t>
      </w:r>
    </w:p>
    <w:p>
      <w:pPr>
        <w:spacing w:after="0" w:line="180"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Please note that, in accordance with the Confidentiality and Proprietary Rights Agreement by and between you and the Company, dated as of May 26, 2015 (the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 which will continue to remain in full force and effect, your obligations with respect to Confidential Information (as defined in the Confidentiality Agreement) shall continue until such time as such Confidential Information has become public knowledge other than as a result of your breach of the Confidentiality Agreement or breach by those acting in concert with you or on your behalf. Further, pursuant to the terms of the Confidentiality Agreement, you must immediately (a) provide or return to the Company any and all Company property, Parent property and all Company documents and materials belonging to the Company or the Parent and stored in any fashion, including but not limited to those that constitute or contain any Confidential Information or Work Product (each as defined in the Confidentiality Agreement), that are in your possession or control, whether they were provided to you by the Company, the Parent or any of their business associates or created by you in connection with your employment by the Company; and (b) delete or destroy all copies of any such documents and materials not returned to the Company that remain in your possession or control, including those stored on any non-Company devices, networks, storage locations and media in the your possession or control.</w:t>
      </w:r>
    </w:p>
    <w:p>
      <w:pPr>
        <w:sectPr>
          <w:pgSz w:w="11900" w:h="16838" w:orient="portrait"/>
          <w:cols w:equalWidth="0" w:num="1">
            <w:col w:w="11420"/>
          </w:cols>
          <w:pgMar w:left="240" w:top="661" w:right="239" w:bottom="1440" w:gutter="0" w:footer="0" w:header="0"/>
        </w:sectPr>
      </w:pPr>
    </w:p>
    <w:bookmarkStart w:id="41" w:name="page42"/>
    <w:bookmarkEnd w:id="41"/>
    <w:p>
      <w:pPr>
        <w:ind w:right="20" w:firstLine="648"/>
        <w:spacing w:after="0" w:line="253" w:lineRule="auto"/>
        <w:rPr>
          <w:sz w:val="20"/>
          <w:szCs w:val="20"/>
          <w:color w:val="auto"/>
        </w:rPr>
      </w:pPr>
      <w:r>
        <w:rPr>
          <w:rFonts w:ascii="Arial" w:cs="Arial" w:eastAsia="Arial" w:hAnsi="Arial"/>
          <w:sz w:val="22"/>
          <w:szCs w:val="22"/>
          <w:color w:val="auto"/>
        </w:rPr>
        <w:t>Please also note that the Lock-Up Agreement by and between you and the Company, dated January 11, 2015 (the “</w:t>
      </w:r>
      <w:r>
        <w:rPr>
          <w:rFonts w:ascii="Arial" w:cs="Arial" w:eastAsia="Arial" w:hAnsi="Arial"/>
          <w:sz w:val="22"/>
          <w:szCs w:val="22"/>
          <w:b w:val="1"/>
          <w:bCs w:val="1"/>
          <w:i w:val="1"/>
          <w:iCs w:val="1"/>
          <w:color w:val="auto"/>
        </w:rPr>
        <w:t>Lock-Up</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will remain in full force and effect and your obligations thereunder will continue until such obligations terminate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expire pursuant to the terms of the Lock-Up Agreement.</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As set forth herein, this letter supersedes all prior agreements, written or oral, between you and the Company, relating to the termination of your employment pursuant to Section 4 of the Employment Agreement and the receipt of severance pursuant to Section 5 of the Employment Agreement.</w:t>
      </w:r>
    </w:p>
    <w:p>
      <w:pPr>
        <w:spacing w:after="0" w:line="186" w:lineRule="exact"/>
        <w:rPr>
          <w:sz w:val="20"/>
          <w:szCs w:val="20"/>
          <w:color w:val="auto"/>
        </w:rPr>
      </w:pPr>
    </w:p>
    <w:p>
      <w:pPr>
        <w:ind w:right="740" w:firstLine="648"/>
        <w:spacing w:after="0" w:line="343" w:lineRule="auto"/>
        <w:rPr>
          <w:sz w:val="20"/>
          <w:szCs w:val="20"/>
          <w:color w:val="auto"/>
        </w:rPr>
      </w:pPr>
      <w:r>
        <w:rPr>
          <w:rFonts w:ascii="Arial" w:cs="Arial" w:eastAsia="Arial" w:hAnsi="Arial"/>
          <w:sz w:val="19"/>
          <w:szCs w:val="19"/>
          <w:color w:val="auto"/>
        </w:rPr>
        <w:t>Please acknowledge the terms and conditions set forth above by signing where indicated below and returning to my attention by electronic mail and overnight delivery. Thank you for your prompt attention to this matter.</w:t>
      </w:r>
    </w:p>
    <w:p>
      <w:pPr>
        <w:spacing w:after="0" w:line="200" w:lineRule="exact"/>
        <w:rPr>
          <w:sz w:val="20"/>
          <w:szCs w:val="20"/>
          <w:color w:val="auto"/>
        </w:rPr>
      </w:pPr>
    </w:p>
    <w:p>
      <w:pPr>
        <w:spacing w:after="0" w:line="33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ARBUTUS BIOPHARMA, INC.</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/s/Mark J. Murray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Mark J. Murray,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ARBUTUS BIOPHARMA CORPORATION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/s/Mark J. Murray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Mark J. Murray,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/s/Patrick T. Higgins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Name: Patrick T. Higgins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 April 21, 2016</w:t>
      </w:r>
    </w:p>
    <w:p>
      <w:pPr>
        <w:sectPr>
          <w:pgSz w:w="11900" w:h="16838" w:orient="portrait"/>
          <w:cols w:equalWidth="0" w:num="1">
            <w:col w:w="11380"/>
          </w:cols>
          <w:pgMar w:left="240" w:top="591" w:right="27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Release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attached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In exchange for the consideration set forth in the Separation letter dated April 29, 2016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I, Patrick T. Higgins, agree, for myself, my spouse, heirs, executor or administrator, assigns, insurers, attorneys, and other persons or entities acting or purporting to act on my behalf (the “</w:t>
      </w:r>
      <w:r>
        <w:rPr>
          <w:rFonts w:ascii="Arial" w:cs="Arial" w:eastAsia="Arial" w:hAnsi="Arial"/>
          <w:sz w:val="19"/>
          <w:szCs w:val="19"/>
          <w:b w:val="1"/>
          <w:bCs w:val="1"/>
          <w:i w:val="1"/>
          <w:iCs w:val="1"/>
          <w:color w:val="auto"/>
        </w:rPr>
        <w:t>Executive’s Parties</w:t>
      </w:r>
      <w:r>
        <w:rPr>
          <w:rFonts w:ascii="Arial" w:cs="Arial" w:eastAsia="Arial" w:hAnsi="Arial"/>
          <w:sz w:val="19"/>
          <w:szCs w:val="19"/>
          <w:color w:val="auto"/>
        </w:rPr>
        <w:t>”), to irrevocably and unconditionally release, acquit, and forever discharge Arbutus Biopharma,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Arbutus Biopharma Corporation (the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and each of their affiliates, subsidiaries, directors, officers, employees, shareholders, partners, agents, representatives, predecessors, successors, assigns, insurers, attorneys, benefit plans sponsored by the Company or the Parent, and said plans’ fiduciaries, agents and trustees (the “</w:t>
      </w:r>
      <w:r>
        <w:rPr>
          <w:rFonts w:ascii="Arial" w:cs="Arial" w:eastAsia="Arial" w:hAnsi="Arial"/>
          <w:sz w:val="19"/>
          <w:szCs w:val="19"/>
          <w:b w:val="1"/>
          <w:bCs w:val="1"/>
          <w:i w:val="1"/>
          <w:iCs w:val="1"/>
          <w:color w:val="auto"/>
        </w:rPr>
        <w:t>Company’s Parties</w:t>
      </w:r>
      <w:r>
        <w:rPr>
          <w:rFonts w:ascii="Arial" w:cs="Arial" w:eastAsia="Arial" w:hAnsi="Arial"/>
          <w:sz w:val="19"/>
          <w:szCs w:val="19"/>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my employment with the Company or the Separation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I have or have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me or my beneficiary may be entitled under the terms and provisions of any employee benefit plan of the Company or the Parent which have accrued as of the Separation Date (as defined in the Separation Agreement), and does not include a waiver of the right to benefits and payment of consideration to which I may be entitled under the Separation Agreement. I acknowledge that I am entitled to only the severance benefits and compensation set forth in the Separation Agreement, and that all other claims for any other benefits or other compensation are hereby waived, except those expressly stated in the preceding sentence.</w:t>
      </w:r>
    </w:p>
    <w:p>
      <w:pPr>
        <w:spacing w:after="0" w:line="200" w:lineRule="exact"/>
        <w:rPr>
          <w:sz w:val="20"/>
          <w:szCs w:val="20"/>
          <w:color w:val="auto"/>
        </w:rPr>
      </w:pPr>
    </w:p>
    <w:p>
      <w:pPr>
        <w:spacing w:after="0" w:line="230"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I hereby acknowledge my understanding that under this General Release I am releasing any known or unknown claims I may have.</w:t>
      </w:r>
    </w:p>
    <w:p>
      <w:pPr>
        <w:spacing w:after="0" w:line="17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9"/>
          <w:szCs w:val="19"/>
          <w:color w:val="auto"/>
        </w:rPr>
        <w:t>I specifically agree and acknowledge that: (a) my waiver of rights under this General Release is knowing and voluntary as required under the Age Discrimination in Employment Act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29 U.S.C. § 621 et seq. and the Older Workers Benefit Protection Act; (b) I understand the terms of this General Release; (c) the Company has advised me to consult with an attorney prior to executing this General Release; (d) the Company has given me a period of up to twenty-one (21) days within which to consider this General Release; and (e) following my execution of this General Release, I have seven (7) days in which to revoke this General Release, only insofar as it extends to potential claims under the ADEA. If I choose not to so revoke, then this General Release shall then become effective and enforceable and the payment contemplated under the terms of the Separation Agreement shall then be made to me in accordance with the terms of the Separation Agreement. Should I elect to revoke this General Release insofar as it extends to potential claims under the ADEA, any such revocation must be in</w:t>
      </w:r>
    </w:p>
    <w:p>
      <w:pPr>
        <w:sectPr>
          <w:pgSz w:w="11900" w:h="16838" w:orient="portrait"/>
          <w:cols w:equalWidth="0" w:num="1">
            <w:col w:w="11420"/>
          </w:cols>
          <w:pgMar w:left="240" w:top="585" w:right="239" w:bottom="1440" w:gutter="0" w:footer="0" w:header="0"/>
        </w:sectPr>
      </w:pPr>
    </w:p>
    <w:bookmarkStart w:id="43" w:name="page44"/>
    <w:bookmarkEnd w:id="43"/>
    <w:p>
      <w:pPr>
        <w:ind w:right="420"/>
        <w:spacing w:after="0" w:line="263" w:lineRule="auto"/>
        <w:rPr>
          <w:sz w:val="20"/>
          <w:szCs w:val="20"/>
          <w:color w:val="auto"/>
        </w:rPr>
      </w:pPr>
      <w:r>
        <w:rPr>
          <w:rFonts w:ascii="Arial" w:cs="Arial" w:eastAsia="Arial" w:hAnsi="Arial"/>
          <w:sz w:val="22"/>
          <w:szCs w:val="22"/>
          <w:color w:val="auto"/>
        </w:rPr>
        <w:t>writing and delivered by hand or by certified mail (return receipt requested) within the seven day revocation period to Mark Murray, 100-8900 Glenlyon Parkway, Burnaby, British Columbia, Canada V5J 5J8.</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 expressly waive and relinquish all rights and benefits under that section and any law of any jurisdiction of similar effect with respect to my release of claims.</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/s/Patrick T. Higgins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Patrick T. Higgins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 April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[General Release of Patrick Higgins]</w:t>
      </w:r>
    </w:p>
    <w:p>
      <w:pPr>
        <w:sectPr>
          <w:pgSz w:w="11900" w:h="16838" w:orient="portrait"/>
          <w:cols w:equalWidth="0" w:num="1">
            <w:col w:w="11120"/>
          </w:cols>
          <w:pgMar w:left="240" w:top="591" w:right="5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Bruce Cousins, certify that:</w:t>
      </w:r>
    </w:p>
    <w:p>
      <w:pPr>
        <w:spacing w:after="0" w:line="171" w:lineRule="exact"/>
        <w:rPr>
          <w:sz w:val="20"/>
          <w:szCs w:val="20"/>
          <w:color w:val="auto"/>
        </w:rPr>
      </w:pPr>
    </w:p>
    <w:p>
      <w:pPr>
        <w:ind w:left="1220" w:hanging="402"/>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6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2016,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282" w:lineRule="exact"/>
        <w:rPr>
          <w:sz w:val="20"/>
          <w:szCs w:val="20"/>
          <w:color w:val="auto"/>
        </w:rPr>
      </w:pPr>
    </w:p>
    <w:p>
      <w:pPr>
        <w:ind w:left="1620" w:hanging="396"/>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Arbutus Biopharma Corporation (the “Company”) for the quarter ended March 31, 2016,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322" w:lineRule="exact"/>
        <w:rPr>
          <w:sz w:val="20"/>
          <w:szCs w:val="20"/>
          <w:color w:val="auto"/>
        </w:rPr>
      </w:pPr>
    </w:p>
    <w:p>
      <w:pPr>
        <w:ind w:left="1620" w:hanging="396"/>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2"/>
    </w:lvl>
  </w:abstractNum>
  <w:abstractNum w:abstractNumId="15">
    <w:nsid w:val="79838CB2"/>
    <w:multiLevelType w:val="hybridMultilevel"/>
    <w:lvl w:ilvl="0">
      <w:lvlJc w:val="left"/>
      <w:lvlText w:val="(%1)"/>
      <w:numFmt w:val="lowerLetter"/>
      <w:start w:val="3"/>
    </w:lvl>
  </w:abstractNum>
  <w:abstractNum w:abstractNumId="16">
    <w:nsid w:val="4353D0CD"/>
    <w:multiLevelType w:val="hybridMultilevel"/>
    <w:lvl w:ilvl="0">
      <w:lvlJc w:val="left"/>
      <w:lvlText w:val="(%1)"/>
      <w:numFmt w:val="lowerLetter"/>
      <w:start w:val="4"/>
    </w:lvl>
  </w:abstractNum>
  <w:abstractNum w:abstractNumId="17">
    <w:nsid w:val="B03E0C6"/>
    <w:multiLevelType w:val="hybridMultilevel"/>
    <w:lvl w:ilvl="0">
      <w:lvlJc w:val="left"/>
      <w:lvlText w:val="(%1)"/>
      <w:numFmt w:val="lowerLetter"/>
      <w:start w:val="5"/>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6"/>
    </w:lvl>
  </w:abstractNum>
  <w:abstractNum w:abstractNumId="24">
    <w:nsid w:val="3A95F874"/>
    <w:multiLevelType w:val="hybridMultilevel"/>
    <w:lvl w:ilvl="0">
      <w:lvlJc w:val="left"/>
      <w:lvlText w:val="%1."/>
      <w:numFmt w:val="decimal"/>
      <w:start w:val="7"/>
    </w:lvl>
  </w:abstractNum>
  <w:abstractNum w:abstractNumId="25">
    <w:nsid w:val="8138641"/>
    <w:multiLevelType w:val="hybridMultilevel"/>
    <w:lvl w:ilvl="0">
      <w:lvlJc w:val="left"/>
      <w:lvlText w:val="%1."/>
      <w:numFmt w:val="decimal"/>
      <w:start w:val="8"/>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lvl w:ilvl="1">
      <w:lvlJc w:val="left"/>
      <w:lvlText w:val="%2"/>
      <w:numFmt w:val="decimal"/>
      <w:start w:val="10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2019-12-29T11:59:51Z</dcterms:created>
  <dcterms:modified xsi:type="dcterms:W3CDTF">2019-12-29T11:59:51Z</dcterms:modified>
</cp:coreProperties>
</file>