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337" w:lineRule="exact"/>
        <w:rPr>
          <w:sz w:val="24"/>
          <w:szCs w:val="24"/>
          <w:color w:val="auto"/>
        </w:rPr>
      </w:pPr>
    </w:p>
    <w:p>
      <w:pPr>
        <w:ind w:left="3940" w:right="2400" w:hanging="3932"/>
        <w:spacing w:after="0" w:line="344" w:lineRule="auto"/>
        <w:tabs>
          <w:tab w:leader="none" w:pos="23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41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001-34949</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Arbutus Biopharma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British Columbia, Canada</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2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98-0597776</w:t>
            </w:r>
          </w:p>
        </w:tc>
      </w:tr>
      <w:tr>
        <w:trPr>
          <w:trHeight w:val="256"/>
        </w:trPr>
        <w:tc>
          <w:tcPr>
            <w:tcW w:w="3600" w:type="dxa"/>
            <w:vAlign w:val="bottom"/>
          </w:tcPr>
          <w:p>
            <w:pPr>
              <w:jc w:val="center"/>
              <w:ind w:left="910"/>
              <w:spacing w:after="0"/>
              <w:rPr>
                <w:sz w:val="20"/>
                <w:szCs w:val="20"/>
                <w:color w:val="auto"/>
              </w:rPr>
            </w:pPr>
            <w:r>
              <w:rPr>
                <w:rFonts w:ascii="Arial" w:cs="Arial" w:eastAsia="Arial" w:hAnsi="Arial"/>
                <w:sz w:val="18"/>
                <w:szCs w:val="18"/>
                <w:color w:val="auto"/>
                <w:w w:val="92"/>
              </w:rPr>
              <w:t>(State or Other Jurisdiction of</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120" w:type="dxa"/>
            <w:vAlign w:val="bottom"/>
          </w:tcPr>
          <w:p>
            <w:pPr>
              <w:jc w:val="center"/>
              <w:ind w:right="470"/>
              <w:spacing w:after="0"/>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ind w:left="890"/>
              <w:spacing w:after="0"/>
              <w:rPr>
                <w:sz w:val="20"/>
                <w:szCs w:val="20"/>
                <w:color w:val="auto"/>
              </w:rPr>
            </w:pPr>
            <w:r>
              <w:rPr>
                <w:rFonts w:ascii="Arial" w:cs="Arial" w:eastAsia="Arial" w:hAnsi="Arial"/>
                <w:sz w:val="18"/>
                <w:szCs w:val="18"/>
                <w:color w:val="auto"/>
                <w:w w:val="92"/>
              </w:rPr>
              <w:t>Incorporation or Organization)</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20" w:type="dxa"/>
            <w:vAlign w:val="bottom"/>
          </w:tcPr>
          <w:p>
            <w:pPr>
              <w:jc w:val="center"/>
              <w:ind w:right="45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3600" w:type="dxa"/>
            <w:vAlign w:val="bottom"/>
          </w:tcPr>
          <w:p>
            <w:pPr>
              <w:spacing w:after="0"/>
              <w:rPr>
                <w:sz w:val="24"/>
                <w:szCs w:val="24"/>
                <w:color w:val="auto"/>
              </w:rPr>
            </w:pPr>
          </w:p>
        </w:tc>
        <w:tc>
          <w:tcPr>
            <w:tcW w:w="3700" w:type="dxa"/>
            <w:vAlign w:val="bottom"/>
            <w:gridSpan w:val="5"/>
          </w:tcPr>
          <w:p>
            <w:pPr>
              <w:jc w:val="center"/>
              <w:ind w:left="430"/>
              <w:spacing w:after="0"/>
              <w:rPr>
                <w:sz w:val="20"/>
                <w:szCs w:val="20"/>
                <w:color w:val="auto"/>
              </w:rPr>
            </w:pPr>
            <w:r>
              <w:rPr>
                <w:rFonts w:ascii="Arial" w:cs="Arial" w:eastAsia="Arial" w:hAnsi="Arial"/>
                <w:sz w:val="18"/>
                <w:szCs w:val="18"/>
                <w:color w:val="auto"/>
                <w:w w:val="89"/>
              </w:rPr>
              <w:t>701 Veterans Circle, Warminster, PA 18974</w:t>
            </w:r>
          </w:p>
        </w:tc>
        <w:tc>
          <w:tcPr>
            <w:tcW w:w="4120" w:type="dxa"/>
            <w:vAlign w:val="bottom"/>
          </w:tcPr>
          <w:p>
            <w:pPr>
              <w:spacing w:after="0"/>
              <w:rPr>
                <w:sz w:val="24"/>
                <w:szCs w:val="24"/>
                <w:color w:val="auto"/>
              </w:rPr>
            </w:pPr>
          </w:p>
        </w:tc>
      </w:tr>
      <w:tr>
        <w:trPr>
          <w:trHeight w:val="230"/>
        </w:trPr>
        <w:tc>
          <w:tcPr>
            <w:tcW w:w="3600" w:type="dxa"/>
            <w:vAlign w:val="bottom"/>
          </w:tcPr>
          <w:p>
            <w:pPr>
              <w:spacing w:after="0"/>
              <w:rPr>
                <w:sz w:val="20"/>
                <w:szCs w:val="20"/>
                <w:color w:val="auto"/>
              </w:rPr>
            </w:pPr>
          </w:p>
        </w:tc>
        <w:tc>
          <w:tcPr>
            <w:tcW w:w="3700" w:type="dxa"/>
            <w:vAlign w:val="bottom"/>
            <w:gridSpan w:val="5"/>
          </w:tcPr>
          <w:p>
            <w:pPr>
              <w:jc w:val="center"/>
              <w:ind w:left="430"/>
              <w:spacing w:after="0"/>
              <w:rPr>
                <w:sz w:val="20"/>
                <w:szCs w:val="20"/>
                <w:color w:val="auto"/>
              </w:rPr>
            </w:pPr>
            <w:r>
              <w:rPr>
                <w:rFonts w:ascii="Arial" w:cs="Arial" w:eastAsia="Arial" w:hAnsi="Arial"/>
                <w:sz w:val="18"/>
                <w:szCs w:val="18"/>
                <w:color w:val="auto"/>
                <w:w w:val="92"/>
              </w:rPr>
              <w:t>(Address of Principal Executive Offices)</w:t>
            </w:r>
          </w:p>
        </w:tc>
        <w:tc>
          <w:tcPr>
            <w:tcW w:w="4120" w:type="dxa"/>
            <w:vAlign w:val="bottom"/>
          </w:tcPr>
          <w:p>
            <w:pPr>
              <w:spacing w:after="0"/>
              <w:rPr>
                <w:sz w:val="20"/>
                <w:szCs w:val="20"/>
                <w:color w:val="auto"/>
              </w:rPr>
            </w:pPr>
          </w:p>
        </w:tc>
      </w:tr>
      <w:tr>
        <w:trPr>
          <w:trHeight w:val="526"/>
        </w:trPr>
        <w:tc>
          <w:tcPr>
            <w:tcW w:w="3600" w:type="dxa"/>
            <w:vAlign w:val="bottom"/>
          </w:tcPr>
          <w:p>
            <w:pPr>
              <w:spacing w:after="0"/>
              <w:rPr>
                <w:sz w:val="24"/>
                <w:szCs w:val="24"/>
                <w:color w:val="auto"/>
              </w:rPr>
            </w:pPr>
          </w:p>
        </w:tc>
        <w:tc>
          <w:tcPr>
            <w:tcW w:w="3040" w:type="dxa"/>
            <w:vAlign w:val="bottom"/>
            <w:gridSpan w:val="3"/>
          </w:tcPr>
          <w:p>
            <w:pPr>
              <w:jc w:val="center"/>
              <w:ind w:left="1090"/>
              <w:spacing w:after="0"/>
              <w:rPr>
                <w:sz w:val="20"/>
                <w:szCs w:val="20"/>
                <w:color w:val="auto"/>
              </w:rPr>
            </w:pPr>
            <w:r>
              <w:rPr>
                <w:rFonts w:ascii="Arial" w:cs="Arial" w:eastAsia="Arial" w:hAnsi="Arial"/>
                <w:sz w:val="18"/>
                <w:szCs w:val="18"/>
                <w:color w:val="auto"/>
                <w:w w:val="90"/>
              </w:rPr>
              <w:t>267-469-0914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0"/>
        </w:trPr>
        <w:tc>
          <w:tcPr>
            <w:tcW w:w="3600" w:type="dxa"/>
            <w:vAlign w:val="bottom"/>
          </w:tcPr>
          <w:p>
            <w:pPr>
              <w:spacing w:after="0"/>
              <w:rPr>
                <w:sz w:val="20"/>
                <w:szCs w:val="20"/>
                <w:color w:val="auto"/>
              </w:rPr>
            </w:pPr>
          </w:p>
        </w:tc>
        <w:tc>
          <w:tcPr>
            <w:tcW w:w="7820" w:type="dxa"/>
            <w:vAlign w:val="bottom"/>
            <w:gridSpan w:val="6"/>
          </w:tcPr>
          <w:p>
            <w:pPr>
              <w:jc w:val="center"/>
              <w:ind w:right="345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540"/>
        </w:trPr>
        <w:tc>
          <w:tcPr>
            <w:tcW w:w="3600" w:type="dxa"/>
            <w:vAlign w:val="bottom"/>
          </w:tcPr>
          <w:p>
            <w:pPr>
              <w:spacing w:after="0"/>
              <w:rPr>
                <w:sz w:val="24"/>
                <w:szCs w:val="24"/>
                <w:color w:val="auto"/>
              </w:rPr>
            </w:pPr>
          </w:p>
        </w:tc>
        <w:tc>
          <w:tcPr>
            <w:tcW w:w="7820" w:type="dxa"/>
            <w:vAlign w:val="bottom"/>
            <w:gridSpan w:val="6"/>
          </w:tcPr>
          <w:p>
            <w:pPr>
              <w:jc w:val="center"/>
              <w:ind w:right="351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540"/>
        </w:trPr>
        <w:tc>
          <w:tcPr>
            <w:tcW w:w="360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Title of Each Class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9"/>
              </w:rPr>
              <w:t>Trading Symbol(s)</w:t>
            </w:r>
          </w:p>
        </w:tc>
        <w:tc>
          <w:tcPr>
            <w:tcW w:w="412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3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jc w:val="center"/>
              <w:ind w:left="910"/>
              <w:spacing w:after="0"/>
              <w:rPr>
                <w:sz w:val="20"/>
                <w:szCs w:val="20"/>
                <w:color w:val="auto"/>
              </w:rPr>
            </w:pPr>
            <w:r>
              <w:rPr>
                <w:rFonts w:ascii="Arial" w:cs="Arial" w:eastAsia="Arial" w:hAnsi="Arial"/>
                <w:sz w:val="18"/>
                <w:szCs w:val="18"/>
                <w:color w:val="auto"/>
                <w:w w:val="90"/>
              </w:rPr>
              <w:t>Common shares, without par value</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3"/>
          </w:tcPr>
          <w:p>
            <w:pPr>
              <w:jc w:val="center"/>
              <w:ind w:right="640"/>
              <w:spacing w:after="0"/>
              <w:rPr>
                <w:sz w:val="20"/>
                <w:szCs w:val="20"/>
                <w:color w:val="auto"/>
              </w:rPr>
            </w:pPr>
            <w:r>
              <w:rPr>
                <w:rFonts w:ascii="Arial" w:cs="Arial" w:eastAsia="Arial" w:hAnsi="Arial"/>
                <w:sz w:val="18"/>
                <w:szCs w:val="18"/>
                <w:color w:val="auto"/>
                <w:w w:val="97"/>
              </w:rPr>
              <w:t>ABUS</w:t>
            </w:r>
          </w:p>
        </w:tc>
        <w:tc>
          <w:tcPr>
            <w:tcW w:w="4120" w:type="dxa"/>
            <w:vAlign w:val="bottom"/>
          </w:tcPr>
          <w:p>
            <w:pPr>
              <w:jc w:val="center"/>
              <w:ind w:right="470"/>
              <w:spacing w:after="0"/>
              <w:rPr>
                <w:sz w:val="20"/>
                <w:szCs w:val="20"/>
                <w:color w:val="auto"/>
              </w:rPr>
            </w:pPr>
            <w:r>
              <w:rPr>
                <w:rFonts w:ascii="Arial" w:cs="Arial" w:eastAsia="Arial" w:hAnsi="Arial"/>
                <w:sz w:val="18"/>
                <w:szCs w:val="18"/>
                <w:color w:val="auto"/>
                <w:w w:val="92"/>
              </w:rPr>
              <w:t>The Nasdaq Stock Market LLC</w:t>
            </w:r>
          </w:p>
        </w:tc>
      </w:tr>
    </w:tbl>
    <w:p>
      <w:pPr>
        <w:spacing w:after="0" w:line="310"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11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69" w:right="239" w:bottom="1440" w:gutter="0" w:footer="0" w:header="0"/>
        </w:sectPr>
      </w:pPr>
    </w:p>
    <w:p>
      <w:pPr>
        <w:spacing w:after="0" w:line="18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4180"/>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5180" w:space="720"/>
            <w:col w:w="5520"/>
          </w:cols>
          <w:pgMar w:left="240" w:top="769"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x</w:t>
      </w:r>
    </w:p>
    <w:p>
      <w:pPr>
        <w:spacing w:after="0" w:line="86" w:lineRule="exact"/>
        <w:rPr>
          <w:sz w:val="24"/>
          <w:szCs w:val="24"/>
          <w:color w:val="auto"/>
        </w:rPr>
      </w:pPr>
    </w:p>
    <w:p>
      <w:pPr>
        <w:sectPr>
          <w:pgSz w:w="11900" w:h="16838" w:orient="portrait"/>
          <w:cols w:equalWidth="0" w:num="2">
            <w:col w:w="5180" w:space="720"/>
            <w:col w:w="5520"/>
          </w:cols>
          <w:pgMar w:left="240" w:top="769"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769" w:right="239" w:bottom="1440" w:gutter="0" w:footer="0" w:header="0"/>
          <w:type w:val="continuous"/>
        </w:sectPr>
      </w:pPr>
    </w:p>
    <w:p>
      <w:pPr>
        <w:spacing w:after="0" w:line="11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76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the last business day of the registrant’s most recently completed second fiscal quarter, the approximate aggregate market value of voting and non-voting common equity held by non-affiliates of the registrant was $118,248,358 (based on the closing price of $2.08 per share as reported on the NASDAQ Global Select Market as of that date).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2, 2020, the registrant had 68,941,406 common shares, without par value, outstanding. In addition, the registrant had outstanding 1,164,000 convertible preferred shares, which will be mandatorily converted into approximately 23 million common shares on October 18, 2021. Assuming the convertible preferred shares were converted as of March 2, 2020, the registrant would have had approximately 92 million common shares outstanding at March 2, 2020.</w:t>
      </w:r>
    </w:p>
    <w:p>
      <w:pPr>
        <w:sectPr>
          <w:pgSz w:w="11900" w:h="16838" w:orient="portrait"/>
          <w:cols w:equalWidth="0" w:num="1">
            <w:col w:w="11420"/>
          </w:cols>
          <w:pgMar w:left="240" w:top="71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the registrant’s definitive proxy statement for its 2020 Annual Meeting of Stockholders, which the registrant intends to file pursuant to Regulation 14A with the Securities and Exchange Commission no later than 120 days after the registrant’s fiscal year end of December 31, 2019, are incorporated by reference into Part III of this Form 10-K.</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2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60" w:type="dxa"/>
            <w:vAlign w:val="bottom"/>
            <w:gridSpan w:val="12"/>
          </w:tcPr>
          <w:p>
            <w:pPr>
              <w:jc w:val="center"/>
              <w:ind w:right="2480"/>
              <w:spacing w:after="0"/>
              <w:rPr>
                <w:sz w:val="20"/>
                <w:szCs w:val="20"/>
                <w:color w:val="auto"/>
              </w:rPr>
            </w:pPr>
            <w:r>
              <w:rPr>
                <w:rFonts w:ascii="Arial" w:cs="Arial" w:eastAsia="Arial" w:hAnsi="Arial"/>
                <w:sz w:val="18"/>
                <w:szCs w:val="18"/>
                <w:b w:val="1"/>
                <w:bCs w:val="1"/>
                <w:color w:val="auto"/>
                <w:w w:val="99"/>
              </w:rPr>
              <w:t>ARBUTUS BIOPHARMA CORPORATION</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10"/>
          </w:tcPr>
          <w:p>
            <w:pPr>
              <w:jc w:val="center"/>
              <w:ind w:right="330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38"/>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gridSpan w:val="4"/>
          </w:tcPr>
          <w:p>
            <w:pPr>
              <w:ind w:left="520"/>
              <w:spacing w:after="0"/>
              <w:rPr>
                <w:sz w:val="20"/>
                <w:szCs w:val="20"/>
                <w:color w:val="auto"/>
              </w:rPr>
            </w:pPr>
            <w:r>
              <w:rPr>
                <w:rFonts w:ascii="Arial" w:cs="Arial" w:eastAsia="Arial" w:hAnsi="Arial"/>
                <w:sz w:val="18"/>
                <w:szCs w:val="18"/>
                <w:b w:val="1"/>
                <w:bCs w:val="1"/>
                <w:color w:val="auto"/>
                <w:w w:val="78"/>
              </w:rPr>
              <w:t>Page</w:t>
            </w:r>
          </w:p>
        </w:tc>
      </w:tr>
      <w:tr>
        <w:trPr>
          <w:trHeight w:val="250"/>
        </w:trPr>
        <w:tc>
          <w:tcPr>
            <w:tcW w:w="540" w:type="dxa"/>
            <w:vAlign w:val="bottom"/>
            <w:gridSpan w:val="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PART I</w:t>
              </w:r>
            </w:hyperlink>
          </w:p>
        </w:tc>
        <w:tc>
          <w:tcPr>
            <w:tcW w:w="106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Borders>
              <w:top w:val="single" w:sz="8" w:color="auto"/>
            </w:tcBorders>
            <w:gridSpan w:val="2"/>
          </w:tcPr>
          <w:p>
            <w:pPr>
              <w:jc w:val="center"/>
              <w:ind w:left="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140" w:type="dxa"/>
            <w:vAlign w:val="bottom"/>
            <w:tcBorders>
              <w:top w:val="single" w:sz="8" w:color="auto"/>
            </w:tcBorders>
          </w:tcPr>
          <w:p>
            <w:pPr>
              <w:spacing w:after="0"/>
              <w:rPr>
                <w:sz w:val="21"/>
                <w:szCs w:val="2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740" w:type="dxa"/>
            <w:vAlign w:val="bottom"/>
            <w:gridSpan w:val="2"/>
          </w:tcPr>
          <w:p>
            <w:pPr>
              <w:spacing w:after="0"/>
              <w:rPr>
                <w:sz w:val="21"/>
                <w:szCs w:val="21"/>
                <w:color w:val="auto"/>
              </w:rPr>
            </w:pPr>
          </w:p>
        </w:tc>
        <w:tc>
          <w:tcPr>
            <w:tcW w:w="86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740" w:type="dxa"/>
            <w:vAlign w:val="bottom"/>
            <w:gridSpan w:val="3"/>
          </w:tcPr>
          <w:p>
            <w:pPr>
              <w:jc w:val="center"/>
              <w:ind w:left="57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25">
              <w:r>
                <w:rPr>
                  <w:rFonts w:ascii="Arial" w:cs="Arial" w:eastAsia="Arial" w:hAnsi="Arial"/>
                  <w:sz w:val="18"/>
                  <w:szCs w:val="18"/>
                  <w:color w:val="0000EE"/>
                  <w:w w:val="83"/>
                </w:rPr>
                <w:t>Item 1A.</w:t>
              </w:r>
            </w:hyperlink>
          </w:p>
        </w:tc>
        <w:tc>
          <w:tcPr>
            <w:tcW w:w="660" w:type="dxa"/>
            <w:vAlign w:val="bottom"/>
          </w:tcPr>
          <w:p>
            <w:pPr>
              <w:spacing w:after="0"/>
              <w:rPr>
                <w:sz w:val="21"/>
                <w:szCs w:val="21"/>
                <w:color w:val="auto"/>
              </w:rPr>
            </w:pPr>
          </w:p>
        </w:tc>
        <w:tc>
          <w:tcPr>
            <w:tcW w:w="86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Item 1B.</w:t>
              </w:r>
            </w:hyperlink>
          </w:p>
        </w:tc>
        <w:tc>
          <w:tcPr>
            <w:tcW w:w="660" w:type="dxa"/>
            <w:vAlign w:val="bottom"/>
          </w:tcPr>
          <w:p>
            <w:pPr>
              <w:spacing w:after="0"/>
              <w:rPr>
                <w:sz w:val="21"/>
                <w:szCs w:val="21"/>
                <w:color w:val="auto"/>
              </w:rPr>
            </w:pPr>
          </w:p>
        </w:tc>
        <w:tc>
          <w:tcPr>
            <w:tcW w:w="860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Unresolved Staff Comments</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2.</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Properties</w:t>
              </w:r>
            </w:hyperlink>
          </w:p>
        </w:tc>
        <w:tc>
          <w:tcPr>
            <w:tcW w:w="1300" w:type="dxa"/>
            <w:vAlign w:val="bottom"/>
            <w:gridSpan w:val="5"/>
          </w:tcPr>
          <w:p>
            <w:pPr>
              <w:spacing w:after="0"/>
              <w:rPr>
                <w:sz w:val="21"/>
                <w:szCs w:val="21"/>
                <w:color w:val="auto"/>
              </w:rPr>
            </w:pPr>
          </w:p>
        </w:tc>
        <w:tc>
          <w:tcPr>
            <w:tcW w:w="6560" w:type="dxa"/>
            <w:vAlign w:val="bottom"/>
            <w:gridSpan w:val="12"/>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3.</w:t>
              </w:r>
            </w:hyperlink>
          </w:p>
        </w:tc>
        <w:tc>
          <w:tcPr>
            <w:tcW w:w="740" w:type="dxa"/>
            <w:vAlign w:val="bottom"/>
            <w:gridSpan w:val="2"/>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Legal Proceedings</w:t>
              </w:r>
            </w:hyperlink>
          </w:p>
        </w:tc>
        <w:tc>
          <w:tcPr>
            <w:tcW w:w="7280" w:type="dxa"/>
            <w:vAlign w:val="bottom"/>
            <w:gridSpan w:val="15"/>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4.</w:t>
              </w:r>
            </w:hyperlink>
          </w:p>
        </w:tc>
        <w:tc>
          <w:tcPr>
            <w:tcW w:w="740" w:type="dxa"/>
            <w:vAlign w:val="bottom"/>
            <w:gridSpan w:val="2"/>
          </w:tcPr>
          <w:p>
            <w:pPr>
              <w:spacing w:after="0"/>
              <w:rPr>
                <w:sz w:val="21"/>
                <w:szCs w:val="21"/>
                <w:color w:val="auto"/>
              </w:rPr>
            </w:pPr>
          </w:p>
        </w:tc>
        <w:tc>
          <w:tcPr>
            <w:tcW w:w="1780" w:type="dxa"/>
            <w:vAlign w:val="bottom"/>
            <w:gridSpan w:val="5"/>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Mine Safety Disclosures</w:t>
              </w:r>
            </w:hyperlink>
          </w:p>
        </w:tc>
        <w:tc>
          <w:tcPr>
            <w:tcW w:w="6820" w:type="dxa"/>
            <w:vAlign w:val="bottom"/>
            <w:gridSpan w:val="14"/>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20"/>
        </w:trPr>
        <w:tc>
          <w:tcPr>
            <w:tcW w:w="600" w:type="dxa"/>
            <w:vAlign w:val="bottom"/>
            <w:gridSpan w:val="3"/>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PART II</w:t>
              </w:r>
            </w:hyperlink>
          </w:p>
        </w:tc>
        <w:tc>
          <w:tcPr>
            <w:tcW w:w="10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14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5.</w:t>
              </w:r>
            </w:hyperlink>
          </w:p>
        </w:tc>
        <w:tc>
          <w:tcPr>
            <w:tcW w:w="740" w:type="dxa"/>
            <w:vAlign w:val="bottom"/>
            <w:gridSpan w:val="2"/>
          </w:tcPr>
          <w:p>
            <w:pPr>
              <w:spacing w:after="0"/>
              <w:rPr>
                <w:sz w:val="21"/>
                <w:szCs w:val="21"/>
                <w:color w:val="auto"/>
              </w:rPr>
            </w:pPr>
          </w:p>
        </w:tc>
        <w:tc>
          <w:tcPr>
            <w:tcW w:w="8080" w:type="dxa"/>
            <w:vAlign w:val="bottom"/>
            <w:gridSpan w:val="18"/>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Market for Registrant’s Common Equity, Related Stockholder Matters and Issuer Purchases of Equity Securities</w:t>
              </w:r>
            </w:hyperlink>
          </w:p>
        </w:tc>
        <w:tc>
          <w:tcPr>
            <w:tcW w:w="520" w:type="dxa"/>
            <w:vAlign w:val="bottom"/>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740" w:type="dxa"/>
            <w:vAlign w:val="bottom"/>
            <w:gridSpan w:val="2"/>
          </w:tcPr>
          <w:p>
            <w:pPr>
              <w:spacing w:after="0"/>
              <w:rPr>
                <w:sz w:val="21"/>
                <w:szCs w:val="21"/>
                <w:color w:val="auto"/>
              </w:rPr>
            </w:pPr>
          </w:p>
        </w:tc>
        <w:tc>
          <w:tcPr>
            <w:tcW w:w="808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Selected Consolidated Financial Data</w:t>
              </w:r>
            </w:hyperlink>
          </w:p>
        </w:tc>
        <w:tc>
          <w:tcPr>
            <w:tcW w:w="520" w:type="dxa"/>
            <w:vAlign w:val="bottom"/>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7.</w:t>
              </w:r>
            </w:hyperlink>
          </w:p>
        </w:tc>
        <w:tc>
          <w:tcPr>
            <w:tcW w:w="740" w:type="dxa"/>
            <w:vAlign w:val="bottom"/>
            <w:gridSpan w:val="2"/>
          </w:tcPr>
          <w:p>
            <w:pPr>
              <w:spacing w:after="0"/>
              <w:rPr>
                <w:sz w:val="21"/>
                <w:szCs w:val="21"/>
                <w:color w:val="auto"/>
              </w:rPr>
            </w:pPr>
          </w:p>
        </w:tc>
        <w:tc>
          <w:tcPr>
            <w:tcW w:w="860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61">
              <w:r>
                <w:rPr>
                  <w:rFonts w:ascii="Arial" w:cs="Arial" w:eastAsia="Arial" w:hAnsi="Arial"/>
                  <w:sz w:val="18"/>
                  <w:szCs w:val="18"/>
                  <w:color w:val="0000EE"/>
                  <w:w w:val="83"/>
                </w:rPr>
                <w:t>Item 7A.</w:t>
              </w:r>
            </w:hyperlink>
          </w:p>
        </w:tc>
        <w:tc>
          <w:tcPr>
            <w:tcW w:w="660" w:type="dxa"/>
            <w:vAlign w:val="bottom"/>
          </w:tcPr>
          <w:p>
            <w:pPr>
              <w:spacing w:after="0"/>
              <w:rPr>
                <w:sz w:val="21"/>
                <w:szCs w:val="21"/>
                <w:color w:val="auto"/>
              </w:rPr>
            </w:pPr>
          </w:p>
        </w:tc>
        <w:tc>
          <w:tcPr>
            <w:tcW w:w="4320" w:type="dxa"/>
            <w:vAlign w:val="bottom"/>
            <w:gridSpan w:val="1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Quantitative and Qualitative Disclosures about Market Risk</w:t>
              </w:r>
            </w:hyperlink>
          </w:p>
        </w:tc>
        <w:tc>
          <w:tcPr>
            <w:tcW w:w="4280" w:type="dxa"/>
            <w:vAlign w:val="bottom"/>
            <w:gridSpan w:val="6"/>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8.</w:t>
              </w:r>
            </w:hyperlink>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Financial Statements and Supplementary Data</w:t>
              </w:r>
            </w:hyperlink>
          </w:p>
        </w:tc>
        <w:tc>
          <w:tcPr>
            <w:tcW w:w="980" w:type="dxa"/>
            <w:vAlign w:val="bottom"/>
            <w:gridSpan w:val="2"/>
          </w:tcPr>
          <w:p>
            <w:pPr>
              <w:spacing w:after="0"/>
              <w:rPr>
                <w:sz w:val="21"/>
                <w:szCs w:val="21"/>
                <w:color w:val="auto"/>
              </w:rPr>
            </w:pPr>
          </w:p>
        </w:tc>
        <w:tc>
          <w:tcPr>
            <w:tcW w:w="4280" w:type="dxa"/>
            <w:vAlign w:val="bottom"/>
            <w:gridSpan w:val="6"/>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4"/>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Item 9.</w:t>
              </w:r>
            </w:hyperlink>
          </w:p>
        </w:tc>
        <w:tc>
          <w:tcPr>
            <w:tcW w:w="740" w:type="dxa"/>
            <w:vAlign w:val="bottom"/>
            <w:gridSpan w:val="2"/>
          </w:tcPr>
          <w:p>
            <w:pPr>
              <w:spacing w:after="0"/>
              <w:rPr>
                <w:sz w:val="21"/>
                <w:szCs w:val="21"/>
                <w:color w:val="auto"/>
              </w:rPr>
            </w:pPr>
          </w:p>
        </w:tc>
        <w:tc>
          <w:tcPr>
            <w:tcW w:w="8600" w:type="dxa"/>
            <w:vAlign w:val="bottom"/>
            <w:gridSpan w:val="1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94</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95">
              <w:r>
                <w:rPr>
                  <w:rFonts w:ascii="Arial" w:cs="Arial" w:eastAsia="Arial" w:hAnsi="Arial"/>
                  <w:sz w:val="18"/>
                  <w:szCs w:val="18"/>
                  <w:color w:val="0000EE"/>
                  <w:w w:val="83"/>
                </w:rPr>
                <w:t>Item 9A.</w:t>
              </w:r>
            </w:hyperlink>
          </w:p>
        </w:tc>
        <w:tc>
          <w:tcPr>
            <w:tcW w:w="660" w:type="dxa"/>
            <w:vAlign w:val="bottom"/>
          </w:tcPr>
          <w:p>
            <w:pPr>
              <w:spacing w:after="0"/>
              <w:rPr>
                <w:sz w:val="21"/>
                <w:szCs w:val="21"/>
                <w:color w:val="auto"/>
              </w:rPr>
            </w:pPr>
          </w:p>
        </w:tc>
        <w:tc>
          <w:tcPr>
            <w:tcW w:w="1780" w:type="dxa"/>
            <w:vAlign w:val="bottom"/>
            <w:gridSpan w:val="5"/>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Controls and Procedures</w:t>
              </w:r>
            </w:hyperlink>
          </w:p>
        </w:tc>
        <w:tc>
          <w:tcPr>
            <w:tcW w:w="6820" w:type="dxa"/>
            <w:vAlign w:val="bottom"/>
            <w:gridSpan w:val="14"/>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94</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3"/>
              </w:rPr>
            </w:pPr>
            <w:hyperlink w:anchor="page96">
              <w:r>
                <w:rPr>
                  <w:rFonts w:ascii="Arial" w:cs="Arial" w:eastAsia="Arial" w:hAnsi="Arial"/>
                  <w:sz w:val="18"/>
                  <w:szCs w:val="18"/>
                  <w:color w:val="0000EE"/>
                  <w:w w:val="83"/>
                </w:rPr>
                <w:t>Item 9B.</w:t>
              </w:r>
            </w:hyperlink>
          </w:p>
        </w:tc>
        <w:tc>
          <w:tcPr>
            <w:tcW w:w="66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Other Information</w:t>
              </w:r>
            </w:hyperlink>
          </w:p>
        </w:tc>
        <w:tc>
          <w:tcPr>
            <w:tcW w:w="460" w:type="dxa"/>
            <w:vAlign w:val="bottom"/>
          </w:tcPr>
          <w:p>
            <w:pPr>
              <w:spacing w:after="0"/>
              <w:rPr>
                <w:sz w:val="21"/>
                <w:szCs w:val="21"/>
                <w:color w:val="auto"/>
              </w:rPr>
            </w:pPr>
          </w:p>
        </w:tc>
        <w:tc>
          <w:tcPr>
            <w:tcW w:w="6820" w:type="dxa"/>
            <w:vAlign w:val="bottom"/>
            <w:gridSpan w:val="14"/>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95</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20"/>
        </w:trPr>
        <w:tc>
          <w:tcPr>
            <w:tcW w:w="660" w:type="dxa"/>
            <w:vAlign w:val="bottom"/>
            <w:gridSpan w:val="4"/>
          </w:tcPr>
          <w:p>
            <w:pPr>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PART III</w:t>
              </w:r>
            </w:hyperlink>
          </w:p>
        </w:tc>
        <w:tc>
          <w:tcPr>
            <w:tcW w:w="9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14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10.</w:t>
              </w:r>
            </w:hyperlink>
          </w:p>
        </w:tc>
        <w:tc>
          <w:tcPr>
            <w:tcW w:w="8600" w:type="dxa"/>
            <w:vAlign w:val="bottom"/>
            <w:gridSpan w:val="1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Directors, Executive Officers and Corporate Governance</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Item 11.</w:t>
              </w:r>
            </w:hyperlink>
          </w:p>
        </w:tc>
        <w:tc>
          <w:tcPr>
            <w:tcW w:w="660" w:type="dxa"/>
            <w:vAlign w:val="bottom"/>
          </w:tcPr>
          <w:p>
            <w:pPr>
              <w:spacing w:after="0"/>
              <w:rPr>
                <w:sz w:val="21"/>
                <w:szCs w:val="21"/>
                <w:color w:val="auto"/>
              </w:rPr>
            </w:pPr>
          </w:p>
        </w:tc>
        <w:tc>
          <w:tcPr>
            <w:tcW w:w="4100" w:type="dxa"/>
            <w:vAlign w:val="bottom"/>
            <w:gridSpan w:val="1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Executive Compensation</w:t>
              </w:r>
            </w:hyperlink>
          </w:p>
        </w:tc>
        <w:tc>
          <w:tcPr>
            <w:tcW w:w="4500" w:type="dxa"/>
            <w:vAlign w:val="bottom"/>
            <w:gridSpan w:val="7"/>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Item 12.</w:t>
              </w:r>
            </w:hyperlink>
          </w:p>
        </w:tc>
        <w:tc>
          <w:tcPr>
            <w:tcW w:w="660" w:type="dxa"/>
            <w:vAlign w:val="bottom"/>
          </w:tcPr>
          <w:p>
            <w:pPr>
              <w:spacing w:after="0"/>
              <w:rPr>
                <w:sz w:val="21"/>
                <w:szCs w:val="21"/>
                <w:color w:val="auto"/>
              </w:rPr>
            </w:pPr>
          </w:p>
        </w:tc>
        <w:tc>
          <w:tcPr>
            <w:tcW w:w="7300" w:type="dxa"/>
            <w:vAlign w:val="bottom"/>
            <w:gridSpan w:val="17"/>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Security Ownership of Certain Beneficial Owners and Management and Related Stockholder Matters</w:t>
              </w:r>
            </w:hyperlink>
          </w:p>
        </w:tc>
        <w:tc>
          <w:tcPr>
            <w:tcW w:w="1300" w:type="dxa"/>
            <w:vAlign w:val="bottom"/>
            <w:gridSpan w:val="2"/>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Item 13.</w:t>
              </w:r>
            </w:hyperlink>
          </w:p>
        </w:tc>
        <w:tc>
          <w:tcPr>
            <w:tcW w:w="660" w:type="dxa"/>
            <w:vAlign w:val="bottom"/>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300" w:type="dxa"/>
            <w:vAlign w:val="bottom"/>
            <w:gridSpan w:val="2"/>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Item 14.</w:t>
              </w:r>
            </w:hyperlink>
          </w:p>
        </w:tc>
        <w:tc>
          <w:tcPr>
            <w:tcW w:w="660" w:type="dxa"/>
            <w:vAlign w:val="bottom"/>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Principal Accountant Fees and Services</w:t>
              </w:r>
            </w:hyperlink>
          </w:p>
        </w:tc>
        <w:tc>
          <w:tcPr>
            <w:tcW w:w="3140" w:type="dxa"/>
            <w:vAlign w:val="bottom"/>
            <w:gridSpan w:val="5"/>
          </w:tcPr>
          <w:p>
            <w:pPr>
              <w:spacing w:after="0"/>
              <w:rPr>
                <w:sz w:val="21"/>
                <w:szCs w:val="21"/>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20"/>
        </w:trPr>
        <w:tc>
          <w:tcPr>
            <w:tcW w:w="1600" w:type="dxa"/>
            <w:vAlign w:val="bottom"/>
            <w:gridSpan w:val="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PART IV</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gridSpan w:val="3"/>
          </w:tcPr>
          <w:p>
            <w:pPr>
              <w:jc w:val="center"/>
              <w:ind w:left="47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97</w:t>
              </w:r>
            </w:hyperlink>
          </w:p>
        </w:tc>
        <w:tc>
          <w:tcPr>
            <w:tcW w:w="14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5"/>
          </w:tcPr>
          <w:p>
            <w:pPr>
              <w:spacing w:after="0"/>
              <w:rPr>
                <w:sz w:val="20"/>
                <w:szCs w:val="20"/>
                <w:color w:val="auto"/>
              </w:rPr>
            </w:pPr>
            <w:r>
              <w:rPr>
                <w:rFonts w:ascii="Arial" w:cs="Arial" w:eastAsia="Arial" w:hAnsi="Arial"/>
                <w:sz w:val="18"/>
                <w:szCs w:val="18"/>
                <w:color w:val="0000EE"/>
                <w:w w:val="86"/>
              </w:rPr>
              <w:t>Item 15.</w:t>
            </w:r>
          </w:p>
        </w:tc>
        <w:tc>
          <w:tcPr>
            <w:tcW w:w="660" w:type="dxa"/>
            <w:vAlign w:val="bottom"/>
          </w:tcPr>
          <w:p>
            <w:pPr>
              <w:spacing w:after="0"/>
              <w:rPr>
                <w:sz w:val="21"/>
                <w:szCs w:val="21"/>
                <w:color w:val="auto"/>
              </w:rPr>
            </w:pPr>
          </w:p>
        </w:tc>
        <w:tc>
          <w:tcPr>
            <w:tcW w:w="860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Exhibits and Financial Statement Schedules</w:t>
              </w:r>
            </w:hyperlink>
          </w:p>
        </w:tc>
        <w:tc>
          <w:tcPr>
            <w:tcW w:w="740" w:type="dxa"/>
            <w:vAlign w:val="bottom"/>
            <w:gridSpan w:val="3"/>
          </w:tcPr>
          <w:p>
            <w:pPr>
              <w:jc w:val="center"/>
              <w:ind w:left="47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97</w:t>
              </w:r>
            </w:hyperlink>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80" w:top="607" w:right="5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(this “Form 10-K”)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10-K, including the documents incorporated by reference, include statements about, among other things:</w:t>
      </w:r>
    </w:p>
    <w:p>
      <w:pPr>
        <w:spacing w:after="0" w:line="19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development path and strategy to achieve a curative combination regimen for HBV;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using the results from our HBV studies to adaptively design additional clinical trials to test the efficacy of the combination therapy and the duration of the result in patients;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of and amount for payments related to the Enantigen Therapeutics, Inc.’s transaction and its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drug candidates to improve upon the standard of care and contribute to a curative combination treatment regimen;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the reversion of the Ontario Municipal Employees Retirement System (“OMERS”) royalty monetization transaction for our ONPATTRO™ (Patisiran) (“ONPATTRO”) royalty interest;</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developing a suite of products that intervene at different points in the viral life cycle, with the potential to reactivate the host immune system;</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using pre-clinical results to adaptively design clinical trials for additional cohorts of patients, testing the combination and the duration of therapy;</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selecting combination therapy regimens and treatment durations to conduct Phase 3 clinical trials intended to ultimately support regulatory filings for marketing approval;</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our HBV drug candidate pipeline through internal development, acquisitions and in-licenses;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for AB-729 for preliminary results from our single-dose Phase 1 trial to be available late in the first quarter of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for AB-729 for preliminary results from multiple-dose Phase 1 trial to be available late in the second half of 2020;</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AB-729 could be combined with our lead capsid inhibitor candidate, AB-836, and approved NAs, in our first combination therapy for HBV patients;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an oral HBsAg-reducing agent and potential all-oral combination therapy;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objective to complete IND/CTA-enabling studies for AB-836 by the end of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for AB-836 to be low-dose with a wide therapeutic window and to address known capsid resistant variants T33N and 1105T;</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AB-836 to have increased potency and an enhanced resistance profile, compared to our previous capsid inhibitor candidate, AB-506;</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AB-836 to be once-daily dosing;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to pursue development of a next generation oral HBV RNA-destabilizer;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payments from the Gritstone Oncology, Inc. licensing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return from strategic alliances, licensing agreements, and research collaborations;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with respect to revenue and expense fluctuation and guidance;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having sufficient cash resources to fund our operations into mid-2021; and</w:t>
      </w:r>
    </w:p>
    <w:p>
      <w:pPr>
        <w:spacing w:after="0" w:line="9"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obtaining funding to maintain and advance our business from a variety of sources including public or private equity or debt financing, collaborative arrangements with pharmaceutical companies, other non-dilutive commercial arrangements and government grants and contracts;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27"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10-K entitled “Item 1-Business,” “Item 1A-Risk Factors,” “Item 7-Management’s Discussion and Analysis of Financial Condition and Results of Operations,” “Item 7A-Quantitative and Qualitative Disclosures About Market Risk,” and “Item 8-Financial Statements and Supplementary Data.”</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10-K and in particular the risks and uncertainties discussed under “Item 1A-Risk Factors” of this Form 10-K. As a result, you should not place undue reliance on forward-looking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forward-looking statements contained in this Form 10-K represent our views only as of the date of this Form 10-K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cautionary statements are intended to qualify all forward-looking statements wherever they may appear in this Form 10-K. For all forward-looking statements, we claim protection of the safe harbor for the forward-looking statements contained in the Private Securities Litigation Reform Act of 1995.</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Arbutus Biopharma Corporation (“Arbutus”, the “Company”, “we”, “us”, and “our”) is a publicly traded (Nasdaq Global Select Market: ABUS) biopharmaceutical company dedicated to developing a cure for patients suffering from chronic hepatitis B infection, a disease of the liver caused by the hepatitis B virus (“HBV”). HBV represents a significant, global unmet medical need. The World Health Organization estimates that over 250 million people worldwide suffer from HBV infection, while other estimates indicate that approximately 2 million people in the United States suffer from HBV infection. Chronic HBV (“CHB”) infection has high rates of morbidity and mortality with a cure rate for HBV patients taking standard of care (“SOC”) treatment regimens of less than 5%. Our objective is to develop safe and effective therapies that can be combined for a finite treatment period and lead to higher cure rates. We define a cure as a functional cure where HBV replication and hepatitis B surface antigen (“HBsAg”) expression are reduced to undetectable levels six months after end of therapy.</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pursue our strategy of developing a treatment for chronic HBV, we are developing a diverse product pipeline consisting of multiple drug candidates with complementary mechanisms of action, which have the potential to improve upon the SOC and contribute to a curative combination regimen.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have a royalty entitlement on ONPATTRO, a drug developed by Alnylam Pharmaceuticals, Inc. (“Alnylam”) under a license agreement with us that incorporates our lipid nanoparticle delivery (“LNP”) technology. In July 2019, we received $20 million in gross proceeds from the sale of this royalty interest. The royalty interest will revert back to us after the buyer receives $30 million in royalty payments from Alnylam. We are also receiving a second, lower royalty interest on global net sales of ONPATTRO originating from a settlement agreement and subsequent license agreement with Acuitas Therapeutics, Inc. (“Acuitas”). The royalty from Acuitas has been retained by us and was not part of the royalty sale. Refer to Item 1 Business Overview - Strategic Alliances and Licensing Agreements for additional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objective is to develop a curative combination regimen for patients with chronic HBV infection. We believe this can best be achieved by:</w:t>
      </w:r>
    </w:p>
    <w:p>
      <w:pPr>
        <w:spacing w:after="0" w:line="225" w:lineRule="exact"/>
        <w:rPr>
          <w:sz w:val="20"/>
          <w:szCs w:val="20"/>
          <w:color w:val="auto"/>
        </w:rPr>
      </w:pPr>
    </w:p>
    <w:p>
      <w:pPr>
        <w:ind w:left="660" w:hanging="409"/>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 pipeline of proprietary therapeutic agents that target multiple elements of the HBV viral lifecycle, the most important of which we believe are HBV replication and HBsAg expression;</w:t>
      </w:r>
    </w:p>
    <w:p>
      <w:pPr>
        <w:spacing w:after="0" w:line="1" w:lineRule="exact"/>
        <w:rPr>
          <w:rFonts w:ascii="Arial" w:cs="Arial" w:eastAsia="Arial" w:hAnsi="Arial"/>
          <w:sz w:val="18"/>
          <w:szCs w:val="18"/>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compounds that target the host immune system; and</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identifying an effective combination of complementary proprietary therapeutic agents administered for a finite treatment duration.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primary focus is to:</w:t>
      </w:r>
    </w:p>
    <w:p>
      <w:pPr>
        <w:spacing w:after="0" w:line="225" w:lineRule="exact"/>
        <w:rPr>
          <w:sz w:val="20"/>
          <w:szCs w:val="20"/>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progress our clinical and pre-clinical product candidates through Phase 1 and Phase 2 clinical trials;</w:t>
      </w:r>
    </w:p>
    <w:p>
      <w:pPr>
        <w:spacing w:after="0" w:line="23"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a safe and effective combination regimen to support a Phase 3 clinical registration program;</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regulatory approval for such a combination regimen; and</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commercialize such combination regimen.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currently conducting a Phase 1a/1b clinical trial and pre-clinical and investigational new drug (“IND”)-enabling studies to evaluate proprietary HBV therapeutic agents alone, together with SOC therapies and in combination with each other. We expect to use the results from this clinical trial and the other studies to adaptively design future clinical trials to test the safety, efficacy, and duration of potential combination therapies.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66130" cy="2838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AB-729, our subcutaneously administered RNA interference (“RNAi”) product candidate, may be combinable with our lead capsid inhibitor product candidate, AB-836, and existing approved therapies, in our first combination therapy for HBV patients. We believe AB-836 has the potential for improved efficacy and an enhanced resistance profile relative to our previous generation capsid inhibitor product candidate, AB-506. In parallel, we are in lead optimization with several compounds for our PD-L1 program and next-generation HBV RNA destabilizer program. Our next-generation HBV RNA destabilizer product candidates have distinct chemical scaffolds from AB-452, our previous generation HBV RNA destabilizer.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explore expansion of our HBV pipeline through internal discovery and development and potential strategic alliances.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HBV Background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Agents for Combination Therapy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 treatments for HBV include pegylated interferon-α (“Peg-IFNα”) and nucleos(t)ide analogues (“NAs”). These treatments reduce viral load, but have low rates of cure (&lt;5%). Peg-IFNα, a synthetic version of a substance produced by the body to fight infection, is administered by injection and has numerous side effects including flu-like symptoms and depression. NAs are oral antiviral medications which when taken chronically reduce virus replication and inflammation and eliminate HBV DNA in the blood. However, virus replication resumes and liver inflammation and fibrosis may still progress once Peg-IFNα and NA therapies are stopped.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biology of HBV, we believe combination therapies are the key to more effective HBV treatment and a potential cure. Additionally, we believe the development of an effective combination therapy can be accelerated when multiple components are controlled by a single company. Therefore, our R&amp;D pipeline includes multiple product candidates that target various steps in the viral lifecycle. We believe each of these mechanisms, when administered for a finite duration in combination with existing approved therapies, have the potential to improve upon the standard of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11"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397510</wp:posOffset>
            </wp:positionV>
            <wp:extent cx="5866130" cy="3129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661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249" w:hanging="249"/>
        <w:spacing w:after="0" w:line="259"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Nucleos(t)ide analogues (NAs): NAs work by inhibiting HBV DNA polymerase activity and suppressing HBV replication. Oral NAs have become a mainstay of HBV treatment, mainly due to their ability to drive viral load to undetectable levels in the serum of patients, easy single pill once-a-day dosing and lack of significant side effects. However, NAs cure only a small percentage of patients and typically require chronic dosing to maintain their benefits, which can be challenging for patients.</w:t>
      </w:r>
    </w:p>
    <w:p>
      <w:pPr>
        <w:spacing w:after="0" w:line="186" w:lineRule="exact"/>
        <w:rPr>
          <w:rFonts w:ascii="Arial" w:cs="Arial" w:eastAsia="Arial" w:hAnsi="Arial"/>
          <w:sz w:val="18"/>
          <w:szCs w:val="18"/>
          <w:color w:val="auto"/>
        </w:rPr>
      </w:pPr>
    </w:p>
    <w:p>
      <w:pPr>
        <w:jc w:val="both"/>
        <w:ind w:left="249" w:hanging="249"/>
        <w:spacing w:after="0" w:line="297"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Capsid inhibitor (AB-836): this orally available product candidate has the potential to inhibit HBV replication by preventing the assembly of functional viral capsids. HBV core protein assembles into a capsid structure, which is required for viral replication. The current standard-of-care therapy for HBV, primarily NAs that work by inhibiting the viral polymerase, significantly reduce virus replication, but not completely. Capsid inhibitors inhibit replication by destabilizing core particle assembly or disassembly. Capsid inhibitors also have been shown to inhibit the uncoating step of the viral life cycle thus reducing the formation of new covalently closed circular DNA ("cccDNA"), the viral reservoir which resides in the cell nucleus.</w:t>
      </w:r>
    </w:p>
    <w:p>
      <w:pPr>
        <w:spacing w:after="0" w:line="158" w:lineRule="exact"/>
        <w:rPr>
          <w:rFonts w:ascii="Arial" w:cs="Arial" w:eastAsia="Arial" w:hAnsi="Arial"/>
          <w:sz w:val="16"/>
          <w:szCs w:val="16"/>
          <w:color w:val="auto"/>
        </w:rPr>
      </w:pPr>
    </w:p>
    <w:p>
      <w:pPr>
        <w:jc w:val="both"/>
        <w:ind w:left="249" w:hanging="249"/>
        <w:spacing w:after="0" w:line="259"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RNAi (AB-729): this subcutaneously-delivered RNAi therapeutic product candidate targeted to hepatocytes uses our novel covalently conjugated N-acetylgalactosamine (“GalNAc”) delivery technology. AB-729 inhibits viral replication and reduces all HBV antigens, including hepatitis B surface antigen (“HBsAg”) in preclinical models. Reducing HBsAg is thought to be a key prerequisite to enable reawakening of a patient’s immune system to respond to the virus.</w:t>
      </w:r>
    </w:p>
    <w:p>
      <w:pPr>
        <w:spacing w:after="0" w:line="186" w:lineRule="exact"/>
        <w:rPr>
          <w:rFonts w:ascii="Arial" w:cs="Arial" w:eastAsia="Arial" w:hAnsi="Arial"/>
          <w:sz w:val="18"/>
          <w:szCs w:val="18"/>
          <w:color w:val="auto"/>
        </w:rPr>
      </w:pPr>
    </w:p>
    <w:p>
      <w:pPr>
        <w:jc w:val="both"/>
        <w:ind w:left="249"/>
        <w:spacing w:after="0" w:line="276" w:lineRule="auto"/>
        <w:rPr>
          <w:rFonts w:ascii="Arial" w:cs="Arial" w:eastAsia="Arial" w:hAnsi="Arial"/>
          <w:sz w:val="18"/>
          <w:szCs w:val="18"/>
          <w:color w:val="auto"/>
        </w:rPr>
      </w:pPr>
      <w:r>
        <w:rPr>
          <w:rFonts w:ascii="Arial" w:cs="Arial" w:eastAsia="Arial" w:hAnsi="Arial"/>
          <w:sz w:val="17"/>
          <w:szCs w:val="17"/>
          <w:color w:val="auto"/>
        </w:rPr>
        <w:t>HBV RNA destabilizers: these small molecule orally active agents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mechanism of action anti-HBV agents. HBV RNA destabilizers have the potential to complement or replace subcutaneously delivered RNAi agents with an oral therapy in combination with a capsid inhibitor and an approved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9"/>
          </w:cols>
          <w:pgMar w:left="491" w:top="14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HBsAg Reduction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RNAi Agents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development of RNAi drugs, which utilize the RNA interference pathway, allows for a novel approach to treating disease. There is one approved RNAi product, ONPATTRO, another product candidate that has filed a New Drug Application (“NDA”), and there are a number of RNAi products currently advancing in human clinical trials. Our extensive experience in antiviral drug development has been applied to our RNAi program to develop therapeutics for chronic HBV infection.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RNAi HBV product candidate is designed to reduce HBsAg expression in patients chronically infected with HBV. Reducing HBsAg is widely believed to be a key prerequisite to enable a patient’s immune system to reawaken and respond against the virus.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 in 2018, we nominated AB-729 for IND-enabling studies. AB-729 is a subcutaneously-delivered RNAi therapeutic targeted to hepatocytes using our novel covalently conjugated GalNAc delivery technology. AB-729 inhibits viral replication and reduces all HBV antigens, including HBsAg in preclinical models. Reducing HBsAg is thought to be a key prerequisite to enable reawakening of a patient’s immune system to respond to the virus. The duration of HBsAg reduction with AB-729 supports once per month dosing.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presented data from pre-clinical studies at the International Liver Congress of the European Association for the Study of the Liver (“EASL”) meeting in April 2018 in a presentation titled, “Durable Inhibition of Hepatitis B Virus Replication and Antigenemia Using Subcutaneously Administered RNAi Agent AB-729 in Preclinical Models”. This presentation showed robust HBsAg knockdown and more durable in vivo activity than earlier-generation RNAi agents for the treatment of chronic HBV infection.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successfully completed IND-enabling studies for AB-729 which we filed as part of a clinical trial authorization (“CTA”). In July 2019, we initiated a single and multiple dose Phase 1a/1b clinical trial for AB-729, designed to investigate the safety, tolerability, pharmacokinetics, and pharmacodynamics of AB-729 in healthy subjects and in CHB subjects. Preliminary safety data in single-dose cohorts of healthy subjects and safety and efficacy data in single-dose cohorts of patients with CHB infection are expected later this month. Additional single-dose data and preliminary multi-dose data are expected in the second half of 2020.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initial RNAi product candidate, ARB-1467, demonstrated the ability to reduce HBsAg in patients but utilized a lipid nanoparticle delivery vehicle which required intravenous delivery and bi-weekly administration. We discontinued development of ARB-1467 in 2018 to focus on AB-729, our subcutaneously-delivered product candidate that supports once per month dosing.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RNA Destabilizers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HBV RNA destabilizers are small molecule orally active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mechanism of action anti-HBV agents. HBV RNA destabilizers have the potential to complement or replace subcutaneously delivered RNAi agents with an oral therapy in combination with a capsid inhibitor and an approved NA.</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2018, we announced the emergence of nonclinical safety findings in our AB-452 HBV RNA destabilizer program. Given the nature of these observations and the novel mechanism of action of this drug, additional studies were necessary to understand these findings and their implications before deciding whether to advance AB-452 into human clinical trials. Following careful assessment of the nonclinical safety findings, we noted several confounding observations which included observations with no histological correlation, a lack of dose response regarding some key findings and what we thought was an unexplained vehicle effect. Because of these confounding observations, we repeated the 90-day preclinical safety study in two species. Additionally, we evaluated AB-452 in a series of in vitro and in vivo studies to further characterize the compound, its mechanism of action, safety and pharmacokinetic profile. Based on the results from these repeat pre-clinical safety studies and additional characterization activities, in consultation with external regulatory and pre-clinical experts, we decided not to advance AB-452.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23"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We remain committed to the development of oral HBV RNA destabilizers that have shown compelling anti-viral effects in multiple HBV pre-clinical models. Our effort is now focused on advancing a next-generation oral HBV specific RNA-destabilizer with chemical scaffolds distinct from AB-452 through lead optimization.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HBV Suppression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Capsid Inhibitors (AB-836)</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HBV core protein assembles into a capsid structure, which is required for viral replication. The current SOC therapy (NAs or Peg-IFN) significantly reduces HBV DNA levels in the serum, but HBV replication continues in the liver, thereby enabling HBV infection to persist. More effective therapy for patients requires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oral capsid inhibitor discovery effort generated promising next-generation compounds, which led to the nomination of AB-836 in January 2020 for IND/CTA-enabling studies. AB-836 has the potential for increased potency and an enhanced resistance profile compared to our previous capsid inhibitor product candidate, AB-506. AB-836 is a novel chemical series differentiated from AB-506 and other competitor compounds in the capsid inhibitor space.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agents and is also anticipated to be dosed once daily. We anticipate completing IND/CTA-enabling studies for AB-836 by the end of 2020.</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previous capsid inhibitor product candidate, AB-506, was an orally administered, highly selective capsid inhibitor that had shown improved potency and pharmacokinetics (“PK”) over our first generation capsid inhibitor, AB-423, in pre-clinical studies. In February 2020, we announced our decision to discontinue clinical development of AB-506, which at the time of the decision was in a Phase 1a/1b clinical trial. We made this decision after observing two cases of acute hepatitis in a 28-day healthy volunteer trial of AB-506. The liver enzyme levels in these two subjects subsequently normalized.</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remain committed to the development of oral capsid inhibitors that have shown compelling reductions in HBV DNA and HBV RNA levels. We are currently focused on advancing our promising next-generation oral capsid inhibitor product candidate, AB-836, through IND/CTA-enabling studies.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Modulators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number of research programs aimed at discovery and development of proprietary HBV candidates with different and complementary mechanisms of action. We are in lead optimization with compounds potentially capable of reawakening patients’ HBV-specific immune response by inhibiting PD-L1. These compounds complement our pipeline of agents and could potentially form an effective combination therapy for the treatment of HBV.</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Strategic Alliances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ONPATTRO</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2012, we entered into a license agreement with Alnylam that entitles Alnylam to develop and commercialize products with our LNP technology. Alnylam’s ONPATTRO, which represents the first approved application of our LNP technology, was approved by the United States Food and Drug Administration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Acuitas Therapeutics, Inc.</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rights to a second royalty interest on global net sales of ONPATTRO originating from a settlement agreement and subsequent license agreement with Acuitas. This royalty entitlement from Acuitas has been retained by us and was not part of the royalty entitlement sale to 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Genevant Sciences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2018, we entered into an agreement with Roivant Sciences Ltd. (“Roivant”), our largest shareholder, to launch Genevant, a company focused on the discovery, development, and commercialization of a broad range of RNA-based therapeutics enabled by our LNP and ligand conjugate delivery technologies. We have licensed exclusive rights to these delivery platforms to Genevant for RNA-based applications outside of HBV and any other pre-existing licensing obligations of Arbutus. Genevant plans to develop products in-house and to pursue industry partnerships in order to build a diverse pipeline of therapeutics across multiple modalities, including RNAi, mRNA, and gene editing.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agreement, Roivant contributed $37.5 million in transaction-related seed capital to Genevant, consisting of an initial $22.5 million investment and a subsequent $15 million investment at a pre-determined, stepped-up valuation. We retained all rights to our delivery platforms for HBV, and we are entitled to a tiered low single-digit royalty from Genevant on future sales of products enabled by the delivery platforms licensed to Genevant. We also retained the entirety of our royalty entitlement on the commercialization of Alnylam’s ONPATTRO. As of December 31, 2019, we held an equity interest in Genevant of approximately 40%.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recovery of our remaining carrying value in Genevant was uncertain, and therefore we recorded a $7.6 million impairment expense to reduce the carrying value of our investment in Genevant to zero.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Enantigen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2014, Arbutus Inc., our wholly-owned subsidiary, acquired all of the outstanding shares of Enantigen Therapeutics, Inc. (“Enantigen”) pursuant to a stock purchase agreement. Through this transaction, Arbutus Inc. acquired a HBV surface antigen secretion inhibitor program and a capsid assembly inhibitor program.</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stock purchase agreement, we agreed to pay up to a total of $21.0 million to Enantigen’s selling shareholders upon the achievement of specified development and regulatory milestones for (a) the first two products that contain either a capsid compound or an HBV surface antigen compound that is covered by a patent acquired under this agreement, or (b) a capsid compound from an agreed upon list of compounds. The development milestones are tied to programs which are no longer under development by us, and therefore the contingency related to these milestones has been reduced to zero.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07"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this agreement, and a low single-digit royalty on net sales of such first commercialized HBV product, up to a maximum royalty payment of $1.0 million that, if paid, would be offset against our milestone payment obligations. Refer to note 3 - Fair Value Measurements in the Notes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Marqibo®</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Marqibo®, originally developed by 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We originally out-licensed Marqibo to Talon Therapeutics Inc. (“Talon”) in 2006, and in July 2013, Talon was acquired by Spectrum Pharmaceuticals, Inc. (“Spectrum”). Spectrum initiated the commercial launch of Marqibo in September 2013 through its existing hematology sales force in the United States. In January 2019, Acrotech Biopharma, LLC, a subsidiary of Aurobindo Pharma USA, Inc., acquired the license for Marqibo from Spectrum.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receive mid-single-digit royalty payments based on Marqibo’s commercial sales. In addition, Marqibo is in ongoing clinical trials evaluating two additional indications, which are Pediatric acute lymphoblastic leukemia and Non-Hodgkin’s lymphoma.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Gritstone Oncology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2017, we entered into an exclusive license agreement with Gritstone Oncology, Inc. (“Gritstone”) that granted them worldwide access to our portfolio of proprietary and clinically validated LNP technology and associated intellectual property to deliver Gritstone’s self-replicating, non-mRNA, RNA-based neoantigen immunotherapy products. Gritstone paid us an upfront payment, and will make payments for achievement of development, regulatory, and commercial milestones, royalties (which Genevant has a right to 50% of such royalty payments), and reimburses us for conducting technology development and for providing manufacturing and regulatory support for Gritstone’s product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British Columbia</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early work on LNP delivery systems and related inventions was undertaken at the University of British Columbia (“UBC”), as well as by us that was subsequently assigned to UBC. These inventions are licensed to us by UBC under a license agreement, initially entered in 1998 as amended in 2001, 2006 and 2007. We have granted sublicenses under the UBC license to certain third parties, including Alnylam. UBC subsequently filed a demand for arbitration against us for allegedly unpaid royalties associated with certain of said sublicenses, including the Alnylam sublicense. In the third quarter 2019, the arbitrator issued his decision for the second phase of the arbitration, awarding UBC $5.9 million, which includes interest of approximately $2.6 million. We paid the $5.9 million award to UBC in the third quarter of 2019. The arbitrator also held that the third phase of the arbitration, which would address patent validity, should we choose to pursue a third phase, would not provide a defense to the award. An award for costs and attorneys’ fees is still to be determined. In December 2019, the arbitrator subsequently issued an interim decision concerning costs and attorneys’ fees, holding that each party is to bear their own costs and attorneys’ fees with the single exception of an award to UBC for reasonable costs and attorneys’ fees incurred in defending against our counterclaim. The total of said costs and attorneys’ fees is still to be determined. Please refer to “Item 3. Legal Proceedings”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drug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 licensing United States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 licensing opportunities to develop and maintain our proprietary position.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proprietary expertise, we own a portfolio of patents and patent applications directed to HBV core/capsid protein assembly inhibitors, HBV surface antigens secretion inhibitors, LNP inventions, LNP compositions for delivering nucleic acids such as mRNA and RNAi, the formulation and manufacture of LNP-based pharmaceuticals, chemical modification of RNAi</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11" w:right="239" w:bottom="1440"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7"/>
          <w:szCs w:val="17"/>
          <w:color w:val="auto"/>
        </w:rPr>
        <w:t>molecules, and RNAi drugs and processes directed at particular disease indications. A large number of patent applications filed with the United States and European Patent Offices have been granted. In the United States our patents might be challenged by inter parte review or opposition proceedings. In Europe, upon grant, a period of nine months is allowed for notification of opposition to such granted patents. If our patents are subjected to inter parte review or opposition proceedings, we would incur significant costs to defend them. Further, our failure to prevail in any such proceedings could limit the patent protection available to our therapeutic HBV programs or RNAi platform, including our product candidates.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portfolio of approximately 64 patent families, in the United States and abroad, that are directed to our therapeutic HBV product candidates. The portfolio includes over 50 issued patents throughout the world and an extensive portfolio of pending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seek advice from our scientific advisory board, which consists of a number of leading scientists and physicians, on scientific and medical matters.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Consolidation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we substantially completed a site consolidation and organizational restructuring to align our HBV business in Warminster, PA, by reducing our global workforce and by closing our facility in Burnaby, Canada. For further detail, refer to note 10 “Site Consolidation” in the consolidated financial statements in Part II - Item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Arbutus had 80 employees (78 full-time and 2 part-time), 62 of whom were engaged in research and development. None of our employees are represented by a labor union or covered by a collective bargaining agreement, nor have we experienced any work stoppages. We believe that relations with our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face a broad range of current and potential competitors, from established global pharmaceutical companies with significant resources, to research-stage companies. In addition, we face competition from academic and research institutions and government agencies for the discovery, development and commercialization of novel therapeutics to treat HBV. Many of our competitors, either alone or with their collaborative partners, have significantly greater financial, product development, technical, manufacturing, sales, and marketing resources than we do. In addition, many of our direct competitors are large pharmaceutical companies with internal research and development departments that have significantly greater experience in testing pharmaceutical products, obtaining FDA and other regulatory approvals of products, and achieving widespread market acceptance for those products.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significant unmet medical need exists for HBV, there are several large and small pharmaceutical companies focused on delivering therapeutics for treatment of HBV. These companies include, but are not limited to Johnson and Johnson, Roche, Glaxo Smith Kline, Gilead, Assembly Biosciences, Dicerna, Replicor, Vir Biotechnology, Enanta and Aligos Therapeutics. Further, it is likely that additional drugs will become available in the future for the treatment of HBV. These companies are developing products such as capsid inhibitors, RNAi agents, immune modulators, NAs, surface antigen inhibitors, entry inhibitors and gene editing agents. These products are in various stages of pre-clinical and clinical development.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we will face competition as new products enter the marketplace and advanced technologies become available. Our competitors’ products may be safer, more effective, or more effectively marketed and sold than any product we may commercialize. Competitive products may render one or more of our product candidates obsolete or non-competitive before we can recover the expenses of developing and commercializing any of our product candidates. It is also possible that the development of a cure or new treatment methods for HBV could render one or more of our product candidates non-competitive, obsolete, or reduce the demand for our product candidates.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ability to compete depends, in part, upon our ability to develop products, complete the clinical trials and regulatory approval processes, and effectively market any products we develop. Further, we need to attract and retain qualified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1"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personnel, obtain patent protection or otherwise develop proprietary product candidates or processes, and secure sufficient capital resources for the substantial time period between the discovery of lead compounds and their commercial sales,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Regulation by governmental authorities in the United States and in other countries is a significant consideration in our product development, manufacturing and, upon approval of our product candidates, marketing strategies. We expect that all our product candidates will require regulatory approval by the FDA and by similar regulatory authorities in foreign countries prior to commercialization and will be subjected to rigorous pre-clinical, clinical, and post-approval testing to demonstrate safety and effectiveness, as well as other significant regulatory requirements and restrictions in each jurisdiction in which we would seek to market our products. United States federal laws and regulations govern the testing, development, manufacture, quality control, safety, effectiveness, approval, storage, labeling, record keeping, reporting, distribution, import, export and marketing of all biopharmaceutical products intended for therapeutic purposes. We believe that we and the third parties that work with us are in compliance in all material respects with currently applicable rules and regulations; however, any failure to comply could have a material negative impact on our ability to successfully develop and commercialize our products, and therefore on our financial performance. In addition, the rules and regulations that apply to our business are subject to change and it is difficult to foresee whether, how, or when such changes may affect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Obtaining governmental approvals to market our product candidates and maintaining ongoing compliance with applicable regulations following any such approvals will require the expenditure of significant financial and human resources not currently at our disposal.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Approval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to develop and obtain approval for biopharmaceutical products for commercialization in the United States and many other countries is lengthy, complex and expensive, and the outcome is far from certain. Although foreign requirements for conducting clinical trials and obtaining approval may differ in certain respects from those in the United States, there are many similarities and they often are equally rigorous and the outcome cannot be predicted with confidence. A key component of any submission for approval in any jurisdiction is pre-clinical and clinical data demonstrating the product candidate’s safety and effectiveness.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Pre-clinical Testing. </w:t>
      </w:r>
      <w:r>
        <w:rPr>
          <w:rFonts w:ascii="Arial" w:cs="Arial" w:eastAsia="Arial" w:hAnsi="Arial"/>
          <w:sz w:val="18"/>
          <w:szCs w:val="18"/>
          <w:color w:val="auto"/>
        </w:rPr>
        <w:t>Before testing any product candidate in humans in the United States, a company must develop pre-clinical data, generally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laboratory evaluation of the product candidate’s chemistry and formulation, as well as toxicological and pharmacological studies in animal species to assess safety and quality. Certain types of animal studies must be conducted in compliance with the FDA’s Good Laboratory Practice regulations and the Animal Welfare Act, which is enforced by the Department of Agriculture.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IND Application. </w:t>
      </w:r>
      <w:r>
        <w:rPr>
          <w:rFonts w:ascii="Arial" w:cs="Arial" w:eastAsia="Arial" w:hAnsi="Arial"/>
          <w:sz w:val="16"/>
          <w:szCs w:val="16"/>
          <w:color w:val="auto"/>
        </w:rPr>
        <w:t>A person or entity sponsoring clinical trials in the United States to evaluate a product candidate’s safety and effectiveness must submit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FDA, prior to commencing such studies, an investigational new drug (“IND”) application, which contains, among other data and information, pre-clinical testing results and provides a basis for the FDA to conclude that there is an adequate basis for testing the drug in humans. If the FDA does not object to the IND application within 30 days of submission, the clinical testing proposed in the IND may begin. Even after the IND has gone into effect and clinical testing has begun, the FDA may put the clinical trials on “clinical hold,” suspending (or in some cases, ending) them because of safety concerns or for other reasons.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Clinical Trials. </w:t>
      </w:r>
      <w:r>
        <w:rPr>
          <w:rFonts w:ascii="Arial" w:cs="Arial" w:eastAsia="Arial" w:hAnsi="Arial"/>
          <w:sz w:val="17"/>
          <w:szCs w:val="17"/>
          <w:color w:val="auto"/>
        </w:rPr>
        <w:t>Clinical trials involve administering a product candidate to human volunteers or patients under the supervision of a qualified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investigator. Clinical trials are subject to extensive regulation. In the United States, this includes compliance with the FDA’s bioresearch monitoring regulations and current good clinical practices (“cGCP”) requirements, which establish standards for conducting, recording data from, and reporting the results of clinical trials, with the goals of assuring that the data and results are credible and accurate and that study participants’ rights, safety and well-being are protected. Each clinical trial must be conducted under a protocol that details, among other things, the study objectives and parameters for monitoring safety and the efficacy criteria, if any, to be evaluated. The protocol is submitted to the FDA as part of the IND and reviewed by the agency before the study begins. Additionally, each clinical trial must be reviewed, approved and conducted under the auspices of an Institutional Review Board (“IRB”). The sponsor of a clinical trial, the investigators and IRBs each must comply with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11" w:right="239"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6"/>
          <w:szCs w:val="16"/>
          <w:color w:val="auto"/>
        </w:rPr>
        <w:t>requirements and restrictions that govern, among other things, obtaining informed consent from each study subject, complying with the protocol and investigational plan, adequately monitoring the clinical trial, and timely reporting adverse events. Foreign studies conducted under an IND must meet the same requirements applicable to studies conducted in the United States. However, if a foreign study is not conducted under an IND, the data may still be submitted to the FDA in support of a product application, if the study was conducted in accordance with cGCP and the FDA is able to validate the data.</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of a clinical trial or the sponsor’s designated responsible party may be required to register certain information about the trial and disclose certain results on government or independent registry websites, such as http://clinicaltrials.gov.</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Clinical testing is typically performed in three phases, which may overlap or be subdivided in some cases.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Phase 1, the drug is administered to a small number of human subjects to assess its safety and to develop detailed profiles of its pharmacological and pharmacokinetic actions (</w:t>
      </w:r>
      <w:r>
        <w:rPr>
          <w:rFonts w:ascii="Arial" w:cs="Arial" w:eastAsia="Arial" w:hAnsi="Arial"/>
          <w:sz w:val="17"/>
          <w:szCs w:val="17"/>
          <w:i w:val="1"/>
          <w:iCs w:val="1"/>
          <w:color w:val="auto"/>
        </w:rPr>
        <w:t>i.e.</w:t>
      </w:r>
      <w:r>
        <w:rPr>
          <w:rFonts w:ascii="Arial" w:cs="Arial" w:eastAsia="Arial" w:hAnsi="Arial"/>
          <w:sz w:val="17"/>
          <w:szCs w:val="17"/>
          <w:color w:val="auto"/>
        </w:rPr>
        <w:t>, absorption, distribution, metabolism and excretion). Although Phase 1 trials typically are conducted in healthy human subjects, in some instances (including, for example, with some cancer therapies) the study subjects are patients with the targeted disease or condition.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Phase 2, the drug is administered to a relatively small sample of the intended patient population to develop initial data regarding efficacy in the targeted disease, determine the optimal dose range, and generate additional information regarding the drug’s safety. Additional animal toxicology studies may precede this phase.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Phase 3, the drug is administered to a larger group of patients, which may include patients with concomitant diseases and medications. Typically, Phase 3 trials are conducted at multiple study sites and may be conducted concurrently for the sake of time and efficiency. The purpose of Phase 3 clinical trials is to obtain additional information about safety and effectiveness necessary to evaluate the drug’s overall risk-benefit profile and to provide a basis for product labeling. Phase 3 data often form the core basis on which the FDA evaluates a product candidate’s safety and effectiveness when considering the product application.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study sponsor, the FDA or an IRB may suspend or terminate a clinical trial at any time on various grounds, including a determination that study subjects are being exposed to an unacceptable health risk. Success in early-stage clinical trials does not assure success in later-stage clinical trials. Moreover, data from clinical trials are not always conclusive and may be subject to alternative interpretations that could delay, limit or prevent approval.</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NDA Submission and Review. </w:t>
      </w:r>
      <w:r>
        <w:rPr>
          <w:rFonts w:ascii="Arial" w:cs="Arial" w:eastAsia="Arial" w:hAnsi="Arial"/>
          <w:sz w:val="17"/>
          <w:szCs w:val="17"/>
          <w:color w:val="auto"/>
        </w:rPr>
        <w:t>After completing the clinical studies, a sponsor seeking approval to market a drug in the United States submits to the FDA a</w:t>
      </w:r>
      <w:r>
        <w:rPr>
          <w:rFonts w:ascii="Arial" w:cs="Arial" w:eastAsia="Arial" w:hAnsi="Arial"/>
          <w:sz w:val="17"/>
          <w:szCs w:val="17"/>
          <w:i w:val="1"/>
          <w:iCs w:val="1"/>
          <w:color w:val="auto"/>
        </w:rPr>
        <w:t xml:space="preserve"> </w:t>
      </w:r>
      <w:r>
        <w:rPr>
          <w:rFonts w:ascii="Arial" w:cs="Arial" w:eastAsia="Arial" w:hAnsi="Arial"/>
          <w:sz w:val="17"/>
          <w:szCs w:val="17"/>
          <w:color w:val="auto"/>
        </w:rPr>
        <w:t>New Drug Application (“NDA”). The NDA is a comprehensive, multi-volume application intended to demonstrate the product’s safety and effectiveness and includes, among other things, pre-clinical and clinical data, information about the drug’s composition, the sponsor’s plans for manufacturing and packaging and proposed labeling. When an NDA is submitted, the FDA makes an initial determination as to whether the application is sufficiently complete to be accepted for review. If the application is not, the FDA may refuse to accept the NDA for filing and request additional information. A refusal to file, which requires resubmission of the NDA with the requested additional information, delays review of the application.</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FDA performance goals generally provide for action on an NDA within 10 months of the 60-day filing date, or within 12 months of its submission. That deadline can be extended under certain circumstances, including by the FDA’s requests for additional information. The targeted action date can also be shortened to 6 months of the 60-day filing date, or 8 months after submission for products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 For example, the Fast Track program is intended to facilitate the development and review of new drugs that demonstrate the potential to address unmet medical needs involving serious or life-threatening diseases or conditions. If a drug receives Fast Track designation, the FDA may review sections of the NDA on a rolling basis, rather than requiring the entire application to be submitted to begin the review. Products with Fast Track designation also may be eligible for more frequent meetings and correspondence with the FDA about the product’s development. Another FDA program intended to expedite development is Accelerated Approval, which allows approval on the basis of a surrogate endpoint that is reasonably likely to predict clinical benefit. Breakthrough Therapy designation, which is available for drugs under development for serious or life-threatening conditions and where preliminary clinical evidence shows that the drug may have substantial improvement on at least one clinically significant endpoint over available therapy, means that a drug will be eligible for all of the benefits of Fast Track designation, as well as more intensive guidance from the FDA on an efficient drug development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11" w:right="2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t>program and a commitment from the agency to involve senior FDA managers in such guidance. Even if a product candidate qualifies for Fast Track designation or Breakthrough Therapy designation, the FDA may later decide that the product no longer meets the conditions for designation, and/or may determine that the product does not meet the standards for approval. As applicable, we anticipate seeking to utilize these programs to expedite the development and review of our product candidates, but we cannot ensure that our product candidates will qualify for such programs.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FDA concludes that an NDA does not meet the regulatory standards for approval, it typically issues a Complete Response letter, which communicates the reasons for the agency’s decision not to approve the application and may request additional information, including additional clinical data. An NDA may be resubmitted with the deficiencies addressed, but resubmission does not guarantee approval. Data from clinical trials are not always conclusive, and the FDA’s interpretation of data may differ from the sponsor’s. Obtaining approval can take years, requires substantial resources and depends on a number of factors, including the severity of the targeted disease or condition, the availability of alternative treatments, and the risks and benefits demonstrated in clinical trials. Additionally, as a condition of approval, the FDA may impose restrictions that could affect the commercial prospects of a product and increase our costs, such as a Risk Evaluation and Mitigation Strategy (“REMS”), and/or post-approval commitments to conduct additional clinical or non-clinical studies or to conduct surveillance programs to monitor the drug’s effects.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once a product is approved, information about its safety or effectiveness from broader clinical use may limit or prevent successful commercialization because of regulatory action, market forces or for other reasons. Post-approval modifications to a drug product, such as changes in indications, labeling or manufacturing processes or facilities, may require development and submission of additional information or data in a new or supplemental NDA, which would also require prior FDA approval.</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Exclusivity and Patent Protection. </w:t>
      </w:r>
      <w:r>
        <w:rPr>
          <w:rFonts w:ascii="Arial" w:cs="Arial" w:eastAsia="Arial" w:hAnsi="Arial"/>
          <w:sz w:val="17"/>
          <w:szCs w:val="17"/>
          <w:color w:val="auto"/>
        </w:rPr>
        <w:t>In the United States and elsewhere, certain regulatory exclusivities and patent rights can provide an approved drug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with protection from certain competitors’ products for a period of time and within a certain scope. In the United States, those protections include regulatory exclusivity under the under the Drug Price Competition and Patent Term Restoration Act of 1984 (the “Hatch-Waxman Act”). The Hatch-Waxman Act provides periods of exclusivity for a branded drug product that would serve as a reference listed drug (“RLD”) for a generic drug applicant filing an abbreviated new drug application (“ANDA”) or for an applicant filing a 505(b)(2) NDA application. If such a product is a “new chemical entity” (“NCE”) generally meaning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(as described below). Such a product that is not an NCE may qualify for a three-year period of exclusivity if its NDA contains new clinical data,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until three years after approval of the RLD. This 3-year exclusivity applies only to the conditions of approval that required submission of the clinical data.</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Hatch-Waxman Act also provides for the restoration of a portion of the patent term lost during product development and FDA review of an NDA if approval of the application is the first permitted commercial marketing of a drug containing the active ingredient. The patent term restoration period is generally one-half the time between the effective date of the IND or the date of patent grant (whichever is later) and the date of submission of the NDA, plus the time between the date of submission of the NDA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The Hatch-Waxman Act establishes two abbreviated approval pathways for drug products that are in some way follow-on versions of already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branded NDA products: (i) generic versions of the approved RLD, which may be approved under an ANDA by showing that the generic product is the “same as” the approved product in key respects; and (ii) a product that is similar but not identical to the RLD, which may be approved under a 505(b)(2) NDA, in which the sponsor relies to some degree on the FDA’s finding that the RLD is safe and effective, but submits its own product-specific data to support the differences between the product and the RLD.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sponsor of an ANDA or 505(b)(2) application seeking to rely on an approved product as the RLD must make one of several certifications regarding each patent for the RLD that is listed in the FDA publication,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xml:space="preserve">, which is referred to as the </w:t>
      </w:r>
      <w:r>
        <w:rPr>
          <w:rFonts w:ascii="Arial" w:cs="Arial" w:eastAsia="Arial" w:hAnsi="Arial"/>
          <w:sz w:val="18"/>
          <w:szCs w:val="18"/>
          <w:i w:val="1"/>
          <w:iCs w:val="1"/>
          <w:color w:val="auto"/>
        </w:rPr>
        <w:t>Orange Book</w:t>
      </w:r>
      <w:r>
        <w:rPr>
          <w:rFonts w:ascii="Arial" w:cs="Arial" w:eastAsia="Arial" w:hAnsi="Arial"/>
          <w:sz w:val="18"/>
          <w:szCs w:val="18"/>
          <w:color w:val="auto"/>
        </w:rPr>
        <w:t>. A “Paragraph III” certification is the sponsor’s statement that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11" w:right="2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it will wait for the patent to expire before obtaining approval for its product. A “Paragraph IV” certification is an assertion that the patent does not block approval of the later product, either because the patent is invalid or unenforceable or because the patent, even if valid, is not infringed by the new product. Once the FDA accepts for filing an ANDA or 505(b)(2) application containing a Paragraph IV certification, the applicant must within 20 days provide notice to the RLD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Once approved, drug products are subject to continuing extensive regulation by the FDA. If ongoing regulatory requirements are not met, or if safety problems occur after a product reaches market, the FDA may take actions to change the conditions under which the product is marketed, including limiting, suspending or even withdrawing approval. In addition to FDA regulation, our business is also subject to extensive federal, state, local and foreign regulation.</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Good Manufacturing Practices. </w:t>
      </w:r>
      <w:r>
        <w:rPr>
          <w:rFonts w:ascii="Arial" w:cs="Arial" w:eastAsia="Arial" w:hAnsi="Arial"/>
          <w:sz w:val="17"/>
          <w:szCs w:val="17"/>
          <w:color w:val="auto"/>
        </w:rPr>
        <w:t>Companies engaged in manufacturing drug products or their components must comply with applicable current Good</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Practice (“cGMP”) requirements, which include requirements regarding 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Failure to comply with applicable cGMP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drug products, we cannot be certain that our present or future third-party manufacturers will consistently comply with cGMP or other applicable FDA regulatory requirements.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Once a product is approved, its advertising, promotion and marketing will be subject to close regulation, including with regard to</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 to healthcare practitioners, direct-to-consumer advertising, 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Requirements</w:t>
      </w:r>
      <w:r>
        <w:rPr>
          <w:rFonts w:ascii="Arial" w:cs="Arial" w:eastAsia="Arial" w:hAnsi="Arial"/>
          <w:sz w:val="18"/>
          <w:szCs w:val="18"/>
          <w:color w:val="auto"/>
        </w:rPr>
        <w:t>. Companies that manufacture or distribute drug products pursuant to approved NDAs must meet numerous other regulatory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adverse event reporting, submission of periodic reports, and record-keeping obligations.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Fraud and Abuse Laws. </w:t>
      </w:r>
      <w:r>
        <w:rPr>
          <w:rFonts w:ascii="Arial" w:cs="Arial" w:eastAsia="Arial" w:hAnsi="Arial"/>
          <w:sz w:val="18"/>
          <w:szCs w:val="18"/>
          <w:color w:val="auto"/>
        </w:rPr>
        <w:t>At such time as we market, sell and distribute any products for which we obtain marketing approval, it is possible that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could be subject to scrutiny and enforcement under one or more federal or state health care fraud and abuse laws and regulations, which could affect our ability to operate our business. These restrictions under applicable federal and state health care fraud and abuse laws and regulations that may affect our ability to operate include:</w:t>
      </w:r>
    </w:p>
    <w:p>
      <w:pPr>
        <w:spacing w:after="0" w:line="187" w:lineRule="exact"/>
        <w:rPr>
          <w:sz w:val="20"/>
          <w:szCs w:val="20"/>
          <w:color w:val="auto"/>
        </w:rPr>
      </w:pPr>
    </w:p>
    <w:p>
      <w:pPr>
        <w:jc w:val="both"/>
        <w:ind w:left="660" w:hanging="328"/>
        <w:spacing w:after="0" w:line="27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federal Anti-Kickback Law,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healthcare programs such as Medicare and Medicaid. This statute has been interpreted to apply to arrangements between pharmaceutical companies on one hand and prescribers, purchasers and formulary managers on the other. Liability may be established under the federal Anti-Kickback Law without proving actual knowledge of the statute or specific intent to violate it. In addition, the government may assert that a claim including items or services resulting from a violation of the federal Anti-Kickback Law constitutes a false or fraudulent claim for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11" w:right="239" w:bottom="1440" w:gutter="0" w:footer="0" w:header="0"/>
        </w:sectPr>
      </w:pPr>
    </w:p>
    <w:bookmarkStart w:id="18" w:name="page19"/>
    <w:bookmarkEnd w:id="18"/>
    <w:p>
      <w:pPr>
        <w:jc w:val="both"/>
        <w:ind w:left="328"/>
        <w:spacing w:after="0" w:line="259" w:lineRule="auto"/>
        <w:rPr>
          <w:sz w:val="20"/>
          <w:szCs w:val="20"/>
          <w:color w:val="auto"/>
        </w:rPr>
      </w:pPr>
      <w:r>
        <w:rPr>
          <w:rFonts w:ascii="Arial" w:cs="Arial" w:eastAsia="Arial" w:hAnsi="Arial"/>
          <w:sz w:val="18"/>
          <w:szCs w:val="18"/>
          <w:color w:val="auto"/>
        </w:rPr>
        <w:t>purposes of the federal civil False Claims Act. Although there are a number of statutory exemptions and regulatory safe harbors to the federal Anti-Kickback Law protecting certain common business arrangements and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187" w:lineRule="exact"/>
        <w:rPr>
          <w:sz w:val="20"/>
          <w:szCs w:val="20"/>
          <w:color w:val="auto"/>
        </w:rPr>
      </w:pPr>
    </w:p>
    <w:p>
      <w:pPr>
        <w:jc w:val="both"/>
        <w:ind w:left="328" w:hanging="328"/>
        <w:spacing w:after="0" w:line="286" w:lineRule="auto"/>
        <w:tabs>
          <w:tab w:leader="none" w:pos="32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United States Attorney General or as a qui tam action by a private individual (a whistleblower) in the name of the government and the individual, and the whistleblower may share in any monetary recovery. Many pharmaceutical and other healthcare companies have been investigated and have reached substantial financial settlements with the federal government under the civil False Claims Act for a variety of alleged improper marketing activities, including: providing free product to customers with the expectation that the customers would bill federal programs for the product; providing sham consulting fees, grants, free travel and other benefits to physicians to induce them to prescribe the company’s products; and inflating prices reported to private price publication services, which are used to set drug payment rates under government healthcare programs. In addition, in recent years the government has pursued civil False Claims Act cases against a number of pharmaceutical companies for causing false claims to be submitted as a result of the marketing of their products for unapproved, and thus non-reimbursable, uses. Because of the threat of treble damages and mandatory penalties per false or fraudulent claim or statement, healthcare and pharmaceutical companies often resolve allegations without admissions of liability for significant and material amounts. Pharmaceutical and other healthcare companies also are subject to other federal false claim laws, including, among others, federal criminal healthcare fraud and false statement statutes that extend to non-government health benefit programs.</w:t>
      </w:r>
    </w:p>
    <w:p>
      <w:pPr>
        <w:spacing w:after="0" w:line="168" w:lineRule="exact"/>
        <w:rPr>
          <w:rFonts w:ascii="Arial" w:cs="Arial" w:eastAsia="Arial" w:hAnsi="Arial"/>
          <w:sz w:val="16"/>
          <w:szCs w:val="16"/>
          <w:color w:val="auto"/>
        </w:rPr>
      </w:pPr>
    </w:p>
    <w:p>
      <w:pPr>
        <w:jc w:val="both"/>
        <w:ind w:left="328" w:hanging="328"/>
        <w:spacing w:after="0" w:line="291" w:lineRule="auto"/>
        <w:tabs>
          <w:tab w:leader="none" w:pos="328" w:val="left"/>
        </w:tabs>
        <w:numPr>
          <w:ilvl w:val="0"/>
          <w:numId w:val="8"/>
        </w:numPr>
        <w:rPr>
          <w:rFonts w:ascii="Arial" w:cs="Arial" w:eastAsia="Arial" w:hAnsi="Arial"/>
          <w:sz w:val="16"/>
          <w:szCs w:val="16"/>
          <w:color w:val="auto"/>
        </w:rPr>
      </w:pPr>
      <w:r>
        <w:rPr>
          <w:rFonts w:ascii="Arial" w:cs="Arial" w:eastAsia="Arial" w:hAnsi="Arial"/>
          <w:sz w:val="16"/>
          <w:szCs w:val="16"/>
          <w:color w:val="auto"/>
        </w:rPr>
        <w:t>Analogous state and local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and state and foreign laws that require drug manufacturers to report information related to clinical trials, or information related to payments and other transfers of value to physicians and other healthcare providers or marketing expenditures; state laws and local ordinances that require identification or licensing of sales representatives.</w:t>
      </w:r>
    </w:p>
    <w:p>
      <w:pPr>
        <w:spacing w:after="0" w:line="167" w:lineRule="exact"/>
        <w:rPr>
          <w:rFonts w:ascii="Arial" w:cs="Arial" w:eastAsia="Arial" w:hAnsi="Arial"/>
          <w:sz w:val="16"/>
          <w:szCs w:val="16"/>
          <w:color w:val="auto"/>
        </w:rPr>
      </w:pPr>
    </w:p>
    <w:p>
      <w:pPr>
        <w:jc w:val="both"/>
        <w:ind w:left="328" w:hanging="328"/>
        <w:spacing w:after="0" w:line="255"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the Centers for Medicare and Medicaid Services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(starting in 2021) to physician assistants, nurse practitioners, clinical nurse specialists, certified nurse anesthetists, and certified nurse-midwives.</w:t>
      </w:r>
    </w:p>
    <w:p>
      <w:pPr>
        <w:spacing w:after="0" w:line="189" w:lineRule="exact"/>
        <w:rPr>
          <w:rFonts w:ascii="Arial" w:cs="Arial" w:eastAsia="Arial" w:hAnsi="Arial"/>
          <w:sz w:val="18"/>
          <w:szCs w:val="18"/>
          <w:color w:val="auto"/>
        </w:rPr>
      </w:pPr>
    </w:p>
    <w:p>
      <w:pPr>
        <w:jc w:val="both"/>
        <w:ind w:left="328" w:hanging="328"/>
        <w:spacing w:after="0" w:line="272" w:lineRule="auto"/>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Foreign Corrupt Practices Act of 1997 and other similar anti-bribery laws in other jurisdictions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United States regulators, with more frequent and aggressive investigations and enforcement proceedings by both the Department of Justice and the United States Securities and Exchange Commission (the “SEC”). Violations of United States or foreign laws or regulations could result in the imposition of substantial fines, interruptions of business, loss of supplier, vendor or other third-party relationships, termination of necessary licenses and permits and other legal or equitable sanctions.</w:t>
      </w:r>
    </w:p>
    <w:p>
      <w:pPr>
        <w:spacing w:after="0" w:line="23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8"/>
          </w:cols>
          <w:pgMar w:left="572" w:top="611" w:right="239" w:bottom="1440" w:gutter="0" w:footer="0" w:header="0"/>
        </w:sectPr>
      </w:pPr>
    </w:p>
    <w:bookmarkStart w:id="19" w:name="page20"/>
    <w:bookmarkEnd w:id="19"/>
    <w:p>
      <w:pPr>
        <w:ind w:left="660"/>
        <w:spacing w:after="0" w:line="277" w:lineRule="auto"/>
        <w:rPr>
          <w:sz w:val="20"/>
          <w:szCs w:val="20"/>
          <w:color w:val="auto"/>
        </w:rPr>
      </w:pPr>
      <w:r>
        <w:rPr>
          <w:rFonts w:ascii="Arial" w:cs="Arial" w:eastAsia="Arial" w:hAnsi="Arial"/>
          <w:sz w:val="18"/>
          <w:szCs w:val="18"/>
          <w:color w:val="auto"/>
        </w:rPr>
        <w:t>Other internal or government investigations or legal or regulatory proceedings, including lawsuits brought by private litigants, may also follow as a consequence.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Violations of any of the laws described above or any other governmental regulations are punishable by significant civil, criminal and administrative penalties, damages, fines and exclusion from government-funded healthcare programs, such as Medicare and Medicaid. Although compliance programs can mitigate the risk of investigation and prosecution for violations of these laws, the risks cannot be entirely eliminated. Moreover, achieving and sustaining compliance with applicable federal and state privacy, security and fraud laws may prove costly.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Privacy Laws</w:t>
      </w:r>
      <w:r>
        <w:rPr>
          <w:rFonts w:ascii="Arial" w:cs="Arial" w:eastAsia="Arial" w:hAnsi="Arial"/>
          <w:sz w:val="18"/>
          <w:szCs w:val="18"/>
          <w:color w:val="auto"/>
        </w:rPr>
        <w:t>. We are also subject to federal, state and foreign laws and regulations governing data privacy and security of health information,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use 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state genetic privacy laws, and federal and state consumer protection and privacy laws, (including, for example, Section 5 of the FTC Act, and the California Consumer Privacy Act (“CCPA”))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if we successfully commercialize our product candidates, we may obtain patient health information from healthcare providers who prescribe our products and research institutions we collaborate with, and they are subject to privacy and security requirements under the Health Insurance Portability and Accountability Act of 1996 (“HIPAA”). Although we are not directly subject to HIPAA other than potentially with respect to providing certain employee benefits, we could potentially be subject to criminal penalties if we, or our affiliates or our agents knowingly obtain, use or disclose individually identifiable health information maintained by a HIPAA-covered entity in a manner that is not authorized or permitted by HIPAA.</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California, the CCPA took effect on January 1, 2020. The CCPA establishes certain requirements for data use and sharing transparency and creates new data privacy rights for consumers.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other jurisdictions that could impose new obligations or limitations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 and research activities. These laws and regulations, as well as any associated claims, inquiries, or investigations or any other government actions may lead to unfavorable outcomes including increased compliance costs, delays or impediments in the development of new products, negative publicity, increased operating costs, diversion of management time and attention, and remedies that harm our business, including fines or demands or orders that we modify or cease existing business practices.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are able to generate from the sale of the product in that particular country. Adverse pricing limitations may hinder our ability to recoup our investment in one or more product candidates even if our product candidates obtain marketing approval.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11" w:right="239" w:bottom="1440" w:gutter="0" w:footer="0" w:header="0"/>
        </w:sectPr>
      </w:pPr>
    </w:p>
    <w:bookmarkStart w:id="20" w:name="page21"/>
    <w:bookmarkEnd w:id="20"/>
    <w:p>
      <w:pPr>
        <w:jc w:val="both"/>
        <w:spacing w:after="0" w:line="272"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in a timely manner from government third-party payors, including government healthcare programs such as Medicare and Medicaid, commercial health insurers and managed care organizations. Government authorities and other third-party payors, such as private health insurers and health maintenance organizations, determine which medications they will cover and establish reimbursement levels. Third-party payors may limit coverage to specific products on an approved list, or formulary, which may not include all of the FDA-approved products for a particular indication. The process for determining whether a payor will provide coverage for a product may be separate from the process for setting the price or reimbursement rate that the payor will pay for the product once coverage is approved.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primary trend in the United States healthcare industry and elsewhere is cost containment. Government healthcare programs and other third-party payors are increasingly challenging the prices charged for medical products and services and examining the medical necessity and cost-effectiveness of medical products and services, in addition to their safety and efficacy, and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promptly or at all for any product that we commercialize and, if reimbursement is available, what the level of reimbursement will be. Moreover, eligibility for coverage and reimbursement does not imply that any drug will be paid for in all cases. Limited coverage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Obtaining coverage and adequate reimbursement is a time-consuming and costly process.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Limited coverage may impact the demand for, or the price of, any product candidate for which we obtain marketing approval. Third-party payors also may seek additional clinical evidence, including expensive pharmacoeconomic studies, beyond the data required to obtain marketing approval, demonstrating clinical benefits and value in specific patient populations, before covering our products for those patients. If reimbursement is available only for limited indications, we may not be able to successfully commercialize any product candidate for which we obtain marketing approval.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successfully commercialize any of our products, we may participate in the Medicaid Drug Rebate Program. Participation is required for federal funds to be available for our products under Medicaid and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in order to be eligible to have its products paid for with federal funds under the Medicaid and Medicare Part B programs and purchased by the Department of Veterans Affairs (the “VA”), Department of Defense (“DoD”), Public Health Service,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11" w:right="2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7"/>
          <w:szCs w:val="17"/>
          <w:color w:val="auto"/>
        </w:rPr>
        <w:t>Coast Guard (the “Big Four agencies”) and certain federal grantees, a manufacturer also must participate in the VA Federal Supply Schedule (“FSS”) pricing program, established by Section 603 of the Veterans Health Care Act of 1992 (the “VHCA”). Under this program, the manufacturer is obligated to make its covered drugs (innovator multiple source drugs, single source drugs, and biologics)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(“Non-FAMP”), which we will be required to calculate and report to the VA on a quarterly and annual basis. Moreover, pursuant to Defense Health Agency (“DHA”) regulations, manufacturers must provide rebates on utilization of their innovator and single source products that are dispensed to TRICARE beneficiaries by TRICARE network retail pharmacies. The formula for determining the rebate is established in the regulations and is based on the difference between the annual non-federal average manufacturer price and the Federal Ceiling Price, each required to be calculated by us under the VHCA. The requirements under the Medicaid Drug Rebate Program, 340B program, FSS, and TRICARE programs could reduce the revenue we may generate from any products that are commercialized in the future and could adversely affect our business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Healthcare Reform</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recent years, Congress has considered reductions in Medicare reimbursement levels for drugs administered by physicians. CMS, the agency that administers the Medicare and Medicaid programs, has authority to revise reimbursement rates and to implement coverage restrictions for some drugs. Cost reduction initiatives and changes in coverage implemented through legislation or regulation could decrease utilization of and reimbursement for any approved products, which in turn would affect the price we can receive for those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Affordable Care Act, as amended by the Health Care and Education Reconciliation Act of 2010 (collectively, the “Affordable Care Act”), has substantially changed the way healthcare is financed by both governmental and private insurers, and has significantly impacted the pharmaceutical industry. The Affordable Care Act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provisions of the Affordable Care Act have been subject to judicial challenges as well as efforts to repeal or replace them or to alter their interpretation and implementation. For example, the Tax Cuts and Jobs Act, enacted on December 22, 2017, eliminated the tax-based shared responsibility payment for individuals who fail to maintain minimum essential coverage under section 5000A of the Internal Revenue Code of 1986, commonly referred to as the individual mandate, effective January 1, 2019. In December 2018, the United States District Court for the Northern District of Texas ruled (i) that the “individual mandate” is unconstitutional as a result of the associated tax penalty being repealed by Congress as part of the Tax Cuts and Jobs Act; and (ii) the individual mandate is not severable from the rest of the Affordable Care Act, and as a result the entire Affordable Care Act is invalid. In December 2019, the United States Court of Appeals for the Fifth Circuit affirmed the district court’s decision that the individual mandate is unconstitutional, but remanded the case to the district court to reconsider the severability question. It is unclear how the ultimate decision in this case, which is now pending before the United States Supreme Court, or other efforts to repeal, replace, or invalidate, the Affordable Care Act or its implementing regulations, or portions thereof, will impact our business. Additional legislative changes, regulatory changes, and judicial challenges related to the Affordable Care Act remain possible. Any such changes could decrease the number of individuals with health coverage. It is possible that the Affordable Care Act, as currently enacted or as it may be amended in the future, and other healthcare reform measures that may be adopted in the future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1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could have a material adverse effect on our industry generally and on our ability to successfully commercialize our product candidates, if approved.</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other legislative changes have been proposed since the Affordable Care Act was enacted. For example, recent legislative enactments have resulted in Medicare payments to providers being subject to a reduction of, on average, two percent, referred to as sequestration, until 2029. Continuation of sequestration or enactment of other reductions in Medicare reimbursement for drugs could affect our ability to achieve a profit on any candidate products that are approved for marketing.</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that the Affordable Care Act, as well as other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regulations in the United States, we will be subject to a number of significant regulations in other jurisdictions regarding clinical trials, approval, manufacturing, marketing and promotion and safety reporting. These requirements and restrictions vary from country to country, but in many instances are similar to the United States requirements, and failure to comply with them could have the same negative effects as noncompliance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Arbutus Biopharma Corporation is a publicly traded industry-leading therapeutic solutions company focused on discovering, developing and commercializing a curative combination regimen for patients suffering from chronic HBV infection.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Tekmira Pharmaceuticals Corporation (“Tekmira”) was incorporated pursuant to the British Columbia Business Corporations Act (“BCBCA”) on October 6, 2005, and commenced active business on April 30, 2007, when Tekmira and its parent company, Inex Pharmaceuticals Corporation (“Inex”), were reorganized under a statutory plan of arrangement (the “Plan of Arrangement”) completed under the provisions of the BCBCA. Pursuant to the Plan of Arrangement, all of Inex’s business was transferred to Tekmira.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2015, we completed a business combination pursuant to which OnCore Biopharma, Inc. (“OnCore”), became our wholly-owned subsidiary of Tekmira.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31, 2015, we changed our corporate name from Tekmira Pharmaceuticals Corporation to Arbutus Biopharma Corporation and OnCore changed its corporate name to Arbutus Biopharma, Inc.</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two wholly-owned subsidiaries as of December 31, 2019: Arbutus Biopharma, Inc. and Arbutus Biopharma US Holdings, Inc., which was formed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Protiva was acquired on May 30, 2008. On January 1, 2018, Protiva was amalgamated with Arbutus Biopharma 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stated otherwise or the context otherwise requires, references herein to “Arbutus”, “we”, “us” and “our” refer to Arbutus Biopharma Corporation, and, unless the context requires otherwise, the subsidiaries through which we conduct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principal executive office is located at 701 Veterans Circle, Warminster, Pennsylvania, USA, 18974, and our telephone number is (267) 469-0914.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1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Investor Information</w:t>
      </w:r>
    </w:p>
    <w:p>
      <w:pPr>
        <w:spacing w:after="0" w:line="229"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We are a reporting issuer in Canada under the securities laws of each of the Provinces of Canada. Our common shares trade on the Nasdaq Global Select Market under the symbol “ABUS”. We maintain a website at </w:t>
      </w:r>
      <w:hyperlink w:anchor="page1">
        <w:r>
          <w:rPr>
            <w:rFonts w:ascii="Arial" w:cs="Arial" w:eastAsia="Arial" w:hAnsi="Arial"/>
            <w:sz w:val="17"/>
            <w:szCs w:val="17"/>
            <w:u w:val="single" w:color="auto"/>
            <w:color w:val="0000EE"/>
          </w:rPr>
          <w:t>http://www.arbutusbio.com</w:t>
        </w:r>
      </w:hyperlink>
      <w:r>
        <w:rPr>
          <w:rFonts w:ascii="Arial" w:cs="Arial" w:eastAsia="Arial" w:hAnsi="Arial"/>
          <w:sz w:val="17"/>
          <w:szCs w:val="17"/>
          <w:color w:val="auto"/>
        </w:rPr>
        <w:t>.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Our reports filed or furnished pursuant to Section 13(a) or 15(d) of the Securities Exchange Act of 1934, as amended, including our annual reports on Form 10-K (and our annual reports on Form 20-F up to the year ended December 31, 2012), our quarterly reports on Form 10-Q (and our quarterly reports on Form 6-K up to the quarter-ended September 30, 2013) and our current reports on Form 8-K, and amendments to those reports, are accessible through our website, free of charge, as soon as reasonably practicable after these reports are filed electronically with, or otherwise furnished to, the United States Securities and Exchange Commission (“SEC”). We also make available on our website the charters of our audit committee, executive compensation and human resources committee and corporate governance and nominating committee, whistleblower policy, insider trading policy, corporate disclosure policy, related persons transactions policy and majority voting policy, as well as our code of business conduct and ethics for directors, officers and employees. In addition, we intend to disclose on our web site any amendments to, or waivers from, our code of business conduct and ethics that are required to be disclosed pursuant to the SEC rules.</w:t>
      </w:r>
    </w:p>
    <w:p>
      <w:pPr>
        <w:spacing w:after="0" w:line="180"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SEC also maintains a website that contains reports, proxy and information statements, and other information regarding Arbutus and other issuers that file electronically with the SEC. The SEC’s website address is </w:t>
      </w:r>
      <w:hyperlink w:anchor="page1">
        <w:r>
          <w:rPr>
            <w:rFonts w:ascii="Arial" w:cs="Arial" w:eastAsia="Arial" w:hAnsi="Arial"/>
            <w:sz w:val="18"/>
            <w:szCs w:val="18"/>
            <w:u w:val="single" w:color="auto"/>
            <w:color w:val="0000EE"/>
          </w:rPr>
          <w:t>http://www.sec.gov</w:t>
        </w:r>
      </w:hyperlink>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0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Our business is subject to substantial risks and uncertainties. The occurrence of any of the following risks and uncertainties, either alone or taken together, could materially and adversely affect our business, financial condition, results of operations or prospects. In these circumstances, the market price of our common shares could decline and you may lose all or part of your investment. The risks and uncertainties described below are not the only ones we face. Risks and uncertainties of general applicability and additional risks and uncertainties not currently known to us or that we currently deem to be immaterial may also materially and adversely affect our business, financiongal condition, results of operations or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Financial Results and Need for Additional Capital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in the early stages of our development, and there is a limited amount of information about us upon which you can evaluate our product candidates.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not begun to market or generate revenues from the commercialization of any of our product candidates. We have only a limited history upon which one can evaluate our business and prospects as our product candidates are still at an early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5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execute research and development activities using technologies involved in the development of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gain regulatory approval and acceptance for the development and commercialization of any product candidates we develop;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sales and marketing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our spending and cash requirements as our expenses are expected to continue to increase due to research and pre-clinical work, clinical trials, regulatory approvals, commercialization and maintaining our intellectual property portfolio.</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we are unsuccessful in accomplishing these objectives, we may not be able to develop our product candidates, raise capital, expand our business or continue our operations. The approach we are taking to discover and develop novel product candidates is unproven and may never lead to marketable products.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concentrating and intend to continue to concentrate our internal research and development efforts primarily on the discovery and development of product candidates targeting chronic HBV in order to ultimately develop a curative combination regimen. Our future success depends in part on the successful development of these product candidates. Our approach to the treatment of HBV is unproven, and we do not know whether we will be able to develop any products of commercial value.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no known cure for HBV. Any compounds that we develop may not effectively address HBV persistence. Even if we are able to develop compounds that address one or more of the key factors in the HBV life cycle (e.g., HBV replication, HBsAg expression and immune reactivation), targeting these key factors has not been proven to cure HBV. If we cannot develop compounds to achieve our goal of curing HBV internally, we may be unable to acquire additional product candidates on terms acceptable to us, or at all. Even if we are able to acquire or develop product candidates that address one of these mechanisms of action in pre-clinical studies, we may not succeed in demonstrating safety and efficacy of the product candidate in clinical trials. If we are unable to identify suitable compounds for pre-clinical and clinical development, we will not succeed in realizing our goal of a curative combination regimen for HBV.</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07"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capital to fund our operations. If additional capital is not available, we may need to delay, limit or eliminate our research, development and commercialization processes and modify our business strategy.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principal sources of liquidity are cash, cash equivalents and marketable securities of $90.8 million as of December 31, 2019. We believe that our existing cash, cash equivalents and marketable securities will be sufficient to fund our operations into mid-2021. However, changing circumstances may cause us to consume capital faster than we currently anticipate, and we may need to spend more money than currently expected because of such circumstances. Within the next several years, substantial additional funds will be required to continue with the active development of our pipeline product candidates and technologies. In particular, our funding needs may vary depending on a number of factors including:</w:t>
      </w:r>
    </w:p>
    <w:p>
      <w:pPr>
        <w:spacing w:after="0" w:line="1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earned from our licensing partners, including Alnylam, Gritstone and Acrotech;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extent to which we continue the development of our product candidates or form licensing arrangements to advance our product candidates;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one or more of our product candidates;</w:t>
      </w: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batches of drugs that we manufacture fail to meet specifications resulting in delays and investigational and remanufacturing costs;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prosecuting and enforcing our patent claims and other intellectual property rights.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equity financings, debt financings, licensing agreements, partnerships, government grants and contracts and other strategic transactions and funding opportunities. There can be no assurance that we will be able to complete any such transaction on acceptable terms or otherwise.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will need to curtail and reduce our operations and costs, and modify our business strategy which may require us to, among other things:</w:t>
      </w:r>
    </w:p>
    <w:p>
      <w:pPr>
        <w:spacing w:after="0" w:line="170"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one or more of our product candidates or one or more of our research and development initiatives;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collaborators for one or more of our product candidates or one ore more of our research and development initiatives at an earlier stage than otherwise would be desirable or on terms that are less favorable than might otherwise be available;</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or license on unfavorable terms our rights to one or more of our technologies, product candidates or research and development initiatives that we otherwise would seek to develop or commercialize ourselves; or</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operations.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losses in nearly every year since our inception and we anticipate that we will not achieve sustained profits for the foreseeable future. To date, we have had no product revenues.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the exception of the years ended December 31, 2006 and December 31, 2012, we have incurred losses each fiscal year since inception through the year ended December 31, 2019 and have not received any revenues other than from research and development collaborations, royalties, license fees and milestone payments. From inception to December 31, 2019, we have an accumulated net deficit of $970.1 million. Investment in drug development is highly speculative because it entails substantial upfront capital expenditures and significant risk that a product candidate will fail to gain regulatory approval or become commercially viable. We continue to incur significant research, development and other expenses related to our ongoing operations including development of our product candidates. We do not expect to achieve sustained profits until such time as milestone payments, product sales and royalty payments, if any, generate sufficient revenues to fund our continuing operations. We cannot predict if we will ever achieve profitability and, if we do, we may not be able to remain consistently profitable or increase our profitability.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11"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continue to be significant if and as we:</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or trials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or expand our licensing arrangements with our licensing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regulatory approval;</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additional infrastructure to support our research, product development and planned future commercialization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generate revenues from product sales and may never be profitable.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generate revenue and achieve profitability depends on our ability, alone or with strategic partners, to successfully complete the development of, and obtain the regulatory approvals necessary for, the manufacture and commercialization of our product candidates. We do not anticipate generating significant revenues from product sales for the foreseeable future, if ever. Our ability to generate future revenues from product sales depends heavily on our success in:</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seeking and obtaining regulatory approvals for product candidates for which we complete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 sustainable, scalable, reproducible, and transferable manufacturing process for our product candidates;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amount and quality) products and services to support clinical development and the market demand for our product candidates, for which we obtain regulatory approval;</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 either by collaborating with a partner or, if launched independently, by establishing a sales force, marketing, sales operations and distribution infrastructure;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for which we obtain regulatory approval, as viable treatment options;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and validating new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outside the United States to perform clinical trials or 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will seek to raise additional funds in the future, which may be dilutive to shareholders or impose operational restrictions.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will need to raise additional capital in the future to help fund our pre-clinical studies, clinical trials and for the development and commercialization of our product candidates for which we obtain regulatory approval. If we raise additional capital through the issuance of equity securities, the percentage ownership of our current shareholders will be reduced. We may also issue equity as part of the consideration to our licensors, to compensate consultants or to settle outstanding payables. Our shareholders may experience additional dilution in net book value per share and any additional equity securities may have rights, preferences and privileges senior to those of the holders of our common shares. Debt financing, if available, will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which are not favorable to us or our existing shareholders. If we raise additional funds through corporate collaborations, partnerships or other strategic transactions, it may be necessary to relinquish valuable rights to our product candidates, our technologies or future revenue streams or to grant licenses or sell assets on terms that may not be favorable to us. If we cannot raise additional funds, we will have to delay our development activities or cease operations.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acquire other assets or businesses, or form strategic alliances or collaborations or make investments in other companies or technologies that could harm our financial condition, results of operations or cash flows, dilute our shareholders’ ownership, incur debt or cause us to incur significant expense.</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our business strategy, we may pursue acquisitions of assets or businesses, or strategic alliances or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or cash flows. We may not be able to find suitable acquisition candidates, and if we make any acquisitions, we may not be able to integrate these acquisitions successfully into our existing business and we may incur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collaboration partners or identify other investment opportunities, and we may experience losses related to any such investments.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finance any acquisitions or collaborations, we may choose to issue debt or equity securities as consideration. Any such issuance of shares would dilute the ownership of our shareholders. If the price of our common shares is low or volatile, we may not be able to acquire other assets or businesses or fund a transaction using our equity securities as consideration. Alternatively, it may be necessary for us to raise additional capital for acquisitions through public or private financings. Additional capital may not be available on terms that are favorable to us, or at all.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Development, Clinical Testing, Regulatory Approval, Marketing, and Coverage and Reimbursement of our Product Candidates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product candidates are in early stages of development and must go through clinical trials, which are very expensive, time-consuming and difficult to design and implement. The outcomes of clinical trials are uncertain, and delays in the completion of or the termination of any clinical trial of our product candidates could harm our business, financial condition and prospects.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research and development programs are at an early stage of development. We must demonstrate our product candidates’ safety and efficacy in humans through extensive clinical testing. Such testing is expensive and time-consuming and requires specialized knowledge and expertise.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11"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Clinical trials are expensive and difficult to design and implement, in part because they are subject to rigorous regulatory requirements. The clinical trial process is also time-consuming, and the outcome is not certain. We estimate that clinical trials of our product candidates will take multiple years to complete. Failure can occur at any stage of a clinical trial, and we could encounter problems that cause us to abandon or repeat clinical trials. The commencement and completion of clinical trials may be delayed or precluded by a number of factors, including:</w:t>
      </w:r>
    </w:p>
    <w:p>
      <w:pPr>
        <w:spacing w:after="0" w:line="187"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in reaching agreement with the FDA or other regulatory authority outside the United States on the design of a given trial, or in obtaining authorization to commence a trial;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 or failure in reaching agreement on acceptable terms with prospective clinical research organizations (“CROs”) and clinical trial sites;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in obtaining approval of an institutional review board (“IRB”) before a clinical trial can be initiated at a given site;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withdrawal of clinical trial sites from our clinical trials, including as a result of changing standards of care or the ineligibility of a site to participate;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in recruiting and enrolling patients in our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in having patients complete a clinical trial or return for post-treatment follow up;</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sites or investigators deviating from trial protocol, failing to conduct the trial in accordance with applicable regulatory requirements, or dropping out of a trial;</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CROs to meet their contractual obligations or deadlines;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modify a trial protocol;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emergence of dosing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standard of care of the indication being studied;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third-party suppliers for the clinical trial supply of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sufficient funding to finance the clinical trials;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cash flows and prospects significantly. In addition, many of the factors that cause, or lead to, a delay in the commencement or completion of clinical trials may also ultimately lead to the denial of regulatory approval of our product candidates.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11"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b w:val="1"/>
          <w:bCs w:val="1"/>
          <w:i w:val="1"/>
          <w:iCs w:val="1"/>
          <w:color w:val="auto"/>
        </w:rPr>
        <w:t>Pre-clinical studies and preliminary and interim data from clinical trials of our product candidates are not necessarily predictive of the results or success of ongoing or later clinical trials of our product candidates. If we cannot replicate the results from our pre-clinical studies and initial clinical trials of our product candidates in later clinical trials, we may be unable to successfully develop, obtain regulatory approval for and commercialize our product candidates.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we, have suffered significant setbacks in clinical trials, even after seeing promising results in prior pre-clinical studies and clinical trials. Even if we are able to complete our planned clinical trials of our product candidates according to our current development timeline, initial positive results from pre-clinical studies and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adversely affected. If we fail to produce positive results in our planned clinical trials of any of our product candidates, the development timeline and regulatory approval and commercialization prospects for such product candidate, and, correspondingly, our business and financial prospects, would be materially adversely affected.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limited resources, we may decide to pursue a particular product candidate and fail to advance product candidates that later demonstrate a greater chance of clinical and commercial success.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such as our decisions to no longer pursue AB-452 and AB-506.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terms of clinical and commercial success. If we make resource allocation decisions that later are shown to be inaccurate, our business and prospects could be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related to health epidemics and outbreaks, including the coronavirus, which could significantly disrupt our preclinical studies and clinical trials.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2019, a novel strain of coronavirus (COVID-19) was reported to have surfaced in Wuhan, China. The duration and the geographic impact of the business disruption and related financial impact resulting from the coronavirus cannot be reasonably estimated at this time and our business could be adversely impacted by the effects. We are currently conducting clinical trials in Moldova, Thailand, South Korea, Hong Kong, Australia and New Zealand. Enrollment of patients in these clinical trials and future clinical trials in these regions may be delayed due to the outbreak of COVID-19. In addition, we rely on independent clinical investigators, contract research organizations and other third-party service providers to assist us in managing, monitoring and otherwise carrying out our preclinical studies and clinical trials, and the outbreak may affect their ability to devote sufficient time and resources to our programs. We also rely on third party suppliers and contract manufacturers to produce the drug product we utilize in our clinical trials, and the outbreak may cause delays in delivery of APIs and drug product. As a result, the expected timeline for data readouts of our preclinical studies and clinical trials and certain regulatory filings may be negatively impacted, which would adversely affect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results may fail to support approval of our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11"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a different view, we may still fail to obtain regulatory approval of our product candidates. This, in turn, would significantly adversely affect our business prospects.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Several of our current pre-clinical studies and clinical trials are being conducted outside the United States, and the FDA may not accept data from trials conducted in locations outside the United States.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Several of our current pre-clinical studies and clinical trials are being conducted outside the United States and we may conduct further pre-clinical studies and clinical trials outside the United States in the future. We are currently conducting clinical trials in Moldova, Thailand, South Korea, Hong-Kong, Australia and New Zealand. To the extent we do not conduct these clinical trials under an IND, the FDA may not accept data from such trials. Although the FDA may accept data from clinical trials conducted outside the United States that are not conducted under an IND, FDA’s acceptance of these data is subject to certain conditions. For example, the clinical trial must be well designed and conducted and performed by qualified investigators in accordance with ethical principles. The trial population must also adequately represent the United States population, and the data must be applicable to the United States population and United States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ability to verify the data and its determination that the trials complied with all applicable United States laws and regulations. We cannot assure you that the FDA will accept data from trials conducted outside of the United States that are not conducted under an IND. If the FDA does not accept the data from such clinical trials, we likely would need to conduct additional trials, which would be costly and time-consuming and could delay or permanently halt our development of our product candidates.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how long it will take regulatory agencies to review our applications for product candidates, and we may fail to obtain the necessary regulatory approvals to market our product candidates.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we can commercialize our product candidates in the United States, we must obtain approval from the FDA. We must similarly obtain approvals from comparable regulatory authorities to commercial our product candidates in jurisdictions outside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obtain marketing approval, United States laws require: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controlled research and human clinical testing;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 for each use sought;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among other things, manufacturing, pre-clinical and clinical data;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Good Manufacturing Practice regulations.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of reviewing and approving a drug is time-consuming, unpredictable, and dependent on a variety of factors outside of our control. The FDA and corresponding regulatory authorities in other jurisdictions have a significant amount of discretion in deciding whether or not to approve a marketing application. Our product candidates could fail to receive regulatory approval from the FDA or comparable regulatory authorities outside the United States for several reasons, including:</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demonstrate that our candidate is safe and effective for the proposed indication;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clinical trial results to meet the level of statistical significance required for approval;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demonstrate that the product candidate’s benefits outweigh its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disagreement with our interpretation of pre-clinical or clinical data;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inadequacies in the manufacturing facilities or processes of third-party manufacturers.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or a comparable regulatory authority outside the United States may require us to conduct additional pre-clinical and clinical testing, which may delay or prevent approval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clinical trials. Any of these scenarios could materially harm the commercial prospects of a product candidate, and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1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our operations will be adversely effected.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particular product candidate causes undesirable side effects, then we may be unable to receive regulatory approval of or commercialize such product candidate.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experience numerous unforeseen events during, or as a result of, the testing process that could delay or prevent commercialization of any of our product candidates, including the occurrence of undesirable side effects. Such side effects could lead to clinical trial challenges, such as difficulties in patient recruitment, retention, and adherence, potential product liability claims, and possible termination by health authorities. These types of clinical trial challenges could in turn, delay or prevent regulatory approval of our product candidate. Side effects may also lead regulatory authorities to require stronger product warnings, costly post-marketing studies, and/or a Risk Evaluation and Mitigation Strategy (“REMS”), among other possible requirements. If the product candidate has already been approved, such approval may be withdrawn. Any delay in, denial, or withdrawal of marketing approval for one of our product candidates will adversely affect our financial position. Even if our product candidates receive marketing approval, undesirable side effects may limit the product’s commercial viability. Patients may not wish to use our product, physicians may not prescribe our product, and our reputation may suffer. Any of these events may significantly harm our business and financial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obtain approval, they may be negatively impacted by future development or regulatory difficulties.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Approved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If we or any of the third parties on which we rely fail to meet those requirements, it could lead to enforcement action, among other consequences, that could significantly impair our ability to successfully commercialize a given product. If the FDA or a comparable regulatory authority outside the United States becomes aware of new safety information, it can impose additional restrictions on how the product is marketed or may seek to withdraw marketing approval altogether.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in part on the speed at which we can recruit patients to participate in testing our product candidates.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may not be able to identify, recruit and enroll a sufficient number of patients, or those with required or desired characteristics to achieve diversity in a clinical trial, or complete our clinical trials in a timely manner. Patient enrollment is affected by a variety factors including, among others:</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prevalence of the disease/size of the patient population;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eligibility criteria for the clinical trial in question;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patients are unwilling to participate in our clinical trials, the timeline for recruiting patients, conducting clinical trials and obtaining regulatory approval of potential products may be delayed. These delays could result in increased costs, delays in advancing our product candidates, delays in testing the effectiveness of our technology or termination of the clinical trials altogether.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1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are largely dependent on the future commercial success of our HBV product candidates.</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ability to generate revenues and become profitable will depend in large part on the future commercial success of our HBV product candidates, if they are approved for marketing. If any product that we commercialize in the future does not gain an adequate level of acceptance among physicians, patients and third parties, we may not generate significant product revenues or become profitable. Market acceptance by physicians, patients and third party payors of the products we may commercialize will depend on a number of factors, some of which are beyond our control, including:</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in relation to alternative treatments;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their relative convenience and ease of administration;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adverse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their cost of treatment in relation to alternative treatments, including generic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and strength of our third party manufacturer and supplier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and strength of marketing and distribution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limitations or warnings contained in a product’s approved labeling;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other regulatory authorities outside the United States or that are part of a REMS or voluntary risk management plan.</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example, even if our products have been approved by the FDA, physicians and patients may not immediately be receptive to them and may be slow to adopt them. If our products do not achieve an adequate level of acceptance among physicians, patients and third party payors, we may not generate meaningful revenues and we may not become profitable.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liabilities and may be required to limit commercialization of our products in response to product liability lawsuits.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testing and marketing of medical products entail an inherent risk of product liability. Product liability claims may be brought against us by patients, healthcare providers or others using, administering or selling our products. Large judgments have been awarded in class action lawsuits based on drugs that had unanticipated side effects.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pharmaceutical products we develop, alone or with partners. 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Even if our agreements with any current or future partners entitle us to indemnification against losses, such indemnification may not be available or adequate should any claims arise. A successful product liability claim or series of claims brought against us could cause our share price to fall and, if judgments exceed our insurance coverage, could decrease our cash and adversely affect 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results of operations may be adversely affected and our business may suffer.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focus our research and product development on treatments of chronic HBV. Our projections of the number of people who have chronic HBV are based on estimates. These estimates may prove to be incorrect and the number of patients in the United States and elsewhere may turn out to be lower than expected, may not be otherwise amenable to treatment with our products,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11"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United States and some jurisdictions outside the United States,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Education Reconciliation Act of 2010, or collectively the Affordable Care Act,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Affordable Care Act has substantially changed the way healthcare is financed by both governmental and private insurers and has significantly affected the pharmaceutical industry.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provisions of the Affordable Care Act have been subject to judicial challenges as well as efforts to repeal or replace them or to alter their interpretation and implementation. For example, the Tax Cuts and Jobs Act (TCJA) enacted on December 22, 2017, eliminated the tax-based shared responsibility payment for individuals who fail to maintain minimum essential coverage under Section 5000A of the Internal Revenue Code of 1986, commonly referred to as the “individual mandate,” effective January 1, 2019. Further, the Bipartisan Budget Act of 2018 among other things amended the Medicare statute, effective January 1, 2019, to reduce the coverage gap in most Medicare drug plans, commonly known as the “donut hole,” by raising the manufacturer discount under the Medicare Part D coverage gap discount program to 70%. In addition,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On October 13, 2017, President Trump signed an Executive Order terminating the cost-sharing subsidies under the Affordable Care Act. In addition, CMS has issued regulations giving states greater flexibility, starting in 2020, in the identification of the essential health benefits benchmarks for non-grandfathered individual and small group market health insurance coverage, including plans sold through the health insurance exchanges established under the Affordable Care Act. Additional legislative changes, regulatory changes, and judicial challenges related to the Affordable Care Act remain possible, but the nature and extent of such potential changes or challenges are uncertain at this time. The implications of the Affordable Care Act, and efforts to repeal and replace, or invalidate, the Affordable Care Act, its implementing regulations, or portions thereof, or the political uncertainty surrounding any repeal or replacement legislation for our business and financial condition, if any, are not yet clear.</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Legislative and regulatory proposals have also been made to expand post approval requirements and restrict sales and promotional activities for pharmaceutical products. Any healthcare reforms enacted in the future may, like the Affordable Care Act, be phased in over a number of years but, if enacted, could reduce our revenue, increase our costs, or require us to revise the ways in which we conduct business or put us at risk for loss of business. We are not sure whether additional legislative changes will be enacted, or whether the current regulations, guidance or interpretations will be changed, or what the impact of such changes on our business, if any, may be.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product candidates, which could make it difficult for us to sell our products profitably.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acceptance and sales of any products that we develop will depend in part on the extent to which reimbursement for these products and related treatments will be available from third party payors, including government health administration authorities and private health insurers. Third party payors decide which drugs they will pay for and establish reimbursement levels. Third party payors often rely upon Medicare coverage policy and payment limitations in setting their own reimbursement policies. However, decisions regarding the extent of coverage and amount of reimbursement to be provided for each of our products will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11" w:right="2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t>be made on a plan by plan basis. One payor’s determination to provide coverage for a product does not assure that other payors will also provide coverage, and adequate reimbursement, for the product. Additionally, a third 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 party payors to reimburse all or part of the associated healthcare costs. Patients are unlikely to use our products unless coverage is provided and reimbursement is adequate to cover a significant portion of the cost of our products.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primary trend in the United States healthcare industry and elsewhere is cost containment. Third 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is not available, or is available only to limited levels, we may not be able to successfully commercialize any product candidates that we develop.</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there have been a number of legislative and regulatory proposals to change the healthcare system in the United States and in some jurisdictions outside the United States that could affect our ability to sell any future products profitably. These legislative and regulatory changes may negatively impact the reimbursement for any future products, following approval.</w:t>
      </w:r>
    </w:p>
    <w:p>
      <w:pPr>
        <w:spacing w:after="0" w:line="181"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If we are able to successfully commercialize any of our products and if we participate in the Medicaid Drug Rebate Program or other governmental pricing programs, failure to comply with reporting and payment obligations under these programs could result in additional reimbursement requirements, penalties, sanctions and fines which could have a material adverse effect on our business, financial condition, results of operations and growth prospects.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successfully commercialize any of our products, we may participate in the Medicaid Drug Rebate Program. Participation is required for federal funds to be available for our products under Medicaid and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in order to be eligible to have its products paid for with federal funds under the Medicaid and Medicare Part B programs and purchased by certain federal agencies and grantees, a manufacturer also must participate in the Federal Supply Schedule (“FSS”) pricing program, established by Section 603 of the Veterans Health Care Act of 1992 (“VHCA”). Under this program, the manufacturer is obligated to make its covered drugs available for procurement on an FSS contract and charge a price to the Big Four agencies that is no higher than the statutory Federal Ceiling Price. Moreover, pursuant to Defense Health Agency (“DHA”) regulations, manufacturers must provide rebates on utilization of their covered drugs that are dispensed to TRICARE beneficiaries by TRICARE network retail pharmacies. The formula for determining the rebate is established in the regulations and is based on the difference between the annual Non-Federal Average Manufacturer Price (“Non-FAMP”) and the Federal Ceiling Price (“FCP”) in effect on the dispense date (these price points are required to be calculated by us under the VHCA). The requirements under the Medicaid Drug Rebate Program, 340B program, FSS, and TRICARE programs could reduce the revenue we may generate from any products that are commercialized in the future and could adversely affect our business and operating results.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Medicaid Drug Rebate Program and other governmental pricing programs require participating manufacturers to report pricing data to the government. Pricing calculations vary among products and programs and include average manufacturer price and best price for the Medicaid Drug Rebate Program, and FCP and non-FAMP for the FSS pricing program.</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11" w:right="239" w:bottom="1440" w:gutter="0" w:footer="0" w:header="0"/>
        </w:sectPr>
      </w:pPr>
    </w:p>
    <w:bookmarkStart w:id="35" w:name="page36"/>
    <w:bookmarkEnd w:id="35"/>
    <w:p>
      <w:pPr>
        <w:jc w:val="both"/>
        <w:spacing w:after="0" w:line="291" w:lineRule="auto"/>
        <w:rPr>
          <w:sz w:val="20"/>
          <w:szCs w:val="20"/>
          <w:color w:val="auto"/>
        </w:rPr>
      </w:pPr>
      <w:r>
        <w:rPr>
          <w:rFonts w:ascii="Arial" w:cs="Arial" w:eastAsia="Arial" w:hAnsi="Arial"/>
          <w:sz w:val="16"/>
          <w:szCs w:val="16"/>
          <w:color w:val="auto"/>
        </w:rPr>
        <w:t>If we successfully commercialize any of our products and participate in such governmental pricing programs, we will be liable for errors associated with our submission of pricing data. That liability could be significant. Pricing submissions and rebate calculations are complex and are often subject to interpretation by us, governmental or regulatory agencies and the courts. If we fail to comply with any applicable reporting and payment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 Any threatened or actual government enforcement action could also generate adverse publicity and require that we devote substantial resources that could otherwise be used in other aspects of our business. We cannot assure you that our submissions would not be found by the applicable governmental agency to be incomplete or incorrect.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United States and Canadian healthcare laws and regulations, which could expose us to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Healthcare providers, physicians and others will play a primary role in the recommendation and prescription of any products for which we obtain marketing approval. Our future arrangements with healthcare providers, patients and third party payors will expose us to broadly applicable United States and Canadian fraud and abuse and other healthcare laws and regulations that may constrain the business or financial arrangements and collaborative partners through which we market, sell and distribute any products for which we obtain marketing approval. Restrictions under applicable federal and state healthcare laws and regulations include the following:</w:t>
      </w:r>
    </w:p>
    <w:p>
      <w:pPr>
        <w:spacing w:after="0" w:line="188" w:lineRule="exact"/>
        <w:rPr>
          <w:sz w:val="20"/>
          <w:szCs w:val="20"/>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Anti-Kickback Law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any good or service for which payment may be made under a federal healthcare program such as Medicare and Medicaid;</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civil False Claims Act imposes civil penalties, sometimes pursued through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HIPAA imposes criminal liability for knowingly and willfully executing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181"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HIPAA and its implementing regulations also impose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w:t>
      </w:r>
    </w:p>
    <w:p>
      <w:pPr>
        <w:spacing w:after="0" w:line="167"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numerous federal and state laws and regulations that address privacy and data security, including state data breach notifications laws, state health information and/or genetic privacy laws, and federal and state consumer protection laws (e.g., Section 5 of the Federal Trade Commission Act, or FTC Act), govern the collection, use, disclosure and protection of health-related and other personal information, many of which differ from each other in significant ways, thus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27" w:right="239" w:bottom="1440" w:gutter="0" w:footer="0" w:header="0"/>
        </w:sectPr>
      </w:pPr>
    </w:p>
    <w:bookmarkStart w:id="36" w:name="page37"/>
    <w:bookmarkEnd w:id="36"/>
    <w:p>
      <w:pPr>
        <w:ind w:left="660"/>
        <w:spacing w:after="0" w:line="277" w:lineRule="auto"/>
        <w:rPr>
          <w:sz w:val="20"/>
          <w:szCs w:val="20"/>
          <w:color w:val="auto"/>
        </w:rPr>
      </w:pPr>
      <w:r>
        <w:rPr>
          <w:rFonts w:ascii="Arial" w:cs="Arial" w:eastAsia="Arial" w:hAnsi="Arial"/>
          <w:sz w:val="18"/>
          <w:szCs w:val="18"/>
          <w:color w:val="auto"/>
        </w:rPr>
        <w:t>complicating the compliance efforts. Compliance with these laws is difficult, constantly evolving, and time-consuming, and companies that do not comply with these laws may face civil penalties,</w:t>
      </w:r>
    </w:p>
    <w:p>
      <w:pPr>
        <w:spacing w:after="0" w:line="170" w:lineRule="exact"/>
        <w:rPr>
          <w:sz w:val="20"/>
          <w:szCs w:val="20"/>
          <w:color w:val="auto"/>
        </w:rPr>
      </w:pPr>
    </w:p>
    <w:p>
      <w:pPr>
        <w:jc w:val="both"/>
        <w:ind w:left="66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practitioners beginning in 2022), as well as ownership and investment interests held in the company by physicians and their immediate family members; and</w:t>
      </w:r>
    </w:p>
    <w:p>
      <w:pPr>
        <w:spacing w:after="0" w:line="188"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analogous state laws and laws and regulations outside the United States, such as state anti-kickback and false claims laws, which may apply to sales or marketing arrangements and claims involving healthcare items or services reimbursed by non-governmental third-party payors, including private insurers; state laws and laws outside the United States that require pharmaceutical companies to comply with the pharmaceutical industry’s voluntary compliance guidelines and the relevant compliance guidance promulgated by the federal government or otherwise restrict payments that may be made to certain healthcare providers; state laws and laws outside the United States that require drug manufacturers to report information related to clinical trials, or information related to payments and other transfers of value to physicians and other healthcare providers or marketing expenditures; state laws that restrict the ability of manufacturers to offer co-pay support to patients for certain prescription drugs; and state laws and local ordinances that require identification or licensing of sales representatives.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Efforts to ensure that our collaborations with third parties, and our business generally, will comply with applicable United States and Canadian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contractual damages, reputational harm, disgorgement, curtailment or restricting of our operations, any of which could substantially disrupt our operations and diminish our profits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Failure to comply with the United States Foreign Corrupt Practices Act (“FCPA”), and potentially other global anti-corruption and anti-bribery laws such as the Canadian Corruption of Foreign Public Officials Act, could subject us to penalties and other adverse consequences.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FCPA, and potentially other applicable domestic or foreign anti-corruption or anti-bribery laws, which generally prohibit companies from engaging in bribery or other prohibited payments to foreign officials for the purpose of obtaining or retaining business and requires companies to maintain accurate books and records and internal controls, including at foreign-controlled subsidiaries.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Compliance with these anti-corruption laws and anti-bribery laws may be expensive and difficult, particularly in countries in which corruption is a recognized problem. In addition, these laws present particular challenges in the pharmaceutical industry, because, in many countries, hospitals are operated by the government, and physicians and other hospital employees are considered to be foreign officials. Certain payments to hospitals in connection with clinical trials and other work have been deemed to be improper payments to governmental officials and have led to FCPA enforcement actions.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 make no assurance that our employees or other agents will not engage in prohibited conduct under our policies and procedures and anti-corruption laws and anti-bribery laws such as FCPA for which we might be held responsible. If our employees or other agents are found to have engaged in such practices, we could suffer severe penalties and other consequences that may have a material adverse effect on our business, financial condition and results of operations.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1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license agreement with Alnylam for the commercialization of ONPATTRO.</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2012, we entered into a license agreement with Alnylam that entitles Alnylam to develop and commercialize products with our LNP technology. Alnylam received FDA approval in August 2018 and launched ONPATTRO immediately upon approval. We are entitled to low to mid single-digit royalty payments escalating based on sales performance and received our first royalty payment in the fourth quarter of 2018. In July 2019, Arbutus sold this royalty entitlement to OMERS, the defined benefit pension plan for municipal employees based in the Province of Ontario, Canada, effect as of January 1, 2019, for $20 million in gross proceeds before advisory fees. OMERS will retain this royalty entitlement until it has received $30 million in royalties, at which point 100% of this royalty entitlement will revert to Arbutus. The possibility and timing of any possible reversion of the royalty entitlement is affected by many factors including:</w:t>
      </w:r>
    </w:p>
    <w:p>
      <w:pPr>
        <w:spacing w:after="0" w:line="18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Alnylam’s and its distributors’ and sublicensees’ ability to effectively market and sell ONPATTRO in each country where sold;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manner of sale, whether directly by Alnylam or by sublicensees or distributors, and the terms of sublicensing and distribution agreements;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sales of Alnylam in each country;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approvals, appropriate labeling, and desirable pricing, insurance coverage and reimbursement;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commencement of marketing in additional countries;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Alnylam is not successful in commercializing ONPATTRO, the royalty entitlement may never revert back to Arbutus.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expect to depend in part on our licensing agreements for a significant portion of our revenues and to develop, conduct clinical trials with, obtain regulatory approvals for, and manufacture, market and sell some of our product candidates. If these licensing agreements are unsuccessful, or anticipated milestone or royalty payments are not received, our business could be adversely affected.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that we will depend in part on our licensing agreements with Alnylam, Gritstone, and Acrotech to provide revenue to partially fund our operations, especially in the near term. Furthermore, our strategy is to enter into various additional arrangements with corporate and academic collaborators, licensors, licensees and others for the research, development, clinical testing, manufacturing, marketing and commercialization of our product candidates or other products based upon our technology. We may be unable to continue to establish such licensing agreements, and any licensing agreements we do establish may be unsuccessful, or we may not receive milestone payments or royalties as anticipated.</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Should any licensing partner fail to develop or ultimately successfully commercialize any of the product candidates or technology to which it has obtained rights, our business may be adversely affected. In addition, once initiated, there can be no assurance that any of these licensing agreements will be continued or result in successfully commercialized products. Failure of a licensing partner to continue funding any particular program could delay or halt the development or commercialization of any products arising out of such program. In addition, there can be no assurance that the licensing partners will not pursue alternative technologies or develop alternative products either on their own or in collaboration with others, including our competitors.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conflicts arise between our licensing partners and us, our licensing partners may act in their best interest and not in our best interest, which could adversely affect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Conflicts may arise with our licensing partners, including Alnylam, Gritstone, and Acrotech, if they pursue alternative therapies for the diseases that we have targeted or develop alternative products either on their own or in collaboration with others. Competing products, either developed by our present licensing partners or any future partners or to which our present partners or any future partners have rights, may result in development delays or the withdrawal of their support for one or more of our product candidates.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Additionally, conflicts may arise if there is a dispute about the progress of, or other activities related to, the clinical development of a product candidate, the achievement and payment of a milestone amount, the payment of royalties or the ownership of intellectual property that is developed during the course of the collaborative arrangement. Similarly, the parties to a licensing agreement may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07" w:right="2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color w:val="auto"/>
        </w:rPr>
        <w:t>disagree as to which party owns newly developed products. If an agreement is terminated as a result of a dispute and before we have realized the benefits of the licensing arrangement, our reputation could be harmed and we might not obtain revenues that we anticipated receiving.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if they fail to fulfill their obligations, perform services in a satisfactory manner, and/or comply with applicable legal or regulatory requirements, our development plans may be adversely affected.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rely on independent clinical investigators, contract research organizations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Although we depend heavily on these parties and have contractual agreements governing their activities,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 clinical trial data is compromised due to failure to adhere to our protocols or regulatory requirements, or if such third parties otherwise fail to meet deadlines or follow legal or regulatory requirements, our development plans may be delayed or terminated.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exclusively on third parties to formulate and manufacture our product candidates, which exposes us to a number of risks that may delay development, regulatory approval and commercialization of our products or result in higher product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limited experience in drug formulation or manufacturing and we lack the resources and expertise to formulate or manufacture our own product candidates internally. Therefore, we rely on third-party expertise to support us in this area. We have entered into contracts with third-party manufacturers to manufacture, supply, store and distribute supplies of our product candidates for our clinical trials. If any of our product candidates receives FDA approval, we expect to rely on third-party contractors to manufacture our drugs. We have no current plans to build internal manufacturing capacity for any product candidate, and we have no long-term supply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reliance on third-party manufacturers exposes us to potential risks, such as the following:</w:t>
      </w:r>
    </w:p>
    <w:p>
      <w:pPr>
        <w:spacing w:after="0" w:line="225" w:lineRule="exact"/>
        <w:rPr>
          <w:sz w:val="20"/>
          <w:szCs w:val="20"/>
          <w:color w:val="auto"/>
        </w:rPr>
      </w:pPr>
    </w:p>
    <w:p>
      <w:pPr>
        <w:jc w:val="both"/>
        <w:ind w:left="660" w:hanging="328"/>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contract with third-party manufacturers on acceptable terms, or at all, because the number of potential manufacturers is limited. Potential manufacturers of any product candidate that is approved will be subject to FDA compliance inspections and any new manufacturer would have to be qualified to produce our products;</w:t>
      </w: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manufacturers might be unable to formulate and manufacture our drugs in the volume and of the quality required to meet our clinical and commercial needs, if any;</w:t>
      </w:r>
    </w:p>
    <w:p>
      <w:pPr>
        <w:ind w:left="660" w:right="2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third-party manufacturer makes improvements in the manufacturing process for our products, we may not own, or may have to share, the intellectual property rights to such improvements; and</w:t>
      </w: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third-party manufacturer may gain knowledge from working with us that could be used to supply one of our competitors with a product that competes with ours.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these risks could delay or have other adverse impacts on our clinical trials and the approval and commercialization of our product candidates, potentially resulting in higher costs, reduced revenues or both.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selling, marketing or distributing drug products and currently have no internal capability to do so.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have no sales, marketing or distribution capabilities. While we intend to have a role in the commercialization of our product candidates, if approved, we do not anticipate having the resources in the foreseeable future to develop global sales and marketing capabilities for all of our proposed products. Our future success depends, in part, on our ability to enter into and maintain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11" w:right="239" w:bottom="1440" w:gutter="0" w:footer="0" w:header="0"/>
        </w:sectPr>
      </w:pPr>
    </w:p>
    <w:bookmarkStart w:id="39" w:name="page40"/>
    <w:bookmarkEnd w:id="39"/>
    <w:p>
      <w:pPr>
        <w:jc w:val="both"/>
        <w:spacing w:after="0" w:line="290" w:lineRule="auto"/>
        <w:rPr>
          <w:sz w:val="20"/>
          <w:szCs w:val="20"/>
          <w:color w:val="auto"/>
        </w:rPr>
      </w:pPr>
      <w:r>
        <w:rPr>
          <w:rFonts w:ascii="Arial" w:cs="Arial" w:eastAsia="Arial" w:hAnsi="Arial"/>
          <w:sz w:val="16"/>
          <w:szCs w:val="16"/>
          <w:color w:val="auto"/>
        </w:rPr>
        <w:t>collaborative relationships with other companies that have sales, marketing and distribution capabilities, a strategic interest in the products under development, and the ability to successfully market and sell our products. To the extent that we decide not to, or are unable to, enter into collaborative arrangements with respect to the sales and marketing of our proposed products, significant capital expenditures, management resources and time will be required to establish and develop an in-house marketing and sales force with the necessary expertise. We cannot make assurances that we will be able to establish or maintain relationships with third-party collaborators or develop in-house sales and distribution capabilities. To the extent that we depend on third parties for marketing and distribution, any revenues we receive will depend upon the efforts of such third parties, as well as the terms of our agreements with such third parties, which cannot be predicted at this early stage of our development. We cannot make assurances that such efforts will be successful. In addition, we cannot make assurances that we will be able to market and sell our products in the United States or in other locations around the world.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Patents, Licenses and Trade Secrets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companies or organizations may assert patent rights that prevent us from developing or commercializing our 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RNA interference, capsid inhibitors and RNA destabilizer, as well as our other novel HBV assets, are relatively new scientific fields that have generated many different patent applications from organizations and individuals seeking to obtain patents in the field. These applications claim many different methods, compositions and processes relating to the discovery, development and commercialization of these therapeutic products. Because the field is so new, very few of these patent applications have been fully processed by government patent offices around the world, and there is a great deal of uncertainty about which patents will be issued, when, to whom, and with what claims. It is likely that there could be litigation and other proceedings, such as inter parte review and opposition proceedings in various patent offices, relating to patent rights in RNAi, capsid inhibitors, RNA destabilizer and other small molecule compounds targeted at HBV.</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and patent applications may be challenged and may be found to be invalid, which could adversely affect our business.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United States, Canadian and international patents and patent applications we own involve complex legal and factual questions for which important legal principles are largely unresolved. For example, no consistent policy has emerged for the breadth of biotechnology patent claims that are granted by the United States Patent and Trademark Office or enforced by the United States federal courts. In addition, the coverage claimed in a patent application can be significantly reduced before a patent is issued. Also, we face at least the following intellectual property risks:</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some or all patent applications may not result in the issuance of a patent;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patents issued may not provide the holder with any competitive advantages;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patents could be challenged by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could impede our ability to do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may find ways to design around our patents;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could independently develop products which duplicate our products.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if patents that cover our activities are issued to other companies, there can be no assurance that we would be able to obtain licenses to these patents at a reasonable cost or be able to develop or obtain alternative technology. If we do not obtain such licenses, we could encounter delays in the introduction of products, or could find that the development, manufacture or sale of products requiring such licenses is prohibited. In addition, we could incur substantial costs in defending patent infringement suits brought against us or in filing suits against others to have such patents declared invalid. As publication of discoveries in the scientific or patent literature often lags behind actual discoveries, we cannot be certain we or any licensor was the first creator of inventions covered by pending patent applications or that we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11" w:right="239" w:bottom="1440" w:gutter="0" w:footer="0" w:header="0"/>
        </w:sectPr>
      </w:pPr>
    </w:p>
    <w:bookmarkStart w:id="40" w:name="page41"/>
    <w:bookmarkEnd w:id="40"/>
    <w:p>
      <w:pPr>
        <w:jc w:val="both"/>
        <w:spacing w:after="0" w:line="381" w:lineRule="auto"/>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including collaborators, may not adequately prevent disclosure of trade secrets and other proprietary information</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pharmaceutical market is intensely competitive. If we are unable to compete effectively with existing drugs, new treatment methods and new technologies, we may be unable to successfully commercialize any product candidates that we develop.</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81"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much greater financial, technical and human resources than we have at every stage of the discovery, development, manufacture and commercialization process;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extensive experience in pre-clinical testing, conducting clinical trials, obtaining regulatory approvals, and in manufacturing, marketing and selling pharmaceutical products;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face competition from products that have already been approved and accepted by the medical community for the treatment of the conditions for which we are currently developing products. We also expect to face competition from new products that enter the market. We believe a significant number of products are currently under development, and may become commercially available in the future, for the treatment of conditions for which we may try to develop products. These products,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11" w:right="2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i w:val="1"/>
          <w:iCs w:val="1"/>
          <w:color w:val="auto"/>
        </w:rPr>
        <w:t>or other of our competitors’ products, may be more effective, safer, less expensive or marketed and sold more effectively than any products we develop.</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We face significant competition from other biotechnology and pharmaceutical companies targeting HBV.</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significant unmet medical need exists for HBV, there are several large and small pharmaceutical companies focused on delivering therapeutics for treatment of HBV. These companies include, but are not limited to Johnson and Johnson, Roche, Glaxo Smith Kline, Gilead, Assembly Biosciences, Dicerna, Replicor, Vir Biotechnology, Enanta and Aligos Therapeutics. Further, it is likely that additional drugs will become available in the future for the treatment of HBV.</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other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anticipate significant competition in the HBV market with several early phase product candidates announced. We will also face competition for other product candidates that we expect to develop in the future. Competition may increase further as a result of advances in the commercial applicability of technologies and greater availability of capital for investment in these industries. Our competitors may succeed in developing, acquiring or licensing, on an exclusive basis, product candidates that are more effective or less costly than any product candidate that we may develop.</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successfully develop product candidates, and obtain approval for them, we will face competition based on many different factors, including the following:</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safety and effectiveness of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ease with which our products can be administered and the extent to which patients and physicians accept new routes of administration;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and scope of regulatory approvals for these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cost of manufacturing, marketing and sales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 position.</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obsolete or uncompetitive before we can recover the expenses of developing and commercializing our product candidates. Such competitors could also recruit our employees, which could negatively impact our level of expertise and the ability to execute on our business plan. Furthermore, we also face competition from existing and new treatment methods that reduce or eliminate the need for drugs, such as the use of advanced medical devices. The development of new medical devices or other treatment methods for the diseases we are targeting and may target could make our product candidates non-competitive, obsolete or uneconomical.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qualified key management, scientific staff, consultants and advisors, our ability to implement our business plan may be adversely affected.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upon our senior executive officers as well as key scientific, management and other personnel. The competition for qualified personnel in the biotechnology field is intense. We rely heavily on our ability to attract and retain qualified managerial, scientific and technical staff. The loss of the service of any of the members of our senior management, including William H. Collier, our President and Chief Executive Officer, Michael J. Sofia, our Chief Scientific Officer, and Gaston Picchio, our Chief Development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11"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Officer, may adversely affect our ability to develop our technology, add to our pipeline, advance our product candidates and manage our operations. We do not carry key person life insurance on any of our employees.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have difficulty managing our growth and expanding our operations successfully as we continue to evolve from a company primarily involved in discovery and pre-clinical testing into one that develops products through clinical development and commercialization.</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product candidates we develop enter and advance through clinical trials, we will need to expand our development, regulatory, manufacturing, clinical and medical capabilities or contract with other organizations to provide these capabilities for us. As our operations expand, we expect that we will need to manage additional relationships with various collaborators, suppliers and other organizations. Our ability to manage our operations and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or controls.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liability from our controlled use of hazardous and radioactive materials in our research and development processes.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certain radioactive materials, biological materials and chemicals, including organic solvents, acids and gases stored under pressure, in our research and development activities. Our use of radioactive materials is regulated by the Canadian Nuclear Safety Commission and the United States Nuclear Regulatory Commission for the possession, transfer, import, export, use, storage, handling and disposal of radioactive materials. Our use of biological materials and chemicals, including the use, manufacture, storage, handling and disposal of such materials and certain waste products is regulated by a number of federal, state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and any such liability could exceed our resources. We are not specifically insured with respect to this liability.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reputation, and operations could suffer in the event of information technology system failures, such as a cybersecurity breach.</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increasingly dependent on sophisticated software applications and computing infrastructure to conduct critical operations. Disruption, degradation, or manipulation of these applications and systems through intentional or accidental means could impact key business processes. Despite the implementation of security measures, our internal computer systems and those of our contractors and consultants are vulnerable to damage from computer viruses, cybersecurity breaches and other forms of unauthorized access, as well as natural disasters, terrorism, war, and telecommunication and electrical failures. Such events could result in exposure of confidential information, the modification of critical data, and/or the failure or interruption of critical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will result in a loss of or damage to our data, or inappropriate disclosure of confidential or proprietary information, we could incur liability and the development of our product candidates could be delayed. While we have implemented security measures, including controls over unauthorized access, our internal computer systems and those of our contractors and consultants are vulnerable to damage from these events. There can be no assurance that our efforts to protect data and systems will prevent service interruption or the loss of critical or sensitive information from our or third party providers’ databases or systems that could result in financial, legal, business or reputational harm to us or that our insurance would provide any or adequate coverage of any such loss.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11"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reports, which could have a material adverse effect on our share price and our ability to raise capital.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failure to maintain effective internal control over financial reporting or disclosure controls and procedures could adversely affect our ability to report our financial results accurately and on a timely basis, which could result in a material misstatement in our financial statements, a loss of investor confidence in our financial reporting or adversely affect our access to sources of liquidity. Furthermore, because of the inherent limitations of any system of internal control over financial reporting, including the possibility of human error, the circumvention or overriding of controls and fraud, even effective internal controls may not prevent or detect all misstatements. Frequent or rapid changes in procedures, methodologies, systems and technology exacerbate the challenge of developing and maintaining a system of internal controls and can increase the cost and level of effort to develop and maintain such systems.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Item 9A, “Controls and Procedures” in this Form 10-K for additional information and management’s assessment of internal controls.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concentration of common share ownership with insiders, as well as director nomination rights held by the largest shareholder, will likely limit the ability of the other shareholders to influence corporate matters.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2, 2020, executive officers, directors, five percent or greater shareholders, and their respective affiliated entities beneficially own, in the aggregate, approximately 41% of our outstanding common shares.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Entities associated with Roivant Sciences Ltd. (“Roivant”) collectively hold as a group approximately 23% of our outstanding common shares as of March 2, 2020. In addition, in October 2017, we issued 500,000 Series A participating convertible preferred shares (“Preferred Shares”) to Roivant for gross proceeds of $50.0 million. We issued a second tranche of 664,000 Preferred Shares to Roivant in January 2018 for gross proceeds of $66.4 million. The Preferred Shares are non-voting and are convertible into 22,589,601 common shares at a conversion price of $7.13 per share (which represents a 15% premium to the closing price of $6.20 per share on October 16, 2017). The Preferred Shares are currently not convertible into common shares. The purchase price for the Preferred Shares plus an amount equal to 8.75% per annum, compounded annually, will be subject to mandatory conversion into common shares on October 18, 2021 (subject to limited exceptions in the event of certain fundamental corporate transactions relating to our capital structure or assets, which would permit earlier conversion at Roivant’s option). Assuming the Preferred Shares were converted as of March 2, 2020, Roivant would hold approximately 39 million common shares, or, 42% of our outstanding common shares.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Roivant can significantly influence the outcome of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shares that you may feel are in your best interest. The interests of Roivant may not always coincide with your interests or the interests of other shareholders and they may act in a manner that advances their best interests and not necessarily those of other shareholders, including seeking a premium value for their common shares. These actions might affect the prevailing market price for our common shares. In addition, Roivant and certain of our other principal shareholders that have held their shares for several years may be more interested in selling our company to an acquiror than other investors, or they may want us to pursue strategies that deviate from the interests of other shareholders. Such concentration of ownership control may also:</w:t>
      </w:r>
    </w:p>
    <w:p>
      <w:pPr>
        <w:spacing w:after="0" w:line="19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entrench our management and/or the board of directors;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shareholders may desire.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for so long as Roivant has beneficial ownership or exercises control or direction over not less than (i) 30% of the issued and outstanding common shares (including common shares issuable upon the conversion of the Preferred Shares), Roivant has the right to nominate three individuals for election to our board of directors, one of whom must be “independent” within the meaning of applicable law and the rules and regulations of The Nasdaq Stock Market LLC, not including the rules related to the independence of audit committee members; (ii) 20% of the issued and outstanding common shares (including common shares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11" w:right="239" w:bottom="1440" w:gutter="0" w:footer="0" w:header="0"/>
        </w:sectPr>
      </w:pPr>
    </w:p>
    <w:bookmarkStart w:id="44" w:name="page45"/>
    <w:bookmarkEnd w:id="44"/>
    <w:p>
      <w:pPr>
        <w:jc w:val="both"/>
        <w:spacing w:after="0" w:line="289" w:lineRule="auto"/>
        <w:rPr>
          <w:sz w:val="20"/>
          <w:szCs w:val="20"/>
          <w:color w:val="auto"/>
        </w:rPr>
      </w:pPr>
      <w:r>
        <w:rPr>
          <w:rFonts w:ascii="Arial" w:cs="Arial" w:eastAsia="Arial" w:hAnsi="Arial"/>
          <w:sz w:val="16"/>
          <w:szCs w:val="16"/>
          <w:color w:val="auto"/>
        </w:rPr>
        <w:t>issuable upon the conversion of the Preferred Shares), Roivant has the right to nominate two individuals for election to our board of directors; and (iii) 10% of the issued and outstanding common shares (including common shares issuable upon the conversion of the Preferred Shares), Roivant has the right to nominate one individual for election to our board of directors. For so long as Roivant has the right to nominate one or more directors to our board of directors, the total number of directors will not, without the prior written consent of Roivant, be permitted to exceed eight directors, the majority of whom must be “independent”. Roivant consented to increasing the size of the board to eight in connection with the appointment of Andrew Cheng, M.D., PhD., to the board of directors. While the directors appointed by Roivant are obligated to act in accordance with their fiduciary duty to the Company, they may have equity or other interests in Roivant and, accordingly, their personal interests may be aligned with Roivant’s interests, which may not always coincide with our corporate interests or the interests of our other shareholders. The directors are required to disclose any potential material conflicts of interest. The current Roivant nominated directors are Frank Torti, M.D., our Chairman of the Board, Eric Venker, M.D., Pharm.D. and Keith Manchester, M.D.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shares of our common shares has been highly volatile, and purchasers of our common shares could incur substantial losses.</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market price of our common shares has and may continue to fluctuate significantly in response to factors, some of which are beyond our control. The stock market in general has recently experienced extreme price and volume fluctuations. The market prices of securities of pharmaceutical and biotechnology companies have been extremely volatile, and have experienced fluctuations that often have been unrelated or disproportionate to the operating performance of these companies. These broad market fluctuations could result in extreme fluctuations in the price of our common shares, which could cause our investors to incur substantial losses. Our share price could be subject to wide fluctuations in response to a variety of factors, which include:</w:t>
      </w:r>
    </w:p>
    <w:p>
      <w:pPr>
        <w:spacing w:after="0" w:line="15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our product candidates can be advanced as expected;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our clinical trials can be conducted within the timeframe that we expect and whether such trials will yield positive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 candidates, including but not limited to clinical trial requirements for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decision to initiate a clinical trial, not to initiate a clinical trial or to terminate an existing clinical trial;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introduction of new products or technologies offered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effectively manage our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to meet or exceed the estimates and projections of the investment community;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perception of the biopharmaceutical industry by the public, legislatures, regulators and the investment community;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overall performance of the United States equity capital markets and general political and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announcements of significant acquisitions, strategic partnerships, joint ventures, collaborations or capital commitments by us or our competitors;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trading volume of our common shares;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may cause our results to fall below the expectations of securities analysts, shareholders and investors.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operating results may fluctuate significantly in the future as a result of a variety of factors, many of which are outside of our control. These factors include, but are not limited to:</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implementation and cost of our research, pre-clinical studies and clinical trials;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and retain personnel with the necessary strategic, technical and creative skills required for effective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and timing of expenditures by practitioners and their patients;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11" w:right="239" w:bottom="1440" w:gutter="0" w:footer="0" w:header="0"/>
        </w:sectPr>
      </w:pPr>
    </w:p>
    <w:bookmarkStart w:id="45" w:name="page46"/>
    <w:bookmarkEnd w:id="45"/>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new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liability litigation, class action and derivative action litigation, or other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capital expenditures and other costs relating to the expansion of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state of the debt and/or equity capital markets at the time of any proposed offering we choose to initiate;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integrate new acquisitions into our operations;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regulation and legal developments regarding our product candidates in the United States and in the foreign countries in which we may operate in the future; and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strategic response to changes in the competitive environment, we may from time to time make pricing, service, technology or marketing decisions or business or technology acquisitions that could have a material adverse effect on our operating results. Due to any of these factors, our operating results may fall below the expectations of securities analysts, shareholders and investors in any future period, which may cause our share price to decline.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incorporated in Canada, with our assets located both in Canada and the United States, with the result that it may be difficult for investors to enforce judgments obtained against us or some of our officers.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incorporated under the laws of the Province of British Columbia and some of our assets are located outside the United States. While we have appointed National Registered Agents, Inc. as our agent for service of process to effect service of process within the United States upon us, it may not be possible for you to enforce against us or those persons in the United States, judgments obtained in United States courts based upon the civil liability provisions of the United States federal securities laws or other laws of the United States. In addition, there is doubt as to whether original action could be brought in Canada against us or our directors or officers based solely upon United States federal or state securities laws and as to the enforceability in Canadian courts of judgments of United States courts obtained in actions based upon the civil liability provisions of United States federal or state securities laws.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Conversely, all of our directors and officers reside outside Canada, and the majority of our physical assets are also located outside Canada. While we have appointed Farris LLP as our agent for service of process in Canada, it may not be possible for you to enforce in Canada against our assets or those directors and officers residing outside Canada, judgments obtained in Canadian courts based upon the civil liability provisions of the Canadian securities laws or other laws of Canada.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deemed to be a “passive foreign investment company” for the current or any future taxable year, investors who are subject to United States federal taxation would likely suffer materially adverse United States federal income tax consequences.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generally will be a “passive foreign investment company” under the meaning of Section 1297 of the Code (a “PFIC”) if (a) 75% or more of our gross income is “passive income” (generally, dividends, interest, rents, royalties, and gains from the disposition of assets producing passive income) in any taxable year, or (b) if at least 50% or more of the quarterly average value of our assets produce, or are held for the production of, passive income in any taxable year. We have determined that we have not been a PFIC for the three taxable years ended December 31, 2019. If we are a PFIC for any taxable year during which a United States person holds our common shares, it would likely result in materially adverse United States federal income tax consequences for such United States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United States persons to fully or partially mitigate such tax consequences by making a “qualifying electing fund election,” as defined in the Code (a “QEF Election”), but although we have provided this information in the past, there is no requirement that we do so.</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prohibited from fully using our United States net operating loss carryforwards, which could affect our financial performance.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2019, we had $11.7 million of net operating losses due to expire in 2035 and $62.0 million of net operating loss (“NOL”) carryforwards subject to an indefinite carryforward period which can be used to offset future taxable income in the United States. We also had research tax credit carryforwards of approximately $3.9 million for United States federal income tax purposes, expiring in varying amounts through the year 2038. Under Section 382 of the Code, if a corporation undergoes an “ownership change,” generally defined as a greater than 50% change (by value) in its equity ownership over a three year period,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11" w:right="239" w:bottom="1440" w:gutter="0" w:footer="0" w:header="0"/>
        </w:sectPr>
      </w:pPr>
    </w:p>
    <w:bookmarkStart w:id="46" w:name="page47"/>
    <w:bookmarkEnd w:id="46"/>
    <w:p>
      <w:pPr>
        <w:jc w:val="both"/>
        <w:spacing w:after="0" w:line="297" w:lineRule="auto"/>
        <w:rPr>
          <w:sz w:val="20"/>
          <w:szCs w:val="20"/>
          <w:color w:val="auto"/>
        </w:rPr>
      </w:pPr>
      <w:r>
        <w:rPr>
          <w:rFonts w:ascii="Arial" w:cs="Arial" w:eastAsia="Arial" w:hAnsi="Arial"/>
          <w:sz w:val="16"/>
          <w:szCs w:val="16"/>
          <w:color w:val="auto"/>
        </w:rPr>
        <w:t>the corporation’s ability to use its pre-change NOL carryforwards and other pre-change tax attributes (such as research tax credits) to offset its post-change income may be limited. As of December 31, 2019, we had gross net operating losses of approximately $164.9 million for Canadian federal income tax purposes, expiring in varying amounts through the year 2038. We also have research tax credit carryforwards of approximately $60.6 million available for indefinite carryforward. Canadian tax law has similar restrictions as the United States Tax Code on a corporation’s ability to use its pre-change NOL carryforwards and other pre-change tax attributes. Consequently, our Canadian NOLs could be limited if the organization undergoes an ownership change.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ownership changes occurring on October 1, 2014 and March 4, 2015, the Company’s ability to use these losses may be limited. We may experience ownership changes in the future as a result of subsequent shifts in our stock ownership. As a result, if we earn net taxable income, our ability to use our pre-change NOL carryforwards to offset United States and Canadian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 Furthermore, these losses could expire before we generate sufficient income to utilize them.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articles and certain Canadian laws could delay or deter a change of control.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preferred shares are available for issuance from time to time at the discretion of our board of directors, without shareholder approval. Our articles allow our board, without shareholder approval, to determine the special rights to be attached to our preferred shares, and such rights may be superior to those of our common shares.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subjects an acquisition of control of a Canadian-company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shares may depress our share price.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shares could decline as a result of sales of substantial amounts of our common shares in the public market, or as a result of the perception that these sales could occur, which could occur if we issue a large number of common shares (or securities convertible into our common shares) in connection with a future financing, as our common shares are trading at low levels. These factors could make it more difficult for us to raise funds through future offerings of common shares or other equity securities.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1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An active market for our common shares may not be sustained.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our common shares are listed on the Nasdaq Global Select Market, an active trading market for our common shares may not be sustained, especially given the large percentage of our common shares held by our affiliates. If an active market for our common shares is not sustained, it may be difficult for our shareholders to sell shares without depressing the market price for our common shares.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Additional shares that may be issued upon the exercise of currently outstanding options or upon the conversion of Preferred Shares would dilute the voting power of our currently outstanding common shares and could cause our share price to decline.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March 2, 2020, we had outstanding options to acquire approximately 10.6 million common shares and outstanding Preferred Shares convertible into approximately 23 million common shares on October 18, 2021. The issuance of our common shares upon exercise of the stock options or conversion of the Preferred Shares would result in dilution to the interests of other holders of our common shares and could adversely affect our share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dividends for the foreseeable future.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paid any cash dividends to date and we do not intend to declare dividends for the foreseeable future, as we anticipate that we will reinvest future earnings, if any, in the development and growth of our business. Therefore, investors will not receive any funds unless they sell their common shares, and shareholders may be unable to sell their shares on favorable terms or at all. We cannot assure you of a positive return on investment or that you will not lose the entire amount of your investment in our common shares. Prospective investors seeking or needing dividend income or liquidity should not purchase our common shares.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value of our securities, including our common shares, might be affected by matters not related to our operating performance and could subject us to securities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value of our common shares may be reduced for a number of reasons, many of which are outside our control, including:</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political conditions in Canada, the United States and globally;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governmental regulation of the health care and pharmaceutical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achieve desired drug discovery outcomes by us or our collaborators;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obtain industry partner and other third party consents and approvals, when required;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market volatility and market valuations;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for, among other things, capital, drug targets and skilled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to obtain required approvals from regulatory authorities;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and operating results failing to meet expectations in any particular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investor perception of the health care and pharmaceutical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limited trading volume of our common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relating to our business or the businesses of our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or inability to raise additional funds.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the price of our common shares could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shares may be impacted by the availability or lack of research and reports that third-party industry or financial analysts publish about us. There are many large, publicly traded companies active in the biopharmaceutical industry, which may mean it will be less likely that we receive widespread analyst coverage. Furthermore, if one or more of the analysts who do cover us downgrade its shares, its share price would likely decline. If we do not receive adequate coverage by reputable analysts that have an understanding of our business and industry, it could fail to achieve visibility in the market, which in turn could cause our share price to decline.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1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no unresolved staff comments.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we signed a lease agreement effective November 1, 2016, subsequently amended on October 7, 2016, to enable moving our headquarters to 701 Veterans Circle, Warminster, Pennsylvania. The building has approximately 35,000 square feet of laboratory facilities and office space. The lease expires on April 30, 2027. We also have the option of extending the lease for two further five-year terms.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2018, we signed a new lease agreement effective January 1, 2019, for approximately 8,500 square feet of office space at 626 Jacksonville Rd, Warminster, Pennsylvania. The lease has a three year term and we have an option to extend the lease term to April 30, 2027.</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Previously, we leased 51,000 square feet of laboratory facilities and office space located at 100-8900 Glenlyon Parkway, Burnaby, British Columbia, Canada. In early 2018, we implemented a site consolidation and organizational restructuring to align our HBV business in Warminster, Pennsylvania. We ceased use of our Burnaby facility for R&amp;D activities as of June 30, 2018 and we allowed the lease to expire according to its terms on July 31, 2019.</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total space available to us under our current leases will meet our needs for the foreseeable future and that additional space would be available to us on commercially reasonable terms if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British Columbia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early work on LNP delivery systems and related inventions was undertaken by UBC, as well as by us and assigned to UBC. These inventions were subsequently licensed to us by UBC under a license agreement, initially entered into in 1998 and subsequently amended in 2001, 2006 and 2007. We have granted sublicenses under the UBC license to Alnylam as well as other parties.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November 2014, UBC filed a demand for arbitration against us and UBC also sought interest and costs, including legal fees. We filed our Statement of Defense to UBC’s Statement of Claims, as well as a Counterclaim involving a patent application that we alleged UBC wrongly licensed to a third party. The proceedings were divided into three phases, with the first hearing taking place in June 2017. In the first phase, the arbitrator determined which agreements are sublicense agreements within UBC’s claim. Also in the first phase, UBC updated its alleged entitlement from $3.5 million originally claimed to seek $10.9 million in alleged unpaid royalties, plus interest arising from payments as early as 2008. The arbitrator also held in the first phase of the arbitration that the patent application that is the subject of the Counterclaim was not required to be licensed to Arbutus. The second phase of arbitration took place in the second quarter of 2019. In the third quarter 2019, the arbitrator issued his decision for the second phase of the arbitration, awarding UBC $5.9 million, which includes interest of approximately$2.6 million. We paid the $5.9 million award to UBC in the third quarter of 2019. The arbitrator also held that the third phase of the arbitration, which would address patent validity, should we choose to pursue a third phase, would not provide a defense to the award. In December 2019, the arbitrator issued an interim decision concerning costs and attorneys’ fees, holding that each party is to bear their own costs and attorneys’ fees with the single exception of an award to UBC for reasonable costs and attorneys’ fees incurred in defending against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07"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our Counterclaim. The determination as to what costs and attorneys’ fees are reasonable in defending against said Counterclaim is still to be determined.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240" w:top="611" w:right="6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common shares trade on the Nasdaq Global Select Market under the symbol “ABUS” following our name change to Arbutus Biopharma Corporation on July 31, 2015. As of March 2, 2020, there were 102 registered holders of common shares and 68,941,406 common shares issued and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regarding securities authorized for issuance under equity compensation plans is incorporated by reference into the information in Part III, Item 12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issue any unregistered equity securities during the year ended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year ended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6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biopharmaceutical company dedicated to discovering, developing, and commercializing a cure for patients suffering from chronic hepatitis B infection, a disease of the liver caused by the hepatitis B virus (“HBV”). HBV represents a significant, global unmet medical need. The World Health Organization estimates that over 250 million people worldwide suffer from HBV infection, while other estimates indicate that approximately 2 million people in the United States suffer from HBV infection. Chronic HBV infection has high rates of morbidity and mortality with a cure rate for HBV patients taking standard of care (“SOC”) treatment regimens of less than 5%. Our objective is to develop safe and effective therapies that can be combined and lead to higher cure rates with finite treatment durations.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pursue our strategy of developing a cure for chronic HBV, we are developing a diverse product pipeline consisting of multiple drug candidates with potential complementary mechanisms of action MOA, each of which has the potential to improve upon the SOC and contribute to a curative combination treatment regimen. Our clinical and pre-clinical pipeline includes agents that have the potential to form an effective proprietary combination therapy.</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pipeline is entirely focused on finding a curative combination regimen for chronic HBV infection, with the objective of developing a suite of products that intervene at different points in the viral life cycle and reactivate the host immune system. We are currently conducting one clinical trial and several pre-clinical studies to evaluate potential combinations of proprietary HBV therapeutic agents in addition to SOC therapies to support their clinical use in combination. We expect to use the results from these studies to adaptively design additional clinical trials to test the efficacy of the combination therapy and the duration of the result in patients. We plan to identify a combination regimen to conduct Phase III clinical trials intended to ultimately support regulatory filings for marketing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48985" cy="2838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AB-729, our subcutaneously administered RNA interference (“RNAi”) product candidate, may be combinable with our lead capsid inhibitor product candidate, AB-836, and existing approved therapies, in our first combination therapy for HBV patients. We believe AB-836 has the potential for improved efficacy and an enhanced resistance profile relative to our previous generation capsid inhibitor product candidate, AB-506. In parallel, we are in lead optimization with several compounds for our PD-L1 program and next-generation HBV RNA destabilizer program. Our next-generation HBV RNA destabilizer product candidates have distinct chemical scaffolds from AB-452, our previous generation HBV RNA destabilizer.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07" w:right="239" w:bottom="1440" w:gutter="0" w:footer="0" w:header="0"/>
        </w:sectPr>
      </w:pPr>
    </w:p>
    <w:bookmarkStart w:id="52" w:name="page53"/>
    <w:bookmarkEnd w:id="52"/>
    <w:p>
      <w:pPr>
        <w:jc w:val="both"/>
        <w:spacing w:after="0" w:line="293" w:lineRule="auto"/>
        <w:rPr>
          <w:sz w:val="20"/>
          <w:szCs w:val="20"/>
          <w:color w:val="auto"/>
        </w:rPr>
      </w:pPr>
      <w:r>
        <w:rPr>
          <w:rFonts w:ascii="Arial" w:cs="Arial" w:eastAsia="Arial" w:hAnsi="Arial"/>
          <w:sz w:val="16"/>
          <w:szCs w:val="16"/>
          <w:color w:val="auto"/>
        </w:rPr>
        <w:t>Additionally, we have a royalty entitlement on ONPATTRO™ (Patisiran) (“ONPATTRO”), a drug developed by Alnylam Pharmaceuticals, Inc. (“Alnylam”) under a license agreement with us that incorporates our lipid nanoparticle delivery (“LNP”) technology. In July 2019, we received $20 million in gross proceeds from the sale of this royalty interest. The royalty interest will revert back to us after the buyer receives $30 million in royalty payments from Alnylam. We are also receiving a second, lower royalty interest on global net sales of ONPATTRO originating from a settlement agreement and subsequent license agreement with Acuitas Therapeutics, Inc. (“Acuitas”). The royalty from Acuitas has been retained by us and was not part of the royalty sale. Item 7. Management’s Discussion and Analysis of Financial Condition and Results of Operations - Liquidity and Capital Resources for additional details.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accounting policies that we believe to be most critical in fully understanding and evaluating our financial results relate to stock-based compensation, goodwill and intangible assets and our contingent consideration. These accounting policies require us to make certain estimates and assumptions. We believe that the estimates and assumptions upon which we rely are reasonable, based upon information available to us at the time that these estimates and assumptions are made. Actual results may differ from our estimates. Our critical accounting estimates affect the calculation of our net income or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stock-based compensation expense that we record is a critical accounting estimate due to the value of compensation recorded, the volume of our stock option activity, and the many assumptions that are required to calculate compensation expense.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Compensation expense is recorded for stock options issued to employees and directors using the fair value method. We must calculate the fair value of stock options issued and amortize the fair value to stock compensation expense over the vesting period, and adjust the expense for stock option forfeitures and cancellations. We use the Black-Scholes model to calculate the fair value of stock options issued which requires that certain estimates, including the expected life of the option and expected volatility of the stock, be made at the time that the options are issued. This accounting estimate is reasonably likely to change from period to period as further stock options are issued and adjustments are made for stock option forfeitures and cancellations. Our accounting policy is to recognize forfeitures as they occur. The term “forfeitures” is distinct from “cancellations” or “expirations” and represents only the unvested portion of the surrendered stock option. For the purpose of calculating fair value, we estimate the expected life of stock options granted to be five years for employees and eight years for directors and executives, based on our historical experience. We amortize the fair value of stock options using the straight-line method over the vesting period of the options.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stock-based compensation expense for our equity-classified awards in 2019 of $6.8 million (as compared to $6.2 million in 2018). Stock-based compensation expense for 2019 includes $1.1 million of non-cash compensation expense for the accelerated vesting of the stock options of our former President and Chief Executive Officer upon his departure in June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classified as indefinite-lived and goodwill are not amortized, but are evaluated for impairment annually. In addition, if there is a major event indicating that the carrying value of an asset may not be recoverable, then management will perform an impairment test in an interim period by comparing the discounted cash flow values to each asset’s carrying value to determine if a write down is necessary.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assessing impairment, significant judgments are required to be made by management to estimate the timing and extent of future net cash flows, appropriate discount rates, probability of program success and other estimates and assumptions that could materially affect the determination of fair value. These judgments include the use of, but are not limited to: projected results of operations and forecast cash flows based on our corporate budgets as approved by our board of directors, third party forecasts and data and other macroeconomic indicators that forecasts market conditions and our estimated future revenues and growth, market-based discount rates and other market-comparative data. As assumptions related to the probability of program success and timing and amount of potential future cash flows related to these programs are highly uncertain due to the unpredictable nature of each phase of these programs, management risk adjusts the estimated cash flows to reflect these uncertainties.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27" w:right="239" w:bottom="1440" w:gutter="0" w:footer="0" w:header="0"/>
        </w:sectPr>
      </w:pPr>
    </w:p>
    <w:bookmarkStart w:id="53" w:name="page54"/>
    <w:bookmarkEnd w:id="53"/>
    <w:p>
      <w:pPr>
        <w:jc w:val="both"/>
        <w:spacing w:after="0" w:line="279" w:lineRule="auto"/>
        <w:rPr>
          <w:sz w:val="20"/>
          <w:szCs w:val="20"/>
          <w:color w:val="auto"/>
        </w:rPr>
      </w:pPr>
      <w:r>
        <w:rPr>
          <w:rFonts w:ascii="Arial" w:cs="Arial" w:eastAsia="Arial" w:hAnsi="Arial"/>
          <w:sz w:val="17"/>
          <w:szCs w:val="17"/>
          <w:color w:val="auto"/>
        </w:rPr>
        <w:t>During the year ended December 31, 2019, we recorded a $43.8 million non-cash impairment expense to reduce the carrying value of our in-process research and development (“IPR&amp;D”) assets to zero. We also recognized a corresponding income tax benefit of $12.7 million related to the decrease in our deferred tax liability associated with the IPR&amp;D intangible assets. The impairment was due to a decision to delay indefinitely the further development of our covalently closed circular DNA (“cccDNA”) program while we focus on our other development programs.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Also, during the year ended December 31, 2019, we recorded a $22.5 million non-cash impairment expense to reduce the carrying value of our goodwill asset to zero. Due to a sustained decrease in our share price during 2019, our market capitalization was reduced below the book value of our net assets and we concluded that the fair value of our single reporting unit was below its carrying amount by an amount in excess of the carrying value of the goodwill asset.</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we recorded a $14.8 million non-cash impairment expense to our intangible assets, less a corresponding income tax benefit of $4.3 million. This impairment was related to the indefinite deferral of further development of our AB-423 program in the capsid inhibitor drug class.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acquisition of Enantigen in October 2014, we have obligations to make potential future payments of up to $21.0 million to the former shareholders of Enantigen contingent upon the achievement of certain development milestones and payments of up to $102.5 million upon the achievement of certain commercial milestones. The development milestones are tied to programs which are no longer under development by us. The sales milestones are tied to the first commercial sales by us of a product indicated for the treatment of HBV. These potential contingent payments are recorded as a liability and remeasured to fair value as of each reporting date. In assessing the fair value of the liability, significant judgments are required to be made by management to estimate the probability of program success and the achievement of development milestones, the timing and extent of future product sales, appropriate discount rates, and other estimates and assumptions that could materially affect the determination of fair value. These judgments include the use of, but are not limited to: future forecasts and other macroeconomic indicators that forecast market conditions, the timing and amount of estimated future revenues, market-based discount rates and other market-comparative data. As assumptions related to the probability of program success and timing and amount of potential future product sales are highly uncertain due to the unpredictable nature of product development, management risk adjusts the estimated cash flows to reflect these uncertainties.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1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results of operations for the year ended December 31, 2019 compared to the year ended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40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r>
      <w:tr>
        <w:trPr>
          <w:trHeight w:val="250"/>
        </w:trPr>
        <w:tc>
          <w:tcPr>
            <w:tcW w:w="7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21"/>
                <w:szCs w:val="21"/>
                <w:color w:val="auto"/>
              </w:rPr>
            </w:pPr>
          </w:p>
        </w:tc>
      </w:tr>
      <w:tr>
        <w:trPr>
          <w:trHeight w:val="25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6,011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Impairment of intangible assets</w:t>
            </w:r>
          </w:p>
        </w:tc>
        <w:tc>
          <w:tcPr>
            <w:tcW w:w="11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43,836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14,811</w:t>
            </w:r>
          </w:p>
        </w:tc>
      </w:tr>
      <w:tr>
        <w:trPr>
          <w:trHeight w:val="27"/>
        </w:trPr>
        <w:tc>
          <w:tcPr>
            <w:tcW w:w="7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1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22,471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Total other operating expenses</w:t>
            </w:r>
          </w:p>
        </w:tc>
        <w:tc>
          <w:tcPr>
            <w:tcW w:w="11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83,778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80,914</w:t>
            </w:r>
          </w:p>
        </w:tc>
      </w:tr>
      <w:tr>
        <w:trPr>
          <w:trHeight w:val="27"/>
        </w:trPr>
        <w:tc>
          <w:tcPr>
            <w:tcW w:w="7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1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(144,074)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(89,780)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income (loss)</w:t>
            </w:r>
          </w:p>
        </w:tc>
        <w:tc>
          <w:tcPr>
            <w:tcW w:w="1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(22,305)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28,438</w:t>
            </w:r>
          </w:p>
        </w:tc>
      </w:tr>
      <w:tr>
        <w:trPr>
          <w:trHeight w:val="27"/>
        </w:trPr>
        <w:tc>
          <w:tcPr>
            <w:tcW w:w="7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1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(166,379)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1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12,656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4,282</w:t>
            </w:r>
          </w:p>
        </w:tc>
      </w:tr>
      <w:tr>
        <w:trPr>
          <w:trHeight w:val="27"/>
        </w:trPr>
        <w:tc>
          <w:tcPr>
            <w:tcW w:w="7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(153,723)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Dividend accretion of convertible preferred shares</w:t>
            </w:r>
          </w:p>
        </w:tc>
        <w:tc>
          <w:tcPr>
            <w:tcW w:w="1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(11,149)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(10,091)</w:t>
            </w:r>
          </w:p>
        </w:tc>
      </w:tr>
      <w:tr>
        <w:trPr>
          <w:trHeight w:val="27"/>
        </w:trPr>
        <w:tc>
          <w:tcPr>
            <w:tcW w:w="7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shares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(164,872)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(67,151)</w:t>
            </w:r>
          </w:p>
        </w:tc>
      </w:tr>
      <w:tr>
        <w:trPr>
          <w:trHeight w:val="27"/>
        </w:trPr>
        <w:tc>
          <w:tcPr>
            <w:tcW w:w="7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fiscal year ended December 31, 2019, our net loss attributable to common shares was $164.9 million, or a loss of $2.89 per basic and diluted common share, as compared to a net loss of $67.2 million, or $1.21 per basic and diluted common share, for the year ended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years ended December 31, 2019 and 2018 are summarized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4"/>
                <w:szCs w:val="14"/>
                <w:b w:val="1"/>
                <w:bCs w:val="1"/>
                <w:color w:val="auto"/>
                <w:w w:val="92"/>
              </w:rPr>
              <w:t>Year ended December 31,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spacing w:after="0"/>
              <w:rPr>
                <w:sz w:val="22"/>
                <w:szCs w:val="22"/>
                <w:color w:val="auto"/>
              </w:rPr>
            </w:pPr>
          </w:p>
        </w:tc>
      </w:tr>
      <w:tr>
        <w:trPr>
          <w:trHeight w:val="250"/>
        </w:trPr>
        <w:tc>
          <w:tcPr>
            <w:tcW w:w="5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(in thousands, except percentages)</w:t>
            </w:r>
          </w:p>
        </w:tc>
        <w:tc>
          <w:tcPr>
            <w:tcW w:w="12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from collaborations and licenses</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Acuitas Therapeutics, Inc.</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Alnylam Pharmaceuticals, Inc.</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Gritstone Oncology, Inc.</w:t>
            </w:r>
          </w:p>
        </w:tc>
        <w:tc>
          <w:tcPr>
            <w:tcW w:w="5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Acrotech Biopharma, LLC</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milestone and royalty payments</w:t>
            </w:r>
          </w:p>
        </w:tc>
        <w:tc>
          <w:tcPr>
            <w:tcW w:w="5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royalty revenue</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Alnylam Pharmaceuticals, Inc.</w:t>
            </w:r>
          </w:p>
        </w:tc>
        <w:tc>
          <w:tcPr>
            <w:tcW w:w="5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5,945</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7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consist mainly of milestone payments, royalties and service fees.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revenue increased $0.1 million for the year ended December 31, 2019 compared to 2018, primarily due to a $2.4 million increase in license royalty revenue from Alnylam and Acuitas based on net global sales of ONPATTRO, which was approved by the FDA and EMA in the third quarter of 2018. This increase, along with net increases from Acrotech and other payments received, was partially offset by a $2.5 million decrease in revenues from Gritstone in 2019, as 2018 included milestone payments. The royalty interest for ONPATTRO from Alnylam was sold to OMERS, effective as of January 1, 2019, for $20 million in gross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07" w:right="239" w:bottom="1440" w:gutter="0" w:footer="0" w:header="0"/>
        </w:sectPr>
      </w:pPr>
    </w:p>
    <w:bookmarkStart w:id="55" w:name="page56"/>
    <w:bookmarkEnd w:id="55"/>
    <w:p>
      <w:pPr>
        <w:jc w:val="both"/>
        <w:spacing w:after="0" w:line="276" w:lineRule="auto"/>
        <w:rPr>
          <w:sz w:val="20"/>
          <w:szCs w:val="20"/>
          <w:color w:val="auto"/>
        </w:rPr>
      </w:pPr>
      <w:r>
        <w:rPr>
          <w:rFonts w:ascii="Arial" w:cs="Arial" w:eastAsia="Arial" w:hAnsi="Arial"/>
          <w:sz w:val="17"/>
          <w:szCs w:val="17"/>
          <w:color w:val="auto"/>
        </w:rPr>
        <w:t>proceeds before advisory fees. OMERS will retain this entitlement until it has received $30 million in royalties, at which point 100% of such royalty interest on future global net sales of ONPATTRO will revert back to us. OMERS has assumed the risk of collecting up to $30 million of future royalty payments from Alnylam and we are not obligated to reimburse OMERS if they fail to collect any such future royalties. During the term of this agreement, we recognize non-cash royalty revenue related to the sales of ONPATTRO. The royalty interest for ONPATTRO from Acuitas was not part of the royalty sale to OMERS and we have retained the rights to receive those royalties. Revenue contracts are described in more detail in “Item 1.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2019 and 2018 are summarized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2"/>
              </w:rPr>
              <w:t>Year ended December 31,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spacing w:after="0"/>
              <w:rPr>
                <w:sz w:val="22"/>
                <w:szCs w:val="22"/>
                <w:color w:val="auto"/>
              </w:rPr>
            </w:pPr>
          </w:p>
        </w:tc>
      </w:tr>
      <w:tr>
        <w:trPr>
          <w:trHeight w:val="196"/>
        </w:trPr>
        <w:tc>
          <w:tcPr>
            <w:tcW w:w="5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(in thousands, except percentages)</w:t>
            </w:r>
          </w:p>
        </w:tc>
        <w:tc>
          <w:tcPr>
            <w:tcW w:w="1200" w:type="dxa"/>
            <w:vAlign w:val="bottom"/>
          </w:tcPr>
          <w:p>
            <w:pPr>
              <w:spacing w:after="0"/>
              <w:rPr>
                <w:sz w:val="17"/>
                <w:szCs w:val="17"/>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57,601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57,934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17,727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16,002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Site consolidation</w:t>
            </w: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4,797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43,836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14,811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22,471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Arbitration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150,085</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8"/>
              </w:rPr>
              <w:t>95,725</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consist primarily of clinical and pre-clinical trial expenses, personnel expenses, consulting and third party expenses, consumables and materials, as well as a portion of stock-based compensation and general overhead costs.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expenses decreased $0.3 million in 2019 primarily due to a decrease in costs for development and characterization activities for our HBV RNA destabilizer (AB-452) and a decrease in costs associated with a Phase 2 clinical trial for ARB-1467 that was discontinued in 2018. These decreases were partially offset by an increase in costs associated with a Phase 1a/1b clinical trial for our RNAi therapeutic product candidate (AB-729) and an increase in costs associated with a Phase 1a/1b clinical trial for our former capsid inhibitor product candidate (AB-506), which was discontinued in the fourth quarter of 2019.</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significant portion of our research and development expenses are not tracked by project, as they benefit multiple projects or our overall technology platform.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Therefore, we do track direct external costs attributable to and the actual time our employees worked on our collaborations.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$1.7 million in 2019 compared to 2018, primarily due to severance related to the departure of our former President and Chief Executive Officer in June of 2019, partially offset by a decrease in professional fees. In accordance with the terms of his legacy employment agreement, our former President and Chief Executive Officer received $2.3 million of cash severance and we recognized $1.1 million of non-cash stock-based compensation expense for the accelerated vesting of his stock options.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1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Site consolidation charges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2018, we announced a site consolidation and organizational restructuring to better align our HBV business in Warminster, PA, by reducing our global workforce and closing our Burnaby, Canada facility. Most of the employee-related site consolidation expenses were expensed ratably over the period that employees provided services, which was substantially complete in 2018. We expect total site consolidation expenses to be approximately $5.0 million, of which approximately $4.9 million has been incurred as of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 and goodwill</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2019, we recorded a $43.8 million non-cash impairment expense to reduce the carrying value of its IPR&amp;D intangible assets to zero. We also recognized a corresponding income tax benefit of $12.7 million related to the decrease in its deferred tax liability related to the IPR&amp;D intangible assets. The impairment was due to a decision to delay indefinitely the further development of our cccDNA program while we focus on our other development programs.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Also during 2019, we recorded a $22.5 million non-cash impairment to reduce the carrying amount of our goodwill asset to zero. Due to a sustained decrease in our share price in the months leading-up to the assessment, our market capitalization was reduced below the book value of our net assets and we concluded that the fair value of our single reporting unit was below its carrying amount by an amount in excess of the carrying amount of the goodwill asset.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we recorded an impairment charge of $14.8 million and a corresponding income tax benefit of $4.3 million related to identified intangible assets, as a result of our decision to indefinitely delay further development of our AB-423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Arbitration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2019, the arbitrator in the arbitration proceedings between the University of British Columbia (“UBC”) and us issued his decision for the second phase of the arbitration, awarding UBC approximately $5.9 million, which includes interest of approximately $2.6 million. The arbitrator also held that the third phase of the arbitration, which would address patent validity, should we choose to pursue a third phase, would not provide a defense to the award. An award for costs and attorneys’ fees is still to be determined.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expense of $6.3 million in 2019, consisting of $5.9 million for the award (including interest) and $0.4 million for an estimate of a potential award for costs and attorney’s fees.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arbitration concerned certain early work on lipid nanoparticle delivery systems and related inventions undertaken by us and assigned to UBC. These inventions were subsequently licensed back to us by UBC under a license agreement, initially entered into in 1998 and subsequently amended in 2001, 2006 and 2007. We have granted sublicenses under the UBC license to Alnylam as well as other third parties. In the arbitration, UBC’s claim was for $10.9 million plus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(losses) for the years ended December 31, 2019 and 2018 are summarized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92"/>
              </w:rPr>
              <w:t>Year ended December 31,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4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r>
      <w:tr>
        <w:trPr>
          <w:trHeight w:val="250"/>
        </w:trPr>
        <w:tc>
          <w:tcPr>
            <w:tcW w:w="4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(in thousands, except percentages)</w:t>
            </w:r>
          </w:p>
        </w:tc>
        <w:tc>
          <w:tcPr>
            <w:tcW w:w="1140" w:type="dxa"/>
            <w:vAlign w:val="bottom"/>
          </w:tcPr>
          <w:p>
            <w:pPr>
              <w:spacing w:after="0"/>
              <w:rPr>
                <w:sz w:val="21"/>
                <w:szCs w:val="2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72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equity investment (loss) gain</w:t>
            </w: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19,322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Decrease in fair value of contingent consideration</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gains (losses)</w:t>
            </w:r>
          </w:p>
        </w:tc>
        <w:tc>
          <w:tcPr>
            <w:tcW w:w="12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Total other income (loss)</w:t>
            </w:r>
          </w:p>
        </w:tc>
        <w:tc>
          <w:tcPr>
            <w:tcW w:w="126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4"/>
              </w:rPr>
              <w:t>28,438</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513"/>
        </w:trPr>
        <w:tc>
          <w:tcPr>
            <w:tcW w:w="46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1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decreased $0.9 million in 2019 compared to 2018 primarily due to a lower average balance of cash, cash equivalents and investments and a decline in market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$1.9 million in 2019 compared to 2018 due primarily to the non-cash amortization of discount and issuance costs related to the sale of a portion of our ONPATTRO royalty interest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equity investment (loss)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together with Roivant, we launched Genevant, a company focused on the discovery, development, and commercialization of a broad range of RNA-based therapeutics enabled by our LNP Delivery Technologies. We account for our 40% ownership interest in Genevant using the equity method of accounting.</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recorded non-cash equity losses of $22.5 million for the year ended December 31, 2019 and non-cash equity gains of $19.6 million for the year ended December 31, 2018. Equity losses for 2019 included $14.9 million of losses for our proportionate share of Genevant’s net losses and a $7.6 million impairment charge to reduce the carrying value of our investment in Genevant to zero. The impairment was due to uncertainty surrounding the recovery of our remaining carrying value in Genevant. Equity gains for 2018 included the $24.9 million gain on our contribution of delivery technology licenses upon the formation of Genevant, partially offset by $5.6 million of losses for our proportionate share of Genevant’s net loss for the partial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Decrease in fair value of contingent consideration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Contingent consideration is a liability we assumed from our acquisition of Arbutus Inc. in March 2015. In October 2014, Arbutus Inc. acquired all of the outstanding shares of Enantigen Therapeutics, Inc. (“Enantigen”) pursuant to a stock purchase agreement. An additional $102.5 million may also be paid to Enantigen’s selling stockholders related to the achievement of certain sales performance milestones in connection with the sale of the first commercialized product by Arbutus Inc. for the treatment of HBV. In general, increases in the fair value of the contingent consideration are related to the progress of our programs as they get closer to triggering these contingent payments. In 2018, the fair value of our contingent consideration liability decreased by $7.3 million due to our decision to indefinitely delay further clinical development of AB-423, thereby reducing the probability of achieving future development milestones, as well as adjustments to the estimated timing of future sales milestones. In 2019, we re-evaluated the timing of the future sales milestones after the discontinuation of the AB-506 program, resulting in a $0.2 million decrease in the fair value of our contingent consideration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our site consolidation to Warminster, PA, our Canadian dollar-denominated expenses and cash balances have decreased significantly now that a majority of our business transaction are based in the United States. We continue to incur expenses and hold some cash balances in Canadian dollars, and as such, we will remain subject to risks associated with foreign currency fluctuations. As a result of the site consolidation, we expect that the proportion of cash balances and expenses incurred in Canadian dollars, relative to US dollars, to continue to decrease.</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2019, we recorded foreign exchange gains of less than $0.1 million. During the year ended December 31, 2018, we recorded foreign exchange losses of $1.0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2019 and 2018, we recorded an income tax benefits of $12.7 million and $4.3 million, respectively, related to the decrease of our deferred tax liability associated with impairments of our IPR&amp;D intangible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2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equity, debt, revenues from research and development collaborations and licenses with corporate partners, royalty monetization, interest income on funds available for investment, and government contracts, grants and tax credits.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2019, we had cash and cash equivalents of $31.8 million and investments in marketable securities of $59.0 million, totaling $90.8 million. We had no outstanding debt as of December 31, 2019.</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2018, we entered into an Open Market Sale Agreement (“Sale Agreement”) with Jefferies LLC (“Jefferies”), under which we may issue and sell common shares, from time to time, for an aggregate sales price of up to $50.0 million. For the twelve months ended December 31, 2019, we issued 9,138,232 of our common shares pursuant to the Sale Agreement, resulting in net proceeds of approximately $18.6 million. There were no shares issued during the twelve months ended December 31, 2018 under the Sale Agreement. In December 2019, we entered into an amendment (the “Amendment”) to the Sale Agreement with Jefferies in connection with our filing of a new shelf registration statement on Form S-3 (File No. 333-235674), filed with the SEC on December 23, 2019 (the “New Shelf Registration Statement”). The Amendment revised the Sale Agreement to reflect that we may sell our common shares, without par value, from time to time for an aggregate sales price of up to $50.0 million, under the New Shelf Registration Statement. In 2020, through March 2, 2020, we issued 4,127,092 of our common shares pursuant to the Amendment, resulting in net proceeds of approximately $12.3 million.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have a royalty entitlement on ONPATTRO, a drug developed by Alnylam that incorporates our LNP technology and was approved by the FDA and the EMA during the third quarter of 2018 and was launched immediately upon approval in the US.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we held an aggregate of $90.8 million in cash, cash equivalents and investments in marketable securities. We believe our cash resources as of December 31, 2019 will be sufficient to fund our operations into mid-2021. In the future, substantial additional funds will be required to continue with the active development of our pipeline products and technologies. In particular, our funding needs may vary depending on a number of factors including:</w:t>
      </w:r>
    </w:p>
    <w:p>
      <w:pPr>
        <w:spacing w:after="0" w:line="187" w:lineRule="exact"/>
        <w:rPr>
          <w:sz w:val="20"/>
          <w:szCs w:val="20"/>
          <w:color w:val="auto"/>
        </w:rPr>
      </w:pPr>
    </w:p>
    <w:p>
      <w:pPr>
        <w:ind w:left="1300" w:hanging="482"/>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revenue earned from our legacy collaborative partnerships and licensing agreements, including potential royalty payments from Alnylam’s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ONPATTRO;</w:t>
      </w:r>
    </w:p>
    <w:p>
      <w:pPr>
        <w:spacing w:after="0" w:line="9" w:lineRule="exact"/>
        <w:rPr>
          <w:rFonts w:ascii="Arial" w:cs="Arial" w:eastAsia="Arial" w:hAnsi="Arial"/>
          <w:sz w:val="16"/>
          <w:szCs w:val="16"/>
          <w:color w:val="auto"/>
        </w:rPr>
      </w:pPr>
    </w:p>
    <w:p>
      <w:pPr>
        <w:ind w:left="1300" w:hanging="48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9" w:lineRule="exact"/>
        <w:rPr>
          <w:rFonts w:ascii="Arial" w:cs="Arial" w:eastAsia="Arial" w:hAnsi="Arial"/>
          <w:sz w:val="18"/>
          <w:szCs w:val="18"/>
          <w:color w:val="auto"/>
        </w:rPr>
      </w:pPr>
    </w:p>
    <w:p>
      <w:pPr>
        <w:ind w:left="1300" w:hanging="482"/>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 candidates;</w:t>
      </w:r>
    </w:p>
    <w:p>
      <w:pPr>
        <w:ind w:left="1300" w:hanging="48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9" w:lineRule="exact"/>
        <w:rPr>
          <w:rFonts w:ascii="Arial" w:cs="Arial" w:eastAsia="Arial" w:hAnsi="Arial"/>
          <w:sz w:val="18"/>
          <w:szCs w:val="18"/>
          <w:color w:val="auto"/>
        </w:rPr>
      </w:pPr>
    </w:p>
    <w:p>
      <w:pPr>
        <w:ind w:left="1800" w:right="20" w:hanging="982"/>
        <w:spacing w:after="0" w:line="250" w:lineRule="auto"/>
        <w:tabs>
          <w:tab w:leader="none" w:pos="13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 in particular for our HBV therapeutics programs;</w:t>
      </w:r>
    </w:p>
    <w:p>
      <w:pPr>
        <w:ind w:left="1300" w:right="20" w:hanging="482"/>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00" w:hanging="482"/>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00" w:hanging="48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48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07" w:right="239" w:bottom="1440" w:gutter="0" w:footer="0" w:header="0"/>
        </w:sectPr>
      </w:pPr>
    </w:p>
    <w:bookmarkStart w:id="59" w:name="page60"/>
    <w:bookmarkEnd w:id="59"/>
    <w:p>
      <w:pPr>
        <w:ind w:left="1300" w:hanging="48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seek funding to maintain and advance our business from a variety of sources including public or private equity or debt financing, potential monetization transactions, collaborative arrangements with pharmaceutical companies and government grants and contracts. There can be no assurance that funding will be available at all or on acceptable terms to permit further development of our products.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8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r>
      <w:tr>
        <w:trPr>
          <w:trHeight w:val="250"/>
        </w:trPr>
        <w:tc>
          <w:tcPr>
            <w:tcW w:w="7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for the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(153,723)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Items not involving cash</w:t>
            </w: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84,942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(6,531)</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non-cash operating items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(71,006)</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(67,866)</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37,457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55,646</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(5,143)</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(17,350)</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36,942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54,292</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31,799</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36,942</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in operating activities in 2019 increased $3.1 million compared to 2018 primarily due to the payment of a $5.9 million arbitration award to UBC and a $2.3 million cash severance payment to our former CEO in 2019. These cash outflows in 2019 were partially offset by a $2.1 million decrease in payments related to site consolidation activities and a $1.6 million decrease in cash revenues from collaborations and licenses compared to 2018.</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Net cash from investing activities in 2019 increased by $32.5 million compared to 2018 primarily due to maturities of investments in marketable securities.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from financing activities in 2019 decreased $18.2 million compared to 2018. Cash provided by financing activities in 2019 primarily consisted of $18.6 million of proceeds from sales of common shares under our Open Market Sales Agreement and $18.5 million of net proceeds from the sale a portion of our future royalties from sales of ONPATTRO. Cash provided by financing activities in 2018 primarily consisted of $66.3 million of net proceeds from the second tranche of the Preferred Shares financing, offset by repayment of a $12.0 million promissory note with a bank.</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1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we adopt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note 2 to our consolidated financial statements included in Part II, Item 8, “Financial Statements and Supplementary Data,” of this annual report on Form 10-K for a description of recent accounting pronouncements applicable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07"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1060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86"/>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20" w:type="dxa"/>
            <w:vAlign w:val="bottom"/>
            <w:gridSpan w:val="6"/>
          </w:tcPr>
          <w:p>
            <w:pPr>
              <w:ind w:left="200"/>
              <w:spacing w:after="0"/>
              <w:rPr>
                <w:sz w:val="20"/>
                <w:szCs w:val="20"/>
                <w:color w:val="auto"/>
              </w:rPr>
            </w:pPr>
            <w:r>
              <w:rPr>
                <w:rFonts w:ascii="Arial" w:cs="Arial" w:eastAsia="Arial" w:hAnsi="Arial"/>
                <w:sz w:val="18"/>
                <w:szCs w:val="18"/>
                <w:b w:val="1"/>
                <w:bCs w:val="1"/>
                <w:color w:val="auto"/>
              </w:rPr>
              <w:t>INDEX TO CONSOLIDATED FINANCIAL STATEMENTS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42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Report of Independent Registered Public Accounting Firm</w:t>
              </w:r>
            </w:hyperlink>
          </w:p>
        </w:tc>
        <w:tc>
          <w:tcPr>
            <w:tcW w:w="634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c>
          <w:tcPr>
            <w:tcW w:w="3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10560" w:type="dxa"/>
            <w:vAlign w:val="bottom"/>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Balance Sheets at December 31, 2019 and 2018</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3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Operations and Comprehensive Loss for the Years Ended December 31, 2019 and 2018</w:t>
              </w:r>
            </w:hyperlink>
          </w:p>
        </w:tc>
        <w:tc>
          <w:tcPr>
            <w:tcW w:w="2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66</w:t>
              </w:r>
            </w:hyperlink>
          </w:p>
        </w:tc>
        <w:tc>
          <w:tcPr>
            <w:tcW w:w="3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0560" w:type="dxa"/>
            <w:vAlign w:val="bottom"/>
            <w:gridSpan w:val="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Stockholders’ Equity for the Years Ended December 31, 2019 and 2018</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3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7180" w:type="dxa"/>
            <w:vAlign w:val="bottom"/>
            <w:tcBorders>
              <w:top w:val="single" w:sz="8" w:color="0000EE"/>
            </w:tcBorders>
            <w:gridSpan w:val="5"/>
          </w:tcPr>
          <w:p>
            <w:pPr>
              <w:spacing w:after="0"/>
              <w:rPr>
                <w:rFonts w:ascii="Arial" w:cs="Arial" w:eastAsia="Arial" w:hAnsi="Arial"/>
                <w:sz w:val="18"/>
                <w:szCs w:val="18"/>
                <w:color w:val="0000EE"/>
                <w:w w:val="98"/>
              </w:rPr>
            </w:pPr>
            <w:hyperlink w:anchor="page69">
              <w:r>
                <w:rPr>
                  <w:rFonts w:ascii="Arial" w:cs="Arial" w:eastAsia="Arial" w:hAnsi="Arial"/>
                  <w:sz w:val="18"/>
                  <w:szCs w:val="18"/>
                  <w:color w:val="0000EE"/>
                  <w:w w:val="98"/>
                </w:rPr>
                <w:t>Consolidated Statements of Cash Flows for the Years Ended December 31, 2019 and 2018</w:t>
              </w:r>
            </w:hyperlink>
          </w:p>
        </w:tc>
        <w:tc>
          <w:tcPr>
            <w:tcW w:w="338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3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500" w:type="dxa"/>
            <w:vAlign w:val="bottom"/>
            <w:tcBorders>
              <w:top w:val="single" w:sz="8" w:color="0000EE"/>
            </w:tcBorders>
            <w:gridSpan w:val="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406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3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878"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Arbutus Biopharma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Arbutus Biopharma Corporation (the Company) as of December 31, 2019, and the related consolidated statements of operations and comprehensive loss, stockholders' equity, and cash flows for the year ended December 31, 2019, and the related notes (collectively referred to as the “consolidated financial statements”). In our opinion, the consolidated financial statements present fairly, in all material respects, the financial position of the Company at December 31, 2019, and the results of its operations and its cash flows for the year ended December 31, 2019, in conformity with U.S. generally accepted accounting principles.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Ernst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0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Arbutus Biopharma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Arbutus Biopharma Corporation’s internal control over financial reporting as of December 31, 2019, based on criteria established in Internal Control-Integrated Framework issued by the Committee of Sponsoring Organizations of the Treadway Commission (2013 framework) (the COSO criteria). In our opinion, Arbutus Biopharma Corporation (the Company) maintained, in all material respects, effective internal control over financial reporting as of December 31, 2019, based on the COSO criteria.</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 of the Company as of December 31, 2019, and the related consolidated statements of operations and comprehensive loss, stockholders’ equity, and cash flows for the year ended December 31, 2019, and the related notes and our report dated March 5, 2020 expressed an unqualified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0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Arbutus Biopharma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have audited the accompanying consolidated balance sheet of Arbutus Biopharma Corporation (the Company) as of December 31, 2018, the related consolidated statements of operations and comprehensive loss, stockholders’ equity and cash flows for the year ended December 31, 2018, and the related notes (collectively, the consolidated financial statements). In our opinion, the consolidated financial statements present fairly, in all material respects, the financial position of the Company as of December 31, 2018, and the results of its operations and its cash flows for the year then ended,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2002 to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823" w:right="259" w:bottom="1440" w:gutter="0" w:footer="0" w:header="0"/>
        </w:sectPr>
      </w:pPr>
    </w:p>
    <w:bookmarkStart w:id="65" w:name="page66"/>
    <w:bookmarkEnd w:id="65"/>
    <w:p>
      <w:pPr>
        <w:ind w:left="400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December 31, 2018</w:t>
            </w:r>
          </w:p>
        </w:tc>
      </w:tr>
      <w:tr>
        <w:trPr>
          <w:trHeight w:val="236"/>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36,942</w:t>
            </w: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Investments in marketable securities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59,035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87,675</w:t>
            </w: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1,431</w:t>
            </w: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3,181</w:t>
            </w:r>
          </w:p>
        </w:tc>
      </w:tr>
      <w:tr>
        <w:trPr>
          <w:trHeight w:val="33"/>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129,229</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Investment in Genevant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22,224</w:t>
            </w: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10,145</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Right of use asset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43,836</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22,471</w:t>
            </w: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8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105,535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227,905</w:t>
            </w:r>
          </w:p>
        </w:tc>
      </w:tr>
      <w:tr>
        <w:trPr>
          <w:trHeight w:val="23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9,429</w:t>
            </w: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Site consolidation accrual</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1,331</w:t>
            </w: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Liability-classified options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w:t>
            </w: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Lease liability, current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11,239</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Liability related to sale of future royalties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18,992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rent and inducements,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Contingent consideration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3,126</w:t>
            </w: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liability,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12,661</w:t>
            </w:r>
          </w:p>
        </w:tc>
      </w:tr>
      <w:tr>
        <w:trPr>
          <w:trHeight w:val="33"/>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27,671</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Preferred shares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Authorized: unlimited number without par value</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 and outstanding: 1,164,000 (December 31, 2018: 1,164,000)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126,136</w:t>
            </w:r>
          </w:p>
        </w:tc>
      </w:tr>
      <w:tr>
        <w:trPr>
          <w:trHeight w:val="237"/>
        </w:trPr>
        <w:tc>
          <w:tcPr>
            <w:tcW w:w="8320" w:type="dxa"/>
            <w:vAlign w:val="bottom"/>
          </w:tcPr>
          <w:p>
            <w:pPr>
              <w:ind w:left="200"/>
              <w:spacing w:after="0"/>
              <w:rPr>
                <w:sz w:val="20"/>
                <w:szCs w:val="20"/>
                <w:color w:val="auto"/>
              </w:rPr>
            </w:pPr>
            <w:r>
              <w:rPr>
                <w:rFonts w:ascii="Arial" w:cs="Arial" w:eastAsia="Arial" w:hAnsi="Arial"/>
                <w:sz w:val="16"/>
                <w:szCs w:val="16"/>
                <w:color w:val="auto"/>
              </w:rPr>
              <w:t>Common shares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Authorized: unlimited number with no par value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Issued and outstanding: 64,780,314 (December 31, 2018: 55,518,800)</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898,535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879,405</w:t>
            </w: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48,084</w:t>
            </w: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Deficit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(970,093)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(805,221)</w:t>
            </w: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(48,170)</w:t>
            </w:r>
          </w:p>
        </w:tc>
      </w:tr>
      <w:tr>
        <w:trPr>
          <w:trHeight w:val="217"/>
        </w:trPr>
        <w:tc>
          <w:tcPr>
            <w:tcW w:w="8320" w:type="dxa"/>
            <w:vAlign w:val="bottom"/>
          </w:tcPr>
          <w:p>
            <w:pPr>
              <w:ind w:left="180"/>
              <w:spacing w:after="0"/>
              <w:rPr>
                <w:sz w:val="20"/>
                <w:szCs w:val="20"/>
                <w:color w:val="auto"/>
              </w:rPr>
            </w:pPr>
            <w:r>
              <w:rPr>
                <w:rFonts w:ascii="Arial" w:cs="Arial" w:eastAsia="Arial" w:hAnsi="Arial"/>
                <w:sz w:val="16"/>
                <w:szCs w:val="16"/>
                <w:b w:val="1"/>
                <w:bCs w:val="1"/>
                <w:color w:val="auto"/>
              </w:rPr>
              <w:t>Total stockholders' equity</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72,744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200,234</w:t>
            </w:r>
          </w:p>
        </w:tc>
      </w:tr>
      <w:tr>
        <w:trPr>
          <w:trHeight w:val="33"/>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105,535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227,905</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661" w:right="259" w:bottom="1440" w:gutter="0" w:footer="0" w:header="0"/>
        </w:sectPr>
      </w:pPr>
    </w:p>
    <w:bookmarkStart w:id="66" w:name="page67"/>
    <w:bookmarkEnd w:id="66"/>
    <w:p>
      <w:pPr>
        <w:ind w:left="400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Revenue from collaborations and licenses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4,355</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5,945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royalty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1,656</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6,011</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57,601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57,934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17,727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16,002</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2,181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Site consolidation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4,797</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Impairment of intangible assets</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43,836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14,811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22,471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Arbitration</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6,266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150,085</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95,725</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(144,074)</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(89,780)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2,111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3,047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equity investment (loss) gain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(22,522)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19,322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fair value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7,298</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Foreign exchange gains (losses)</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other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(22,305)</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28,438</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(166,379)</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(61,342)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12,656</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4,282</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(153,723)</w:t>
            </w:r>
          </w:p>
        </w:tc>
        <w:tc>
          <w:tcPr>
            <w:tcW w:w="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(57,060)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Items applicable to preferred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Dividend accretion of convertible preferred shares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(11,149)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(10,091)</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common shares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(164,872)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loss per common share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57,093,454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55,304,083</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(153,782)</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(57,045)</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61" w:right="239" w:bottom="1440" w:gutter="0" w:footer="0" w:header="0"/>
        </w:sectPr>
      </w:pPr>
    </w:p>
    <w:bookmarkStart w:id="67" w:name="page68"/>
    <w:bookmarkEnd w:id="67"/>
    <w:p>
      <w:pPr>
        <w:ind w:left="400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1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Convertible Preferred Shares</w:t>
            </w:r>
          </w:p>
        </w:tc>
        <w:tc>
          <w:tcPr>
            <w:tcW w:w="120" w:type="dxa"/>
            <w:vAlign w:val="bottom"/>
          </w:tcPr>
          <w:p>
            <w:pPr>
              <w:spacing w:after="0"/>
              <w:rPr>
                <w:sz w:val="16"/>
                <w:szCs w:val="16"/>
                <w:color w:val="auto"/>
              </w:rPr>
            </w:pPr>
          </w:p>
        </w:tc>
        <w:tc>
          <w:tcPr>
            <w:tcW w:w="198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2"/>
                <w:szCs w:val="12"/>
                <w:color w:val="auto"/>
              </w:rPr>
            </w:pPr>
          </w:p>
        </w:tc>
        <w:tc>
          <w:tcPr>
            <w:tcW w:w="10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paid-in</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Deficit</w:t>
            </w: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comprehensive loss</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56"/>
        </w:trPr>
        <w:tc>
          <w:tcPr>
            <w:tcW w:w="2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49,780</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55,060,650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876,108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42,840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(738,070)</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(48,185)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182,473</w:t>
            </w:r>
          </w:p>
        </w:tc>
        <w:tc>
          <w:tcPr>
            <w:tcW w:w="0" w:type="dxa"/>
            <w:vAlign w:val="bottom"/>
          </w:tcPr>
          <w:p>
            <w:pPr>
              <w:spacing w:after="0"/>
              <w:rPr>
                <w:sz w:val="1"/>
                <w:szCs w:val="1"/>
                <w:color w:val="auto"/>
              </w:rPr>
            </w:pPr>
          </w:p>
        </w:tc>
      </w:tr>
      <w:tr>
        <w:trPr>
          <w:trHeight w:val="157"/>
        </w:trPr>
        <w:tc>
          <w:tcPr>
            <w:tcW w:w="2540" w:type="dxa"/>
            <w:vAlign w:val="bottom"/>
          </w:tcPr>
          <w:p>
            <w:pPr>
              <w:ind w:left="40"/>
              <w:spacing w:after="0" w:line="157" w:lineRule="exact"/>
              <w:rPr>
                <w:sz w:val="20"/>
                <w:szCs w:val="20"/>
                <w:color w:val="auto"/>
              </w:rPr>
            </w:pPr>
            <w:r>
              <w:rPr>
                <w:rFonts w:ascii="Arial" w:cs="Arial" w:eastAsia="Arial" w:hAnsi="Arial"/>
                <w:sz w:val="14"/>
                <w:szCs w:val="14"/>
                <w:color w:val="auto"/>
              </w:rPr>
              <w:t>Issuance of Preferred Shares, net of</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40"/>
              <w:spacing w:after="0"/>
              <w:rPr>
                <w:sz w:val="20"/>
                <w:szCs w:val="20"/>
                <w:color w:val="auto"/>
              </w:rPr>
            </w:pPr>
            <w:r>
              <w:rPr>
                <w:rFonts w:ascii="Arial" w:cs="Arial" w:eastAsia="Arial" w:hAnsi="Arial"/>
                <w:sz w:val="14"/>
                <w:szCs w:val="14"/>
                <w:color w:val="auto"/>
              </w:rPr>
              <w:t>issuance cost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664,000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66,265</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66,265</w:t>
            </w: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Accretion of accumulated dividends on</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Shares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10,091</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6,687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6,687</w:t>
            </w: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Certain fair value adjustments to</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liability stock option awards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57"/>
        </w:trPr>
        <w:tc>
          <w:tcPr>
            <w:tcW w:w="2540" w:type="dxa"/>
            <w:vAlign w:val="bottom"/>
          </w:tcPr>
          <w:p>
            <w:pPr>
              <w:ind w:left="40"/>
              <w:spacing w:after="0" w:line="157" w:lineRule="exact"/>
              <w:rPr>
                <w:sz w:val="20"/>
                <w:szCs w:val="20"/>
                <w:color w:val="auto"/>
              </w:rPr>
            </w:pPr>
            <w:r>
              <w:rPr>
                <w:rFonts w:ascii="Arial" w:cs="Arial" w:eastAsia="Arial" w:hAnsi="Arial"/>
                <w:sz w:val="14"/>
                <w:szCs w:val="14"/>
                <w:color w:val="auto"/>
                <w:w w:val="99"/>
              </w:rPr>
              <w:t>Issuance of common shares pursuant to</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40"/>
              <w:spacing w:after="0"/>
              <w:rPr>
                <w:sz w:val="20"/>
                <w:szCs w:val="20"/>
                <w:color w:val="auto"/>
              </w:rPr>
            </w:pPr>
            <w:r>
              <w:rPr>
                <w:rFonts w:ascii="Arial" w:cs="Arial" w:eastAsia="Arial" w:hAnsi="Arial"/>
                <w:sz w:val="14"/>
                <w:szCs w:val="14"/>
                <w:color w:val="auto"/>
              </w:rPr>
              <w:t>exercise of options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458,150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3,297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1,382</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(57,060)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(57,060)</w:t>
            </w:r>
          </w:p>
        </w:tc>
        <w:tc>
          <w:tcPr>
            <w:tcW w:w="0" w:type="dxa"/>
            <w:vAlign w:val="bottom"/>
          </w:tcPr>
          <w:p>
            <w:pPr>
              <w:spacing w:after="0"/>
              <w:rPr>
                <w:sz w:val="1"/>
                <w:szCs w:val="1"/>
                <w:color w:val="auto"/>
              </w:rPr>
            </w:pPr>
          </w:p>
        </w:tc>
      </w:tr>
      <w:tr>
        <w:trPr>
          <w:trHeight w:val="256"/>
        </w:trPr>
        <w:tc>
          <w:tcPr>
            <w:tcW w:w="2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1,164,000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126,136</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55,518,800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879,405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48,084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(805,221)</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(48,170)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200,234</w:t>
            </w:r>
          </w:p>
        </w:tc>
        <w:tc>
          <w:tcPr>
            <w:tcW w:w="0" w:type="dxa"/>
            <w:vAlign w:val="bottom"/>
          </w:tcPr>
          <w:p>
            <w:pPr>
              <w:spacing w:after="0"/>
              <w:rPr>
                <w:sz w:val="1"/>
                <w:szCs w:val="1"/>
                <w:color w:val="auto"/>
              </w:rPr>
            </w:pPr>
          </w:p>
        </w:tc>
      </w:tr>
      <w:tr>
        <w:trPr>
          <w:trHeight w:val="157"/>
        </w:trPr>
        <w:tc>
          <w:tcPr>
            <w:tcW w:w="2540" w:type="dxa"/>
            <w:vAlign w:val="bottom"/>
          </w:tcPr>
          <w:p>
            <w:pPr>
              <w:ind w:left="40"/>
              <w:spacing w:after="0" w:line="157" w:lineRule="exact"/>
              <w:rPr>
                <w:sz w:val="20"/>
                <w:szCs w:val="20"/>
                <w:color w:val="auto"/>
              </w:rPr>
            </w:pPr>
            <w:r>
              <w:rPr>
                <w:rFonts w:ascii="Arial" w:cs="Arial" w:eastAsia="Arial" w:hAnsi="Arial"/>
                <w:sz w:val="14"/>
                <w:szCs w:val="14"/>
                <w:color w:val="auto"/>
              </w:rPr>
              <w:t>Accretion of accumulated dividends on</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40"/>
              <w:spacing w:after="0"/>
              <w:rPr>
                <w:sz w:val="20"/>
                <w:szCs w:val="20"/>
                <w:color w:val="auto"/>
              </w:rPr>
            </w:pPr>
            <w:r>
              <w:rPr>
                <w:rFonts w:ascii="Arial" w:cs="Arial" w:eastAsia="Arial" w:hAnsi="Arial"/>
                <w:sz w:val="14"/>
                <w:szCs w:val="14"/>
                <w:color w:val="auto"/>
              </w:rPr>
              <w:t>Preferred Shares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11,149</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(11,149)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7,204</w:t>
            </w:r>
          </w:p>
        </w:tc>
        <w:tc>
          <w:tcPr>
            <w:tcW w:w="0" w:type="dxa"/>
            <w:vAlign w:val="bottom"/>
          </w:tcPr>
          <w:p>
            <w:pPr>
              <w:spacing w:after="0"/>
              <w:rPr>
                <w:sz w:val="1"/>
                <w:szCs w:val="1"/>
                <w:color w:val="auto"/>
              </w:rPr>
            </w:pPr>
          </w:p>
        </w:tc>
      </w:tr>
      <w:tr>
        <w:trPr>
          <w:trHeight w:val="157"/>
        </w:trPr>
        <w:tc>
          <w:tcPr>
            <w:tcW w:w="2540" w:type="dxa"/>
            <w:vAlign w:val="bottom"/>
          </w:tcPr>
          <w:p>
            <w:pPr>
              <w:ind w:left="40"/>
              <w:spacing w:after="0" w:line="157" w:lineRule="exact"/>
              <w:rPr>
                <w:sz w:val="20"/>
                <w:szCs w:val="20"/>
                <w:color w:val="auto"/>
              </w:rPr>
            </w:pPr>
            <w:r>
              <w:rPr>
                <w:rFonts w:ascii="Arial" w:cs="Arial" w:eastAsia="Arial" w:hAnsi="Arial"/>
                <w:sz w:val="14"/>
                <w:szCs w:val="14"/>
                <w:color w:val="auto"/>
              </w:rPr>
              <w:t>Certain fair value adjustments to</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40"/>
              <w:spacing w:after="0"/>
              <w:rPr>
                <w:sz w:val="20"/>
                <w:szCs w:val="20"/>
                <w:color w:val="auto"/>
              </w:rPr>
            </w:pPr>
            <w:r>
              <w:rPr>
                <w:rFonts w:ascii="Arial" w:cs="Arial" w:eastAsia="Arial" w:hAnsi="Arial"/>
                <w:sz w:val="14"/>
                <w:szCs w:val="14"/>
                <w:color w:val="auto"/>
              </w:rPr>
              <w:t>liability stock option awards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Issuance of common shares pursuant to</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our Open Market Sales Agreement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9,138,232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18,601</w:t>
            </w:r>
          </w:p>
        </w:tc>
        <w:tc>
          <w:tcPr>
            <w:tcW w:w="0" w:type="dxa"/>
            <w:vAlign w:val="bottom"/>
          </w:tcPr>
          <w:p>
            <w:pPr>
              <w:spacing w:after="0"/>
              <w:rPr>
                <w:sz w:val="1"/>
                <w:szCs w:val="1"/>
                <w:color w:val="auto"/>
              </w:rPr>
            </w:pPr>
          </w:p>
        </w:tc>
      </w:tr>
      <w:tr>
        <w:trPr>
          <w:trHeight w:val="157"/>
        </w:trPr>
        <w:tc>
          <w:tcPr>
            <w:tcW w:w="2540" w:type="dxa"/>
            <w:vAlign w:val="bottom"/>
          </w:tcPr>
          <w:p>
            <w:pPr>
              <w:ind w:left="40"/>
              <w:spacing w:after="0" w:line="157" w:lineRule="exact"/>
              <w:rPr>
                <w:sz w:val="20"/>
                <w:szCs w:val="20"/>
                <w:color w:val="auto"/>
              </w:rPr>
            </w:pPr>
            <w:r>
              <w:rPr>
                <w:rFonts w:ascii="Arial" w:cs="Arial" w:eastAsia="Arial" w:hAnsi="Arial"/>
                <w:sz w:val="14"/>
                <w:szCs w:val="14"/>
                <w:color w:val="auto"/>
                <w:w w:val="99"/>
              </w:rPr>
              <w:t>Issuance of common shares pursuant to</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40"/>
              <w:spacing w:after="0"/>
              <w:rPr>
                <w:sz w:val="20"/>
                <w:szCs w:val="20"/>
                <w:color w:val="auto"/>
              </w:rPr>
            </w:pPr>
            <w:r>
              <w:rPr>
                <w:rFonts w:ascii="Arial" w:cs="Arial" w:eastAsia="Arial" w:hAnsi="Arial"/>
                <w:sz w:val="14"/>
                <w:szCs w:val="14"/>
                <w:color w:val="auto"/>
              </w:rPr>
              <w:t>exercise of options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123,282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(153,723)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(153,723)</w:t>
            </w:r>
          </w:p>
        </w:tc>
        <w:tc>
          <w:tcPr>
            <w:tcW w:w="0" w:type="dxa"/>
            <w:vAlign w:val="bottom"/>
          </w:tcPr>
          <w:p>
            <w:pPr>
              <w:spacing w:after="0"/>
              <w:rPr>
                <w:sz w:val="1"/>
                <w:szCs w:val="1"/>
                <w:color w:val="auto"/>
              </w:rPr>
            </w:pPr>
          </w:p>
        </w:tc>
      </w:tr>
      <w:tr>
        <w:trPr>
          <w:trHeight w:val="243"/>
        </w:trPr>
        <w:tc>
          <w:tcPr>
            <w:tcW w:w="2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64,780,314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898,535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(970,093)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72,744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61" w:right="239" w:bottom="1440" w:gutter="0" w:footer="0" w:header="0"/>
        </w:sectPr>
      </w:pPr>
    </w:p>
    <w:bookmarkStart w:id="68" w:name="page69"/>
    <w:bookmarkEnd w:id="68"/>
    <w:p>
      <w:pPr>
        <w:ind w:left="398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r>
      <w:tr>
        <w:trPr>
          <w:trHeight w:val="23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8100" w:type="dxa"/>
            <w:vAlign w:val="bottom"/>
          </w:tcPr>
          <w:p>
            <w:pPr>
              <w:ind w:left="160"/>
              <w:spacing w:after="0"/>
              <w:rPr>
                <w:sz w:val="20"/>
                <w:szCs w:val="20"/>
                <w:color w:val="auto"/>
              </w:rPr>
            </w:pPr>
            <w:r>
              <w:rPr>
                <w:rFonts w:ascii="Arial" w:cs="Arial" w:eastAsia="Arial" w:hAnsi="Arial"/>
                <w:sz w:val="16"/>
                <w:szCs w:val="16"/>
                <w:color w:val="auto"/>
              </w:rPr>
              <w:t>Net loss for the period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(153,723)</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(57,060)</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Items not involving cash:</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Deferred income tax benefit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(4,282)</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2,181</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Loss (gain) on sale of property and equipment</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6,241</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Unrealized foreign exchange (gains) losses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1,003</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(7,298)</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Impairment of intangible assets</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43,836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14,811</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goodwill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Site consolidation non-cash portion</w:t>
            </w:r>
          </w:p>
        </w:tc>
        <w:tc>
          <w:tcPr>
            <w:tcW w:w="3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396</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equity investment loss (gain)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(19,557)</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Non-cash royalty revenue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change in non-cash operating items: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Investment tax credits receivable</w:t>
            </w:r>
          </w:p>
        </w:tc>
        <w:tc>
          <w:tcPr>
            <w:tcW w:w="3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(1,266)</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(2,742)</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Site consolidation accrual</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1,331</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(71,006)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(67,866)</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160"/>
              <w:spacing w:after="0"/>
              <w:rPr>
                <w:sz w:val="20"/>
                <w:szCs w:val="20"/>
                <w:color w:val="auto"/>
              </w:rPr>
            </w:pPr>
            <w:r>
              <w:rPr>
                <w:rFonts w:ascii="Arial" w:cs="Arial" w:eastAsia="Arial" w:hAnsi="Arial"/>
                <w:sz w:val="16"/>
                <w:szCs w:val="16"/>
                <w:color w:val="auto"/>
              </w:rPr>
              <w:t>Acquisition of investments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(58,759)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(121,580)</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Disposition of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118,566</w:t>
            </w:r>
          </w:p>
        </w:tc>
      </w:tr>
      <w:tr>
        <w:trPr>
          <w:trHeight w:val="237"/>
        </w:trPr>
        <w:tc>
          <w:tcPr>
            <w:tcW w:w="8100" w:type="dxa"/>
            <w:vAlign w:val="bottom"/>
          </w:tcPr>
          <w:p>
            <w:pPr>
              <w:ind w:left="160"/>
              <w:spacing w:after="0"/>
              <w:rPr>
                <w:sz w:val="20"/>
                <w:szCs w:val="20"/>
                <w:color w:val="auto"/>
              </w:rPr>
            </w:pPr>
            <w:r>
              <w:rPr>
                <w:rFonts w:ascii="Arial" w:cs="Arial" w:eastAsia="Arial" w:hAnsi="Arial"/>
                <w:sz w:val="16"/>
                <w:szCs w:val="16"/>
                <w:color w:val="auto"/>
              </w:rPr>
              <w:t>Proceeds from sale of property and equipment</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Acquisition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28,338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(4,127)</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160"/>
              <w:spacing w:after="0"/>
              <w:rPr>
                <w:sz w:val="20"/>
                <w:szCs w:val="20"/>
                <w:color w:val="auto"/>
              </w:rPr>
            </w:pPr>
            <w:r>
              <w:rPr>
                <w:rFonts w:ascii="Arial" w:cs="Arial" w:eastAsia="Arial" w:hAnsi="Arial"/>
                <w:sz w:val="16"/>
                <w:szCs w:val="16"/>
                <w:color w:val="auto"/>
              </w:rPr>
              <w:t>Proceeds from the sale of future royalties</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18,549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Promissory note repayment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(12,001)</w:t>
            </w:r>
          </w:p>
        </w:tc>
      </w:tr>
      <w:tr>
        <w:trPr>
          <w:trHeight w:val="237"/>
        </w:trPr>
        <w:tc>
          <w:tcPr>
            <w:tcW w:w="8100" w:type="dxa"/>
            <w:vAlign w:val="bottom"/>
          </w:tcPr>
          <w:p>
            <w:pPr>
              <w:ind w:left="160"/>
              <w:spacing w:after="0"/>
              <w:rPr>
                <w:sz w:val="20"/>
                <w:szCs w:val="20"/>
                <w:color w:val="auto"/>
              </w:rPr>
            </w:pPr>
            <w:r>
              <w:rPr>
                <w:rFonts w:ascii="Arial" w:cs="Arial" w:eastAsia="Arial" w:hAnsi="Arial"/>
                <w:sz w:val="16"/>
                <w:szCs w:val="16"/>
                <w:color w:val="auto"/>
              </w:rPr>
              <w:t>Proceeds from sale of Preferred Shares, net of issuance costs</w:t>
            </w:r>
          </w:p>
        </w:tc>
        <w:tc>
          <w:tcPr>
            <w:tcW w:w="3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66,265</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Issuance of common shares pursuant to exercise of options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1,382</w:t>
            </w:r>
          </w:p>
        </w:tc>
      </w:tr>
      <w:tr>
        <w:trPr>
          <w:trHeight w:val="237"/>
        </w:trPr>
        <w:tc>
          <w:tcPr>
            <w:tcW w:w="8100" w:type="dxa"/>
            <w:vAlign w:val="bottom"/>
          </w:tcPr>
          <w:p>
            <w:pPr>
              <w:ind w:left="160"/>
              <w:spacing w:after="0"/>
              <w:rPr>
                <w:sz w:val="20"/>
                <w:szCs w:val="20"/>
                <w:color w:val="auto"/>
              </w:rPr>
            </w:pPr>
            <w:r>
              <w:rPr>
                <w:rFonts w:ascii="Arial" w:cs="Arial" w:eastAsia="Arial" w:hAnsi="Arial"/>
                <w:sz w:val="16"/>
                <w:szCs w:val="16"/>
                <w:color w:val="auto"/>
              </w:rPr>
              <w:t>Issuance of common shares pursuant to Open Market Sales Agreement</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18,601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55,646</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(1,003)</w:t>
            </w: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Decrease in cash and cash equivalents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(17,350)</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36,942</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54,292</w:t>
            </w: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36,942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Preferred shares dividends accrued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(10,091)</w:t>
            </w:r>
          </w:p>
        </w:tc>
      </w:tr>
      <w:tr>
        <w:trPr>
          <w:trHeight w:val="237"/>
        </w:trPr>
        <w:tc>
          <w:tcPr>
            <w:tcW w:w="8100" w:type="dxa"/>
            <w:vAlign w:val="bottom"/>
          </w:tcPr>
          <w:p>
            <w:pPr>
              <w:ind w:left="160"/>
              <w:spacing w:after="0"/>
              <w:rPr>
                <w:sz w:val="20"/>
                <w:szCs w:val="20"/>
                <w:color w:val="auto"/>
              </w:rPr>
            </w:pPr>
            <w:r>
              <w:rPr>
                <w:rFonts w:ascii="Arial" w:cs="Arial" w:eastAsia="Arial" w:hAnsi="Arial"/>
                <w:sz w:val="16"/>
                <w:szCs w:val="16"/>
                <w:color w:val="auto"/>
              </w:rPr>
              <w:t>Initial investment in Genevant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27,377</w:t>
            </w: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paid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8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sectPr>
          <w:pgSz w:w="11900" w:h="16838" w:orient="portrait"/>
          <w:cols w:equalWidth="0" w:num="1">
            <w:col w:w="11380"/>
          </w:cols>
          <w:pgMar w:left="260" w:top="661" w:right="259" w:bottom="626" w:gutter="0" w:footer="0" w:header="0"/>
        </w:sectPr>
      </w:pPr>
    </w:p>
    <w:p>
      <w:pPr>
        <w:jc w:val="center"/>
        <w:ind w:right="-5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60" w:top="661" w:right="259" w:bottom="626"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Nature of business and future operations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To pursue our strategy of developing a treatment for chronic HBV, we are developing a diverse product pipeline consisting of multiple drug candidates with complementary mechanisms of action, which have the potential to improve upon the SOC and contribute to a curative combination regimen. Our pipeline includes agents that have the potential to form an effective proprietary combination therapy.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pipeline includes:</w:t>
      </w:r>
    </w:p>
    <w:p>
      <w:pPr>
        <w:spacing w:after="0" w:line="225" w:lineRule="exact"/>
        <w:rPr>
          <w:sz w:val="20"/>
          <w:szCs w:val="20"/>
          <w:color w:val="auto"/>
        </w:rPr>
      </w:pPr>
    </w:p>
    <w:p>
      <w:pPr>
        <w:ind w:left="660" w:right="6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AB-729, a subcutaneously-delivered RNA interference (“RNAi”) therapeutic product candidate currently in a Phase 1a/1b clinical trial with preliminary results anticipated in late March 2020;</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AB-836, a next-generation capsid inhibitor product candidate currently advancing through IND-enabling studies; and</w:t>
      </w:r>
    </w:p>
    <w:p>
      <w:pPr>
        <w:spacing w:after="0" w:line="63" w:lineRule="exact"/>
        <w:rPr>
          <w:rFonts w:ascii="Arial" w:cs="Arial" w:eastAsia="Arial" w:hAnsi="Arial"/>
          <w:sz w:val="18"/>
          <w:szCs w:val="18"/>
          <w:color w:val="auto"/>
        </w:rPr>
      </w:pPr>
    </w:p>
    <w:p>
      <w:pPr>
        <w:ind w:left="660" w:right="8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compounds early in the development process, including back-up capsid inhibitors, next-generation oral HBV RNA destabilizers and compounds that inhibit PD-L1.</w:t>
      </w:r>
    </w:p>
    <w:p>
      <w:pPr>
        <w:spacing w:after="0" w:line="22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Company’s research and development activities and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3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Tekmira Pharmaceuticals Corporation (“Tekmira”) was incorporated in Canada on October 6, 2005 as an inactive wholly-owned subsidiary of Inex Pharmaceuticals Corporation (“Inex”). Pursuant to a “Plan of Arrangement” effective April 30, 2007, the business and substantially all of the assets and liabilities of Inex were transferred to Tekmira.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2015, Tekmira completed a business combination pursuant to which OnCore Biopharma, Inc. (“OnCore”), became a wholly-owned subsidiary of Tekmira.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31, 2015, Tekmira changed its corporate name to Arbutus Biopharma Corporation and OnCore changed its corporate name to Arbutus Biopharma, Inc. (“Arbutus Inc.”).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two wholly-owned subsidiaries as of December 31, 2019: Arbutus Inc. and Arbutus Biopharma US Holdings, Inc., which was formed in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Protiva Biotherapeutics Inc. (“Protiva”) was acquired by the Company on May 30, 2008. On January 1, 2018, Protiva was amalgamated with Arbutus Biopharma Corporation. The Company’s former wholly-owned subsidiary, Protiva Agricultural Development Company Inc (“PADCo”) was previously recorded by the Company using the equity method. On March 4, 2016, Monsanto Company exercised its option to acquire 100% of the outstanding shares of PADCo.</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61" w:right="239" w:bottom="1440" w:gutter="0" w:footer="0" w:header="0"/>
        </w:sectPr>
      </w:pPr>
    </w:p>
    <w:bookmarkStart w:id="70" w:name="page71"/>
    <w:bookmarkEnd w:id="70"/>
    <w:p>
      <w:pPr>
        <w:jc w:val="both"/>
        <w:ind w:right="20"/>
        <w:spacing w:after="0" w:line="264" w:lineRule="auto"/>
        <w:rPr>
          <w:sz w:val="20"/>
          <w:szCs w:val="20"/>
          <w:color w:val="auto"/>
        </w:rPr>
      </w:pPr>
      <w:r>
        <w:rPr>
          <w:rFonts w:ascii="Arial" w:cs="Arial" w:eastAsia="Arial" w:hAnsi="Arial"/>
          <w:sz w:val="18"/>
          <w:szCs w:val="18"/>
          <w:color w:val="auto"/>
        </w:rPr>
        <w:t>These consolidated financial statements include the accounts of the Company and its two wholly-owned subsidiaries, in accordance with U.S. generally accepted accounting principles (“GAAP”). All intercompany balances and transactions have been eliminated. Certain prior year amounts have been reclassified to conform to the current year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functional currency conversion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functional currency is the United States dollar. Monetary assets and liabilities denominated in foreign currencies are translated into United States dollars using exchange rates in effect at the balance sheet date. Opening balances related to non-monetary assets and liabilities are based on prior period translated amounts, and non-monetary assets and non-monetary liabilities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about future events that affect the reported amounts of assets, liabilities, revenue, expenses and contingent liabilities as of the end or during the reporting period. Actual results could significantly differ from those estimates. Significant areas requiring the use of management estimates relate to valuation of intangible assets and goodwill, stock-based compensation, and the amounts recorded as accrued liabilities, contingent consideration, and income tax recovery.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short-term investments consist of marketable securities that have original maturities exceeding three months and remaining maturities of less than one year. These investments are accounted for as available-for-sale securities and are reported at fair value, with unrealized gains and losses reported in other comprehensive loss, until their disposition. Realized gains and losses from the sale of marketable securities, if any, are calculated using the specific-identification method, and are recorded as a component of other income or loss. The Company reviews its available-for-sale securities at each period end to determine if they remain available-for-sale based on the Company’s current intent and ability to sell the security if it is required to do so. Declines in value judged to be other-than-temporary are included in interest income or expense in the Company’s statements of operations and comprehensive loss. As of December 31, 2019, the recorded value of the Company’s investments in marketable securities was deemed to be recoverable in all respects.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All investments are governed by the Company’s Investment Policy approved by the Company’s board of directors.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1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accounts for its investment in Genevant Sciences Ltd. (“Genevant”) in accordance with Financial Accounting Standards Board (“FASB”) Accounting Standards Codification (“ASC”) 323,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xml:space="preserve"> (“ASC 323”). In accordance with ASC 323, associated companies are accounted for as equity method investments if the Company can exercise significant influence over the associated companies. Investments in and advances to Genevant are presented on a one-line basis in the caption “Investment in Genevant” in the Company’s consolidated balance sheets, net of allowance for losses, which represents the Company’s best estimate of probable losses inherent in such assets. The Company’s proportionate share of Genevant’s net income or loss is presented along with any other gains or losses associated with the investment on a one-line basis in the Company’s consolidated statement of operations. Transactions between the Company and any associated companies are eliminated on a basis proportional to the Company’s ownership interest. The Company’s proportionate share of Genevant’s financial results are recorded on a one-quarter lag basis.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recovery of the Company’s remaining carrying value in Genevant was uncertain, and therefore the Company recorded a $7.6 million impairment expense to reduce the carrying value of its investment in Genevant to zero.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is recorded at cost less impairment losses, accumulated depreciation, related government grants and investment tax credits. The Company records depreciation using the straight-line method over the estimated useful lives of the capital assets as follows:</w:t>
      </w:r>
    </w:p>
    <w:p>
      <w:pPr>
        <w:spacing w:after="0" w:line="176" w:lineRule="exact"/>
        <w:rPr>
          <w:sz w:val="20"/>
          <w:szCs w:val="20"/>
          <w:color w:val="auto"/>
        </w:rPr>
      </w:pPr>
    </w:p>
    <w:p>
      <w:pPr>
        <w:ind w:left="10140"/>
        <w:spacing w:after="0"/>
        <w:rPr>
          <w:sz w:val="20"/>
          <w:szCs w:val="20"/>
          <w:color w:val="auto"/>
        </w:rPr>
      </w:pPr>
      <w:r>
        <w:rPr>
          <w:rFonts w:ascii="Arial" w:cs="Arial" w:eastAsia="Arial" w:hAnsi="Arial"/>
          <w:sz w:val="14"/>
          <w:szCs w:val="14"/>
          <w:b w:val="1"/>
          <w:bCs w:val="1"/>
          <w:color w:val="auto"/>
        </w:rPr>
        <w:t>Useful Life (Years)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equipment</w:t>
            </w: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44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Computer and office equipment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10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60" w:type="dxa"/>
            <w:vAlign w:val="bottom"/>
            <w:shd w:val="clear" w:color="auto" w:fill="CCEEFF"/>
          </w:tcPr>
          <w:p>
            <w:pPr>
              <w:spacing w:after="0"/>
              <w:rPr>
                <w:sz w:val="21"/>
                <w:szCs w:val="21"/>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440" w:type="dxa"/>
            <w:vAlign w:val="bottom"/>
            <w:shd w:val="clear" w:color="auto" w:fill="CCEEFF"/>
          </w:tcPr>
          <w:p>
            <w:pPr>
              <w:spacing w:after="0"/>
              <w:rPr>
                <w:sz w:val="21"/>
                <w:szCs w:val="21"/>
                <w:color w:val="auto"/>
              </w:rPr>
            </w:pPr>
          </w:p>
        </w:tc>
      </w:tr>
      <w:tr>
        <w:trPr>
          <w:trHeight w:val="27"/>
        </w:trPr>
        <w:tc>
          <w:tcPr>
            <w:tcW w:w="10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Leasehold improvements are depreciated over their estimated useful lives but in no case longer than the lease term, except where lease renewal is reasonably assured.</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is reviewed for impairment whenever events or changes in circumstances indicate that the carrying amount of such assets may not be recoverable. If such a review should indicate that the carrying amount of long-lived assets is not recoverable, then such assets are written down to their fair values.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balances related to acquired in-process research and development (“IPR&amp;D”) intangible assets related to the Company’s covalently closed circular DNA (“cccDNA”) program. During 2019, the Company recorded a $43.8 million non-cash impairment expense to reduce the carrying value of its IPR&amp;D intangible assets to zero. The Company also recognized a corresponding income tax benefit of $12.7 million related to the decrease in its deferred tax liability related to the IPR&amp;D intangible assets. The impairment was due to a decision to delay indefinitely the further development of the Company’s cccDNA program while the Company focuses on its other development programs.</w:t>
      </w:r>
    </w:p>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goodwill balance represented the excess of purchase price over the value assigned to the net tangible and identifiable intangible assets in connection with the business combination that formed Arbutus. During 2019, the Company assessed its changes in circumstances to determine if it was more likely than not that the fair value of its single reporting unit was below its carrying amount. Due to a sustained decrease in the Company’s share price in recent months, the Company’s market capitalization was reduced below the book value of its net assets and the Company concluded that the fair value of its single reporting unit was below its carrying amount by an amount in excess of the carrying value of the goodwill. As a result, the Company recorded a $22.5 million non-cash impairment expense to reduce the carrying value of its goodwill asset to zero.</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11"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costs incurred in establishing and maintaining patents for intellectual property developed internally are expensed in the period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became effective for the Company on January 1, 2018, and was adopted using the modified retrospective method under which previously presented financial statements are not restated and the cumulative effect of adopting ASC 606 on contracts in process is recognized by an adjustment to retained earnings at the effective date. The adoption of ASC 606 did not change recognized revenue under the Company’s ongoing significant collaboration and license agreements and no cumulative effect adjustment was required.</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January 1, 2019, the Company adopted FASB’s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which generally requires the recognition of operating and financing lease liabilities with corresponding right-of-use assets on the balance sheet. The Company adopted the new standard using the modified retrospective basis applied at the effective date of the new standard and elected to utilize a package of practical expedients. See note 6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including acquired in-process research and development expenses for which there is no alternative future use, are charged as an expense in the period in which they are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follows the two-class method when computing net loss attributable to common shareholders per share as the Company has issued Series A participating convertible preferred shares (“Preferred Shares”), as further described in note 15, that meet the definition of participating securities. The Company’s Preferred Shares entitle the holders to participate in dividends but do not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11" w:right="239" w:bottom="1440" w:gutter="0" w:footer="0" w:header="0"/>
        </w:sectPr>
      </w:pPr>
    </w:p>
    <w:bookmarkStart w:id="73" w:name="page74"/>
    <w:bookmarkEnd w:id="73"/>
    <w:p>
      <w:pPr>
        <w:jc w:val="both"/>
        <w:ind w:right="20"/>
        <w:spacing w:after="0" w:line="277" w:lineRule="auto"/>
        <w:rPr>
          <w:sz w:val="20"/>
          <w:szCs w:val="20"/>
          <w:color w:val="auto"/>
        </w:rPr>
      </w:pPr>
      <w:r>
        <w:rPr>
          <w:rFonts w:ascii="Arial" w:cs="Arial" w:eastAsia="Arial" w:hAnsi="Arial"/>
          <w:sz w:val="18"/>
          <w:szCs w:val="18"/>
          <w:color w:val="auto"/>
        </w:rPr>
        <w:t>require the holders to participate in losses of the Company. Accordingly, if the Company reports a net loss attributable to holders of the Company’s common shares, net losses are not allocated to holders of the Preferred Shares.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for the years ended December 31, 2019 and 2018, since the effect of the Company’s stock options is anti-dilutive. For the year ended December 31, 2019, potential common shares of 8.9 million pertaining to stock options outstanding and approximately 19.4 million pertaining to if-converted preferred shares for a total of approximately 28.4 million shares were excluded from the calculation of net loss attributable to common shareholders, per share because their inclusion would be anti-dilutive. A total of approximately 24.7 million potential common shares and if-converted preferred shares were excluded from the calculation for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computation of basic and diluted net loss attributable to common shareholders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7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2018</w:t>
            </w:r>
          </w:p>
        </w:tc>
      </w:tr>
      <w:tr>
        <w:trPr>
          <w:trHeight w:val="256"/>
        </w:trPr>
        <w:tc>
          <w:tcPr>
            <w:tcW w:w="7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80" w:type="dxa"/>
            <w:vAlign w:val="bottom"/>
            <w:gridSpan w:val="4"/>
            <w:shd w:val="clear" w:color="auto" w:fill="CCEEFF"/>
          </w:tcPr>
          <w:p>
            <w:pPr>
              <w:jc w:val="right"/>
              <w:ind w:right="433"/>
              <w:spacing w:after="0"/>
              <w:rPr>
                <w:sz w:val="20"/>
                <w:szCs w:val="20"/>
                <w:color w:val="auto"/>
              </w:rPr>
            </w:pPr>
            <w:r>
              <w:rPr>
                <w:rFonts w:ascii="Arial" w:cs="Arial" w:eastAsia="Arial" w:hAnsi="Arial"/>
                <w:sz w:val="14"/>
                <w:szCs w:val="14"/>
                <w:b w:val="1"/>
                <w:bCs w:val="1"/>
                <w:color w:val="auto"/>
                <w:w w:val="96"/>
              </w:rPr>
              <w:t>(in thousands, except share and per share amounts)</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Numerator:</w:t>
            </w:r>
          </w:p>
        </w:tc>
        <w:tc>
          <w:tcPr>
            <w:tcW w:w="3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Allocation of distributable earnings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Allocation of undistributable loss</w:t>
            </w: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(164,872)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(67,151)</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Allocation of net loss attributed to common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(67,151)</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Denominator:</w:t>
            </w:r>
          </w:p>
        </w:tc>
        <w:tc>
          <w:tcPr>
            <w:tcW w:w="3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 basic and diluted</w:t>
            </w:r>
          </w:p>
        </w:tc>
        <w:tc>
          <w:tcPr>
            <w:tcW w:w="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57,093,454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55,304,083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Basic and diluted net loss attributable to common shareholders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2018, the Company entered into an Open Market Sale Agreement (“2018 Sale Agreement”) with Jefferies LLC</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(“Jefferies”), under which it may issue and sell common shares. In 2020, through March 2, 2020, we issued 4,127,092 common shares pursuant to the amendment to the Sale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 and refundable investment tax credits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Government grants and tax credits provided for current expenses are included in the determination of income or loss for the year, as a reduction of the expenses to which they relate.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Equity-classified stock option awards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grants stock options to employees, directors and consultants pursuant to share incentive plans described in note 16. Compensation expense is recorded for issued stock options using the fair value method with a corresponding increase in additional paid-in capital. Any consideration received on the exercise of stock options is credited to share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equity classified stock options is measured at the grant date and is amortized on a straight-line basis over the vesting period.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1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Liability-classified stock option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accounts for liability-classified stock option awards (“liability options”) under ASC 718 </w:t>
      </w:r>
      <w:r>
        <w:rPr>
          <w:rFonts w:ascii="Arial" w:cs="Arial" w:eastAsia="Arial" w:hAnsi="Arial"/>
          <w:sz w:val="17"/>
          <w:szCs w:val="17"/>
          <w:i w:val="1"/>
          <w:iCs w:val="1"/>
          <w:color w:val="auto"/>
        </w:rPr>
        <w:t>- Compensation - Stock Compensation</w:t>
      </w:r>
      <w:r>
        <w:rPr>
          <w:rFonts w:ascii="Arial" w:cs="Arial" w:eastAsia="Arial" w:hAnsi="Arial"/>
          <w:sz w:val="17"/>
          <w:szCs w:val="17"/>
          <w:color w:val="auto"/>
        </w:rPr>
        <w:t xml:space="preserve"> (“ASC 718”), under which 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As of January 1, 2016, the Company changed its functional currency to US dollars, which resulted in certain stock option awards with exercise prices denominated in Canadian dollars having an exercise price that is not denominated in the Company’s functional currency. As such, the historic equity classification of these stock option awards changed to liability classification effective January 1, 2016. The change in classification resulted in reclassification of these awards from additional paid-in capital to a liability.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Liability options are re-measured to their fair values at each reporting date with changes in the fair value recognized in share-based compensation expense or additional paid-in capital until settlement or cancellation. Under ASC 718,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accounts for Preferred Shares under ASC 480 –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(“ASC 480”), which provides guidance for equity instruments with conversion features. The Company classifies Preferred Shares in its consolidated balance sheet wholly as equity, with no bifurcation of conversion feature from the host contract, given that the Preferred Shares cannot be cash-settled and the redemption features, which include a fixed conversion ratio with predetermined timing and proceeds, are within the Company’s control. The Company accrues for the 8.75% per annum compounding accrual at each reporting period end date as an increase to share capital, and an increase to deficit.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in a single reporting segment. Substantially all of the Company’s revenues to date were earned from customers or collaborators based in the United States. Substantially all of the Company’s premises, property and equipment are located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Comprehensive loss is comprised of net loss, the impact of foreign currency translation adjustments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82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w:t>
      </w:r>
    </w:p>
    <w:p>
      <w:pPr>
        <w:spacing w:after="0" w:line="46" w:lineRule="exact"/>
        <w:rPr>
          <w:sz w:val="20"/>
          <w:szCs w:val="20"/>
          <w:color w:val="auto"/>
        </w:rPr>
      </w:pPr>
    </w:p>
    <w:p>
      <w:pPr>
        <w:jc w:val="both"/>
        <w:ind w:firstLine="8"/>
        <w:spacing w:after="0" w:line="270" w:lineRule="auto"/>
        <w:tabs>
          <w:tab w:leader="none" w:pos="42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ASU provides more comparability in the presentation of revenue for certain transactions between collaborative arrangement participants and only allows a company to present units of account in collaborative arrangements that are within the scope of the revenue recognition standard together with revenue accounted for under the revenue recognition standard. The parts of the collaborative arrangement that are not in the scope of the revenue recognition standard should be presented separately from revenue accounted for under the revenue recognition standard. The amendments in ASU No. 2018-18 are effective for fiscal years beginning after December 15, 2019, and interim periods within those fiscal years. The Company evaluated the impact of this pronouncement and concluded that the guidance does not have a material impact on its financial position and results of operations.</w:t>
      </w:r>
    </w:p>
    <w:p>
      <w:pPr>
        <w:spacing w:after="0" w:line="23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August 2018, the FASB issued ASU No. 2018-13, Fair Value Measurement (Topic 820): Disclosure Framework—Changes to the Disclosure Requirements for Fair Value Measurement, which removes, adds and modifies certain disclosure requirements for fair value measurements in Topic 820. The Company will no longer be required to disclose the amount of and reasons for transfers between Level 1 and Level 2 of the fair value hierarchy, and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The ASU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Company is permitted to early adopt either the entire ASU or only the provisions that eliminate or modify the requirements. The Company evaluated the impact of this pronouncement and concluded that the guidance does not have a material impact on its financial position and results of operations.</w:t>
      </w:r>
    </w:p>
    <w:p>
      <w:pPr>
        <w:spacing w:after="0" w:line="200" w:lineRule="exact"/>
        <w:rPr>
          <w:sz w:val="20"/>
          <w:szCs w:val="20"/>
          <w:color w:val="auto"/>
        </w:rPr>
      </w:pPr>
    </w:p>
    <w:p>
      <w:pPr>
        <w:spacing w:after="0" w:line="23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63"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9"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investments in marketable securities, accounts receivable, accounts payable and accrued liabilities approximate their fair values due to the immediate or short-term maturity of these financial instruments.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determine the fair value of the contingent consideration (note 13),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11" w:right="2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program, time to complete the program development, and overall biotech indices. The Company determined the fair value of the contingent consideration was $3.0 million as of December 31, 2019 and the decrease of $0.2 million has been recorded in other losses in the statement of operations and comprehensive loss for the year ended December 31, 2019.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162"/>
        </w:trPr>
        <w:tc>
          <w:tcPr>
            <w:tcW w:w="514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ind w:left="760"/>
              <w:spacing w:after="0"/>
              <w:rPr>
                <w:sz w:val="20"/>
                <w:szCs w:val="20"/>
                <w:color w:val="auto"/>
              </w:rPr>
            </w:pPr>
            <w:r>
              <w:rPr>
                <w:rFonts w:ascii="Arial" w:cs="Arial" w:eastAsia="Arial" w:hAnsi="Arial"/>
                <w:sz w:val="14"/>
                <w:szCs w:val="14"/>
                <w:b w:val="1"/>
                <w:bCs w:val="1"/>
                <w:color w:val="auto"/>
                <w:w w:val="95"/>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31,799</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59,035</w:t>
            </w:r>
          </w:p>
        </w:tc>
      </w:tr>
      <w:tr>
        <w:trPr>
          <w:trHeight w:val="237"/>
        </w:trPr>
        <w:tc>
          <w:tcPr>
            <w:tcW w:w="40" w:type="dxa"/>
            <w:vAlign w:val="bottom"/>
          </w:tcPr>
          <w:p>
            <w:pPr>
              <w:spacing w:after="0"/>
              <w:rPr>
                <w:sz w:val="20"/>
                <w:szCs w:val="20"/>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90,834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90,834</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Liability-classified options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253</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2,953</w:t>
            </w:r>
          </w:p>
        </w:tc>
      </w:tr>
      <w:tr>
        <w:trPr>
          <w:trHeight w:val="237"/>
        </w:trPr>
        <w:tc>
          <w:tcPr>
            <w:tcW w:w="40" w:type="dxa"/>
            <w:vAlign w:val="bottom"/>
          </w:tcPr>
          <w:p>
            <w:pPr>
              <w:spacing w:after="0"/>
              <w:rPr>
                <w:sz w:val="20"/>
                <w:szCs w:val="20"/>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3,206</w:t>
            </w:r>
          </w:p>
        </w:tc>
      </w:tr>
      <w:tr>
        <w:trPr>
          <w:trHeight w:val="642"/>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162"/>
        </w:trPr>
        <w:tc>
          <w:tcPr>
            <w:tcW w:w="514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ind w:left="760"/>
              <w:spacing w:after="0"/>
              <w:rPr>
                <w:sz w:val="20"/>
                <w:szCs w:val="20"/>
                <w:color w:val="auto"/>
              </w:rPr>
            </w:pPr>
            <w:r>
              <w:rPr>
                <w:rFonts w:ascii="Arial" w:cs="Arial" w:eastAsia="Arial" w:hAnsi="Arial"/>
                <w:sz w:val="14"/>
                <w:szCs w:val="14"/>
                <w:b w:val="1"/>
                <w:bCs w:val="1"/>
                <w:color w:val="auto"/>
                <w:w w:val="95"/>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36,942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36,942</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87,675</w:t>
            </w:r>
          </w:p>
        </w:tc>
      </w:tr>
      <w:tr>
        <w:trPr>
          <w:trHeight w:val="237"/>
        </w:trPr>
        <w:tc>
          <w:tcPr>
            <w:tcW w:w="40" w:type="dxa"/>
            <w:vAlign w:val="bottom"/>
          </w:tcPr>
          <w:p>
            <w:pPr>
              <w:spacing w:after="0"/>
              <w:rPr>
                <w:sz w:val="20"/>
                <w:szCs w:val="20"/>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124,617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124,617</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140" w:type="dxa"/>
            <w:vAlign w:val="bottom"/>
            <w:gridSpan w:val="3"/>
          </w:tcPr>
          <w:p>
            <w:pPr>
              <w:ind w:left="40"/>
              <w:spacing w:after="0"/>
              <w:rPr>
                <w:sz w:val="20"/>
                <w:szCs w:val="20"/>
                <w:color w:val="auto"/>
              </w:rPr>
            </w:pPr>
            <w:r>
              <w:rPr>
                <w:rFonts w:ascii="Arial" w:cs="Arial" w:eastAsia="Arial" w:hAnsi="Arial"/>
                <w:sz w:val="18"/>
                <w:szCs w:val="18"/>
                <w:color w:val="auto"/>
              </w:rPr>
              <w:t>Liability-classified options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479</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3,126</w:t>
            </w:r>
          </w:p>
        </w:tc>
      </w:tr>
      <w:tr>
        <w:trPr>
          <w:trHeight w:val="237"/>
        </w:trPr>
        <w:tc>
          <w:tcPr>
            <w:tcW w:w="40" w:type="dxa"/>
            <w:vAlign w:val="bottom"/>
          </w:tcPr>
          <w:p>
            <w:pPr>
              <w:spacing w:after="0"/>
              <w:rPr>
                <w:sz w:val="20"/>
                <w:szCs w:val="20"/>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3,605</w:t>
            </w:r>
          </w:p>
        </w:tc>
      </w:tr>
      <w:tr>
        <w:trPr>
          <w:trHeight w:val="729"/>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1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Liability at beginning of</w:t>
            </w:r>
          </w:p>
        </w:tc>
        <w:tc>
          <w:tcPr>
            <w:tcW w:w="220" w:type="dxa"/>
            <w:vAlign w:val="bottom"/>
          </w:tcPr>
          <w:p>
            <w:pPr>
              <w:spacing w:after="0"/>
              <w:rPr>
                <w:sz w:val="14"/>
                <w:szCs w:val="14"/>
                <w:color w:val="auto"/>
              </w:rPr>
            </w:pPr>
          </w:p>
        </w:tc>
        <w:tc>
          <w:tcPr>
            <w:tcW w:w="2080" w:type="dxa"/>
            <w:vAlign w:val="bottom"/>
          </w:tcPr>
          <w:p>
            <w:pPr>
              <w:jc w:val="right"/>
              <w:ind w:right="101"/>
              <w:spacing w:after="0"/>
              <w:rPr>
                <w:sz w:val="20"/>
                <w:szCs w:val="20"/>
                <w:color w:val="auto"/>
              </w:rPr>
            </w:pPr>
            <w:r>
              <w:rPr>
                <w:rFonts w:ascii="Arial" w:cs="Arial" w:eastAsia="Arial" w:hAnsi="Arial"/>
                <w:sz w:val="14"/>
                <w:szCs w:val="14"/>
                <w:b w:val="1"/>
                <w:bCs w:val="1"/>
                <w:color w:val="auto"/>
                <w:w w:val="92"/>
              </w:rPr>
              <w:t>Fair value of liability-classified</w:t>
            </w:r>
          </w:p>
        </w:tc>
        <w:tc>
          <w:tcPr>
            <w:tcW w:w="18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7"/>
              </w:rPr>
              <w:t>Increase (decrease) in fair</w:t>
            </w:r>
          </w:p>
        </w:tc>
        <w:tc>
          <w:tcPr>
            <w:tcW w:w="220" w:type="dxa"/>
            <w:vAlign w:val="bottom"/>
          </w:tcPr>
          <w:p>
            <w:pPr>
              <w:spacing w:after="0"/>
              <w:rPr>
                <w:sz w:val="14"/>
                <w:szCs w:val="14"/>
                <w:color w:val="auto"/>
              </w:rPr>
            </w:pPr>
          </w:p>
        </w:tc>
        <w:tc>
          <w:tcPr>
            <w:tcW w:w="156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Liability at end of the</w:t>
            </w:r>
          </w:p>
        </w:tc>
      </w:t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the period</w:t>
            </w: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89"/>
              </w:rPr>
              <w:t>options exercised in the period</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value of liability</w:t>
            </w: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period</w:t>
            </w:r>
          </w:p>
        </w:tc>
      </w:tr>
      <w:tr>
        <w:trPr>
          <w:trHeight w:val="250"/>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9"/>
              <w:spacing w:after="0"/>
              <w:rPr>
                <w:sz w:val="20"/>
                <w:szCs w:val="20"/>
                <w:color w:val="auto"/>
              </w:rPr>
            </w:pPr>
            <w:r>
              <w:rPr>
                <w:rFonts w:ascii="Arial" w:cs="Arial" w:eastAsia="Arial" w:hAnsi="Arial"/>
                <w:sz w:val="18"/>
                <w:szCs w:val="18"/>
                <w:color w:val="auto"/>
              </w:rPr>
              <w:t>1,239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21"/>
              <w:spacing w:after="0"/>
              <w:rPr>
                <w:sz w:val="20"/>
                <w:szCs w:val="20"/>
                <w:color w:val="auto"/>
              </w:rPr>
            </w:pPr>
            <w:r>
              <w:rPr>
                <w:rFonts w:ascii="Arial" w:cs="Arial" w:eastAsia="Arial" w:hAnsi="Arial"/>
                <w:sz w:val="18"/>
                <w:szCs w:val="18"/>
                <w:color w:val="auto"/>
              </w:rPr>
              <w:t>(93)</w:t>
            </w:r>
          </w:p>
        </w:tc>
        <w:tc>
          <w:tcPr>
            <w:tcW w:w="3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9"/>
              <w:spacing w:after="0"/>
              <w:rPr>
                <w:sz w:val="20"/>
                <w:szCs w:val="20"/>
                <w:color w:val="auto"/>
              </w:rPr>
            </w:pPr>
            <w:r>
              <w:rPr>
                <w:rFonts w:ascii="Arial" w:cs="Arial" w:eastAsia="Arial" w:hAnsi="Arial"/>
                <w:sz w:val="18"/>
                <w:szCs w:val="18"/>
                <w:color w:val="auto"/>
              </w:rPr>
              <w:t>479</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Liability at beginning of the period</w:t>
            </w:r>
          </w:p>
        </w:tc>
        <w:tc>
          <w:tcPr>
            <w:tcW w:w="240" w:type="dxa"/>
            <w:vAlign w:val="bottom"/>
          </w:tcPr>
          <w:p>
            <w:pPr>
              <w:spacing w:after="0"/>
              <w:rPr>
                <w:sz w:val="14"/>
                <w:szCs w:val="14"/>
                <w:color w:val="auto"/>
              </w:rPr>
            </w:pPr>
          </w:p>
        </w:tc>
        <w:tc>
          <w:tcPr>
            <w:tcW w:w="230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Increase (decrease) in fair value of</w:t>
            </w:r>
          </w:p>
        </w:tc>
        <w:tc>
          <w:tcPr>
            <w:tcW w:w="280" w:type="dxa"/>
            <w:vAlign w:val="bottom"/>
          </w:tcPr>
          <w:p>
            <w:pPr>
              <w:spacing w:after="0"/>
              <w:rPr>
                <w:sz w:val="14"/>
                <w:szCs w:val="14"/>
                <w:color w:val="auto"/>
              </w:rPr>
            </w:pPr>
          </w:p>
        </w:tc>
        <w:tc>
          <w:tcPr>
            <w:tcW w:w="218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8"/>
              </w:rPr>
              <w:t>Liability at end of the period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9"/>
              </w:rPr>
              <w:t>liability</w:t>
            </w: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36"/>
              <w:spacing w:after="0"/>
              <w:rPr>
                <w:sz w:val="20"/>
                <w:szCs w:val="20"/>
                <w:color w:val="auto"/>
              </w:rPr>
            </w:pPr>
            <w:r>
              <w:rPr>
                <w:rFonts w:ascii="Arial" w:cs="Arial" w:eastAsia="Arial" w:hAnsi="Arial"/>
                <w:sz w:val="18"/>
                <w:szCs w:val="18"/>
                <w:color w:val="auto"/>
              </w:rPr>
              <w:t>10,424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21"/>
              <w:spacing w:after="0"/>
              <w:rPr>
                <w:sz w:val="20"/>
                <w:szCs w:val="20"/>
                <w:color w:val="auto"/>
              </w:rPr>
            </w:pPr>
            <w:r>
              <w:rPr>
                <w:rFonts w:ascii="Arial" w:cs="Arial" w:eastAsia="Arial" w:hAnsi="Arial"/>
                <w:sz w:val="18"/>
                <w:szCs w:val="18"/>
                <w:color w:val="auto"/>
              </w:rPr>
              <w:t>(7,298)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6"/>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Investments in marketable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8"/>
                <w:szCs w:val="8"/>
                <w:b w:val="1"/>
                <w:bCs w:val="1"/>
                <w:color w:val="auto"/>
              </w:rPr>
              <w:t>(1)</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33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gridSpan w:val="5"/>
          </w:tcPr>
          <w:p>
            <w:pPr>
              <w:ind w:left="140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0"/>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Money market fund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4,106</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agency bonds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1,511</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1,499</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7,116</w:t>
            </w:r>
          </w:p>
        </w:tc>
      </w:tr>
      <w:tr>
        <w:trPr>
          <w:trHeight w:val="264"/>
        </w:trPr>
        <w:tc>
          <w:tcPr>
            <w:tcW w:w="330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securities</w:t>
            </w: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agency bonds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19,864</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15,926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15,927</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bonds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23,244</w:t>
            </w:r>
          </w:p>
        </w:tc>
      </w:tr>
      <w:tr>
        <w:trPr>
          <w:trHeight w:val="237"/>
        </w:trPr>
        <w:tc>
          <w:tcPr>
            <w:tcW w:w="20" w:type="dxa"/>
            <w:vAlign w:val="bottom"/>
          </w:tcPr>
          <w:p>
            <w:pPr>
              <w:spacing w:after="0"/>
              <w:rPr>
                <w:sz w:val="20"/>
                <w:szCs w:val="20"/>
                <w:color w:val="auto"/>
              </w:rPr>
            </w:pPr>
          </w:p>
        </w:tc>
        <w:tc>
          <w:tcPr>
            <w:tcW w:w="328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59,035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59,035</w:t>
            </w:r>
          </w:p>
        </w:tc>
      </w:tr>
    </w:tbl>
    <w:p>
      <w:pPr>
        <w:spacing w:after="0" w:line="44" w:lineRule="exact"/>
        <w:rPr>
          <w:sz w:val="20"/>
          <w:szCs w:val="20"/>
          <w:color w:val="auto"/>
        </w:rPr>
      </w:pPr>
    </w:p>
    <w:p>
      <w:pPr>
        <w:ind w:left="560" w:hanging="183"/>
        <w:spacing w:after="0"/>
        <w:tabs>
          <w:tab w:leader="none" w:pos="5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Gross unrealized gain (loss) is pre-tax.</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8"/>
                <w:szCs w:val="8"/>
                <w:b w:val="1"/>
                <w:bCs w:val="1"/>
                <w:color w:val="auto"/>
              </w:rPr>
              <w:t>(1)</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33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gridSpan w:val="5"/>
          </w:tcPr>
          <w:p>
            <w:pPr>
              <w:ind w:left="140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0"/>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Individual savings account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20,420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20,420</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20,420</w:t>
            </w:r>
          </w:p>
        </w:tc>
      </w:tr>
      <w:tr>
        <w:trPr>
          <w:trHeight w:val="264"/>
        </w:trPr>
        <w:tc>
          <w:tcPr>
            <w:tcW w:w="330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securities</w:t>
            </w: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2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Canadian guaranteed investment</w:t>
            </w: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certificates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71,483</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USD term deposit</w:t>
            </w:r>
          </w:p>
        </w:tc>
        <w:tc>
          <w:tcPr>
            <w:tcW w:w="300" w:type="dxa"/>
            <w:vAlign w:val="bottom"/>
          </w:tcPr>
          <w:p>
            <w:pPr>
              <w:spacing w:after="0"/>
              <w:rPr>
                <w:sz w:val="21"/>
                <w:szCs w:val="21"/>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16,192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16,192</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87,675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87,675</w:t>
            </w:r>
          </w:p>
        </w:tc>
      </w:tr>
      <w:tr>
        <w:trPr>
          <w:trHeight w:val="27"/>
        </w:trPr>
        <w:tc>
          <w:tcPr>
            <w:tcW w:w="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6" w:lineRule="exact"/>
        <w:rPr>
          <w:sz w:val="20"/>
          <w:szCs w:val="20"/>
          <w:color w:val="auto"/>
        </w:rPr>
      </w:pPr>
    </w:p>
    <w:p>
      <w:pPr>
        <w:ind w:left="520" w:hanging="188"/>
        <w:spacing w:after="0"/>
        <w:tabs>
          <w:tab w:leader="none" w:pos="520" w:val="left"/>
        </w:tabs>
        <w:numPr>
          <w:ilvl w:val="0"/>
          <w:numId w:val="37"/>
        </w:numPr>
        <w:rPr>
          <w:rFonts w:ascii="Arial" w:cs="Arial" w:eastAsia="Arial" w:hAnsi="Arial"/>
          <w:sz w:val="23"/>
          <w:szCs w:val="23"/>
          <w:color w:val="auto"/>
          <w:vertAlign w:val="superscript"/>
        </w:rPr>
      </w:pPr>
      <w:r>
        <w:rPr>
          <w:rFonts w:ascii="Arial" w:cs="Arial" w:eastAsia="Arial" w:hAnsi="Arial"/>
          <w:sz w:val="17"/>
          <w:szCs w:val="17"/>
          <w:color w:val="auto"/>
        </w:rPr>
        <w:t>Gross unrealized gain (loss) is pre-tax.</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611" w:right="259" w:bottom="1440" w:gutter="0" w:footer="0" w:header="0"/>
        </w:sectPr>
      </w:pPr>
    </w:p>
    <w:bookmarkStart w:id="78" w:name="page79"/>
    <w:bookmarkEnd w:id="78"/>
    <w:p>
      <w:pPr>
        <w:ind w:right="40"/>
        <w:spacing w:after="0" w:line="277" w:lineRule="auto"/>
        <w:rPr>
          <w:sz w:val="20"/>
          <w:szCs w:val="20"/>
          <w:color w:val="auto"/>
        </w:rPr>
      </w:pPr>
      <w:r>
        <w:rPr>
          <w:rFonts w:ascii="Arial" w:cs="Arial" w:eastAsia="Arial" w:hAnsi="Arial"/>
          <w:sz w:val="18"/>
          <w:szCs w:val="18"/>
          <w:color w:val="auto"/>
        </w:rPr>
        <w:t>The contractual term to maturity of short-term marketable securities held by the Company as of December 31, 2019 is less than one year. There were no long-term marketable securities held by the Company as of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realized gains or losses for the year ended December 31, 2019 or 2018.</w:t>
      </w:r>
    </w:p>
    <w:p>
      <w:pPr>
        <w:spacing w:after="0" w:line="200" w:lineRule="exact"/>
        <w:rPr>
          <w:sz w:val="20"/>
          <w:szCs w:val="20"/>
          <w:color w:val="auto"/>
        </w:rPr>
      </w:pP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Equity method investment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2018, the Company entered into an agreement (the “Genevant Agreement”) with Roivant Sciences Ltd. (“Roivant”), its largest shareholder, to launch Genevant, a company focused on the discovery, development and commercialization of a broad range of RNA-based therapeutics enabled by the Company’s lipid nanoparticle (“LNP”) and ligand conjugate delivery technologies. Genevant plans to develop products in-house and pursue industry partnerships to build a diverse pipeline of therapeutics across multiple modalities, including RNAi, mRNA and gene editing.</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terms of the Genevant Agreement, the Company contributed fixed assets with a carrying value of $0.6 million and a license for the delivery technologies. The contributed license provides Genevant with exclusive rights to the LNP and ligand conjugate delivery platforms for RNA-based applications outside of HBV and any other pre-existing licensing obligations of Arbutus. The Company retains all rights to the LNP and ligand conjugate delivery platforms for HBV, and is entitled to a tiered low single-digit royalty from Genevant on future sales of products enabled by those delivery platforms. The Company also retained the entirety of its royalty entitlement on the commercialization of Alnylam Pharmaceuticals, Inc.’s (“Alnylam”) ONPATTRO™ (Patisiran) (“ONPATTRO”). Roivant contributed $37.5 million in transaction-related seed capital to Genevant, consisting of an initial capital contribution in April 2018 of $22.5 million and a subsequent investment in June 2018 of $15.0 million at a pre-determined, stepped-up valuation, as contemplated in the initial agreement. As a result of this subsequent investment in Genevant by Roivant and other parties, the Company’s initial ownership interest in Genevant was reduced from 50% to approximately 40%. As of December 31, 2019, the Company’s ownership interest in Genevant remained approximately 40%.</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contribution of licenses related to the delivery technologies and fixed assets in exchange for an equity interest in Genevant resulted in a gain for the Company of $24.9 million during the second quarter of 2018. The gain reflected the fair value of the equity in Genevant received by the Company, less the $0.6 million carrying value of the fixed assets contributed by the Company and less $1.9 million of goodwill allocated to Genevant based upon the relative fair value of Genevant to the Company as of the transaction date. The fair value of equity in Genevant received by the Company was based on a valuation performed by external valuation specialists. The basis difference between the Company’s carrying value in Genevant and the Company’s share of Genevant’s net assets is attributed primarily to indefinite-lived IPR&amp;D (the delivery technology transferred to Genevant).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significant influence over Genevant due to its ownership interest and accounts for its investment in Genevant using the equity method. The Company’s proportionate share of Genevant’s financial results are recorded on a one-quarter lag basis.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non-cash equity losses of $22.5 million for the year ended December 31, 2019 and non-cash equity gains of $19.6 million for the year ended December 31, 2018. Equity losses for 2019 included $14.9 million of losses for the Company’s proportionate share of Genevant’s net losses and a $7.6 million impairment charge to reduce the carrying value of the Company’s investment in Genevant to zero. The impairment was due to uncertainty surrounding the recovery of the Company’s remaining carrying value in Genevant. Equity gains for 2018 included the $24.9 million gain on the Company’s contribution of delivery technology licenses upon formation of Genevant, partially offset by $5.6 million of losses for the Company’s proportionate share of Genevant’s net loss for the partial year.</w:t>
      </w:r>
    </w:p>
    <w:p>
      <w:pPr>
        <w:spacing w:after="0" w:line="200" w:lineRule="exact"/>
        <w:rPr>
          <w:sz w:val="20"/>
          <w:szCs w:val="20"/>
          <w:color w:val="auto"/>
        </w:rPr>
      </w:pPr>
    </w:p>
    <w:p>
      <w:pPr>
        <w:spacing w:after="0" w:line="205"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two operating leases for office and laboratory space. The Company’s corporate headquarters is located at 701 Veterans Circle, Warminster, Pennsylvania. The lease expires on April 30, 2027, and the Company has the option of extending the lease for two further five-year terms. The Company also leases office space located at 626 Jacksonville Rd, Warminster,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935" w:right="239" w:bottom="1440" w:gutter="0" w:footer="0" w:header="0"/>
        </w:sectPr>
      </w:pPr>
    </w:p>
    <w:bookmarkStart w:id="79" w:name="page80"/>
    <w:bookmarkEnd w:id="79"/>
    <w:p>
      <w:pPr>
        <w:jc w:val="both"/>
        <w:spacing w:after="0" w:line="297" w:lineRule="auto"/>
        <w:rPr>
          <w:sz w:val="20"/>
          <w:szCs w:val="20"/>
          <w:color w:val="auto"/>
        </w:rPr>
      </w:pPr>
      <w:r>
        <w:rPr>
          <w:rFonts w:ascii="Arial" w:cs="Arial" w:eastAsia="Arial" w:hAnsi="Arial"/>
          <w:sz w:val="16"/>
          <w:szCs w:val="16"/>
          <w:color w:val="auto"/>
        </w:rPr>
        <w:t>Pennsylvania under a lease that expires on December 31, 2021, and the Company has an option to extend the lease term to April 30, 2027. In connection with the Company’s site consolidation in 2018, the Company ceased using its office and laboratory space located in Burnaby, British Columbia, Canada on June 30, 2018. The Company subleased a portion of the Burnaby facility to various tenants, including Genevant, until the lease expired on July 31, 2019. The Company recognized the remaining lease payments for the Burnaby facility, less sublease income under contract, in site consolidation expenses in 2018. The Company’s lease agreements do not contain any material residual value guarantees or material restrictive covenants.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on January 1, 2019 using the modified retrospective basis applied at the effective date of the new standard and elected to utilize a package of practical expedients. Leases with an initial term of 12 months or less are not recorded on the balance sheet. The Company determines if an arrangement is a lease at inception. Right-of-use assets represent the Company’s right to use an underlying asset for the lease term and lease liabilities represent the Company’s obligation to make lease payments arising from the lease. Operating lease right-of-use assets and lease liabilities are recognized based on the present value of lease payments over the lease term. The leases do not provide an implicit rate so, in determining the present value of lease payments, the Company utilized its incremental borrowing rate for the applicable lease, which was 9.0% for the 701 Veterans Circle lease, 7.6% for the 626 Jacksonville Rd. lease and 5.0% for the Burnaby lease. The Company recognizes lease expense on a straight-line basis over the remaining lease term.</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2019, the Company incurred total operating lease expenses of $1.2 million, which included lease expenses associated with fixed lease payments of $0.9 million, and variable payments associated with common area maintenance and similar expenses of $0.3 million. For the twelve months ended December 31, 2018, the straight-line fixed expense for leases was $1.4 million. Sublease income for the twelve months ended December 31, 2019 was $0.2 million, versus $0.2 million for the twelve months 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lease term and discount rate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b w:val="1"/>
                <w:bCs w:val="1"/>
                <w:color w:val="auto"/>
              </w:rPr>
              <w:t>As of December 31, 2019</w:t>
            </w:r>
          </w:p>
        </w:tc>
        <w:tc>
          <w:tcPr>
            <w:tcW w:w="460" w:type="dxa"/>
            <w:vAlign w:val="bottom"/>
            <w:tcBorders>
              <w:bottom w:val="single" w:sz="8" w:color="auto"/>
            </w:tcBorders>
          </w:tcPr>
          <w:p>
            <w:pPr>
              <w:spacing w:after="0"/>
              <w:rPr>
                <w:sz w:val="16"/>
                <w:szCs w:val="16"/>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rPr>
              <w:t>7.0</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60" w:type="dxa"/>
            <w:vAlign w:val="bottom"/>
          </w:tcPr>
          <w:p>
            <w:pPr>
              <w:jc w:val="right"/>
              <w:ind w:right="634"/>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21"/>
                <w:szCs w:val="21"/>
                <w:color w:val="auto"/>
              </w:rPr>
            </w:pPr>
          </w:p>
        </w:tc>
      </w:tr>
      <w:tr>
        <w:trPr>
          <w:trHeight w:val="405"/>
        </w:trPr>
        <w:tc>
          <w:tcPr>
            <w:tcW w:w="7760" w:type="dxa"/>
            <w:vAlign w:val="bottom"/>
          </w:tcPr>
          <w:p>
            <w:pPr>
              <w:spacing w:after="0"/>
              <w:rPr>
                <w:sz w:val="20"/>
                <w:szCs w:val="20"/>
                <w:color w:val="auto"/>
              </w:rPr>
            </w:pPr>
            <w:r>
              <w:rPr>
                <w:rFonts w:ascii="Arial" w:cs="Arial" w:eastAsia="Arial" w:hAnsi="Arial"/>
                <w:sz w:val="18"/>
                <w:szCs w:val="18"/>
                <w:color w:val="auto"/>
                <w:w w:val="90"/>
              </w:rPr>
              <w:t>The Company did not include options to extend its lease terms as part of its ROU asset and lease liabilities.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86"/>
        </w:trPr>
        <w:tc>
          <w:tcPr>
            <w:tcW w:w="7760" w:type="dxa"/>
            <w:vAlign w:val="bottom"/>
          </w:tcPr>
          <w:p>
            <w:pPr>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9"/>
        </w:trPr>
        <w:tc>
          <w:tcPr>
            <w:tcW w:w="7760" w:type="dxa"/>
            <w:vAlign w:val="bottom"/>
          </w:tcPr>
          <w:p>
            <w:pPr>
              <w:spacing w:after="0"/>
              <w:rPr>
                <w:sz w:val="24"/>
                <w:szCs w:val="2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4"/>
                <w:szCs w:val="24"/>
                <w:color w:val="auto"/>
              </w:rPr>
            </w:pPr>
          </w:p>
        </w:tc>
      </w:tr>
      <w:tr>
        <w:trPr>
          <w:trHeight w:val="250"/>
        </w:trPr>
        <w:tc>
          <w:tcPr>
            <w:tcW w:w="7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2"/>
          </w:tcPr>
          <w:p>
            <w:pPr>
              <w:jc w:val="right"/>
              <w:ind w:right="834"/>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r>
      <w:tr>
        <w:trPr>
          <w:trHeight w:val="25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1,116</w:t>
            </w:r>
          </w:p>
        </w:tc>
        <w:tc>
          <w:tcPr>
            <w:tcW w:w="1460" w:type="dxa"/>
            <w:vAlign w:val="bottom"/>
            <w:tcBorders>
              <w:bottom w:val="single" w:sz="8" w:color="CCEEFF"/>
            </w:tcBorders>
            <w:shd w:val="clear" w:color="auto" w:fill="CCEEFF"/>
          </w:tcPr>
          <w:p>
            <w:pPr>
              <w:jc w:val="right"/>
              <w:ind w:right="117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702"/>
        </w:trPr>
        <w:tc>
          <w:tcPr>
            <w:tcW w:w="7760" w:type="dxa"/>
            <w:vAlign w:val="bottom"/>
          </w:tcPr>
          <w:p>
            <w:pPr>
              <w:ind w:left="5620"/>
              <w:spacing w:after="0"/>
              <w:rPr>
                <w:sz w:val="20"/>
                <w:szCs w:val="20"/>
                <w:color w:val="auto"/>
              </w:rPr>
            </w:pPr>
            <w:r>
              <w:rPr>
                <w:rFonts w:ascii="Arial" w:cs="Arial" w:eastAsia="Arial" w:hAnsi="Arial"/>
                <w:sz w:val="18"/>
                <w:szCs w:val="18"/>
                <w:color w:val="auto"/>
              </w:rPr>
              <w:t>79</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61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Future minimum lease payments under operating leases that have remaining terms as of December 31,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1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5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12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5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12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5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5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Less: interest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Present value of lease payments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702"/>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7.  Property and equipment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40" w:type="dxa"/>
            <w:vAlign w:val="bottom"/>
            <w:gridSpan w:val="7"/>
          </w:tcPr>
          <w:p>
            <w:pPr>
              <w:spacing w:after="0"/>
              <w:rPr>
                <w:sz w:val="20"/>
                <w:szCs w:val="20"/>
                <w:color w:val="auto"/>
              </w:rPr>
            </w:pPr>
            <w:r>
              <w:rPr>
                <w:rFonts w:ascii="Arial" w:cs="Arial" w:eastAsia="Arial" w:hAnsi="Arial"/>
                <w:sz w:val="18"/>
                <w:szCs w:val="18"/>
                <w:color w:val="auto"/>
                <w:w w:val="90"/>
              </w:rPr>
              <w:t>The Company’s property and equipment balances as of the years ended December 31, 2019 and 2018 are as follows: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4"/>
                <w:szCs w:val="24"/>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12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Net book value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 equipment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14,318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(5,642)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531"/>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4"/>
                <w:szCs w:val="24"/>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12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Net book value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 equipment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17,041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2019, the Company closed its Burnaby facility and the lease expired according to its terms on July 31, 2019. In connection with the facility closure, the Company disposed of $3.4 million of equipment, furniture and leasehold improvements. Most of the disposed assets were fully depreciated. The aggregate net book value of the disposed assets was less than $0.1 million.</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Intangible assets and goodwill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IPR&amp;D intangible asset balance related to the Company’s cccDNA program. During 2019, the Company recorded a $43.8 million non-cash impairment expense to reduce the carrying value of its IPR&amp;D intangible assets to zero. The Company also recognized a corresponding income tax benefit of $12.7 million related to the decrease in its deferred tax liability related to the IPR&amp;D intangible assets. The impairment was due to a decision to delay indefinitely the further development of the Company’s cccDNA program while the Company focuses on its other development programs.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11" w:right="239" w:bottom="1440" w:gutter="0" w:footer="0" w:header="0"/>
        </w:sectPr>
      </w:pPr>
    </w:p>
    <w:bookmarkStart w:id="81" w:name="page82"/>
    <w:bookmarkEnd w:id="81"/>
    <w:p>
      <w:pPr>
        <w:jc w:val="both"/>
        <w:spacing w:after="0" w:line="277" w:lineRule="auto"/>
        <w:rPr>
          <w:sz w:val="20"/>
          <w:szCs w:val="20"/>
          <w:color w:val="auto"/>
        </w:rPr>
      </w:pPr>
      <w:r>
        <w:rPr>
          <w:rFonts w:ascii="Arial" w:cs="Arial" w:eastAsia="Arial" w:hAnsi="Arial"/>
          <w:sz w:val="18"/>
          <w:szCs w:val="18"/>
          <w:color w:val="auto"/>
        </w:rPr>
        <w:t>In 2018, the Company recorded a $14.8 million intangible assets impairment charge, and a corresponding income tax benefit of $4.3 million related to the decrease in deferred tax liability, for the indefinite delay of further development of its AB-423 program.</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goodwill balance represented the excess of purchase price over the value assigned to the net tangible and identifiable intangible assets in connection with the business combination that formed Arbutus. During 2019, the Company assessed its changes in circumstances to determine if it was more likely than not that the fair value of its single reporting unit was below its carrying amount. Due to a sustained decrease in the Company’s share price in recent months, the Company’s market capitalization was reduced below the book value of its net assets and the Company concluded that the fair value of its single reporting unit was below its carrying amount in excess of the carrying value of goodwill. As a result, the Company recorded a $22.5 million non-cash impairment expense to reduce the carrying value of its goodwill asset to zero.</w:t>
      </w:r>
    </w:p>
    <w:p>
      <w:pPr>
        <w:spacing w:after="0" w:line="3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are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9"/>
              </w:rPr>
              <w:t>December 31, 2019</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4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3"/>
          </w:tcPr>
          <w:p>
            <w:pPr>
              <w:jc w:val="right"/>
              <w:ind w:right="1453"/>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Payroll accruals</w:t>
            </w:r>
          </w:p>
        </w:tc>
        <w:tc>
          <w:tcPr>
            <w:tcW w:w="26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2,314</w:t>
            </w:r>
          </w:p>
        </w:tc>
        <w:tc>
          <w:tcPr>
            <w:tcW w:w="34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2,341</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accruals</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1,433</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Professional fee accruals</w:t>
            </w:r>
          </w:p>
        </w:tc>
        <w:tc>
          <w:tcPr>
            <w:tcW w:w="26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809</w:t>
            </w:r>
          </w:p>
        </w:tc>
        <w:tc>
          <w:tcPr>
            <w:tcW w:w="34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871</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3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7,098</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9,429</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Site consolidation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2018, the Company substantially completed a site consolidation and organizational restructuring to align its HBV business in Warminster, PA, including a reduction of its global workforce and closure of its Burnaby facility. The Company estimates that the total expenses to complete the site consolidation will be approximately $5.0 million, of which $4.9 million has been incurred as of December 31, 2019. Included in the site consolidation plan was the payment of one-time employee termination benefits, employee relocation costs, and site closure costs. The Company ceased the use of its Burnaby facility as of June 2018 and the Company entered into subleases with various tenants, including Genevant, for a portion of the Burnaby facility. The Company recorded the remaining committed cost, less sublease income under contract, in site consolidation expenses in 2018. The lease of the Burnaby facility expired on July 31, 2019.</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accounts for site consolidation expense in accordance with ASC 420, </w:t>
      </w:r>
      <w:r>
        <w:rPr>
          <w:rFonts w:ascii="Arial" w:cs="Arial" w:eastAsia="Arial" w:hAnsi="Arial"/>
          <w:sz w:val="18"/>
          <w:szCs w:val="18"/>
          <w:i w:val="1"/>
          <w:iCs w:val="1"/>
          <w:color w:val="auto"/>
        </w:rPr>
        <w:t>Exit or Disposal Cost Obligations (“ASC 420”)</w:t>
      </w:r>
      <w:r>
        <w:rPr>
          <w:rFonts w:ascii="Arial" w:cs="Arial" w:eastAsia="Arial" w:hAnsi="Arial"/>
          <w:sz w:val="18"/>
          <w:szCs w:val="18"/>
          <w:color w:val="auto"/>
        </w:rPr>
        <w:t>. ASC 420 specifies that a liability for a cost associated with an exit or disposal activity be recognized when the liability is incurred, except for a liability where employees are required to render service until they are terminated in order to receive termination benefits and will be retained to render service beyond the minimum retention period. A liability for such one-time termination benefits shall be measured initially at the communication date based on the fair value of the liability as of the termination date and recognized ratably over the future service period.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1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following table shows the changes to the site consolidation accrual for the twelve months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Twelve Months Ended December 31,</w:t>
            </w:r>
          </w:p>
        </w:tc>
      </w:tr>
      <w:tr>
        <w:trPr>
          <w:trHeight w:val="192"/>
        </w:trPr>
        <w:tc>
          <w:tcPr>
            <w:tcW w:w="84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center"/>
              <w:ind w:right="494"/>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8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380" w:type="dxa"/>
            <w:vAlign w:val="bottom"/>
          </w:tcPr>
          <w:p>
            <w:pPr>
              <w:jc w:val="center"/>
              <w:ind w:right="494"/>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December 31, 2018</w:t>
            </w: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1,331</w:t>
            </w:r>
          </w:p>
        </w:tc>
      </w:tr>
      <w:tr>
        <w:trPr>
          <w:trHeight w:val="324"/>
        </w:trPr>
        <w:tc>
          <w:tcPr>
            <w:tcW w:w="8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and relocation expense</w:t>
            </w:r>
          </w:p>
        </w:tc>
        <w:tc>
          <w:tcPr>
            <w:tcW w:w="5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Lease and facility expense</w:t>
            </w:r>
          </w:p>
        </w:tc>
        <w:tc>
          <w:tcPr>
            <w:tcW w:w="5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
        </w:trPr>
        <w:tc>
          <w:tcPr>
            <w:tcW w:w="8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site consolidation expense</w:t>
            </w: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w:t>
            </w:r>
          </w:p>
        </w:tc>
      </w:tr>
      <w:tr>
        <w:trPr>
          <w:trHeight w:val="324"/>
        </w:trPr>
        <w:tc>
          <w:tcPr>
            <w:tcW w:w="8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paid and adjustments</w:t>
            </w:r>
          </w:p>
        </w:tc>
        <w:tc>
          <w:tcPr>
            <w:tcW w:w="58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Accrual Balance December 31, 2019</w:t>
            </w:r>
          </w:p>
        </w:tc>
        <w:tc>
          <w:tcPr>
            <w:tcW w:w="5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137</w:t>
            </w:r>
          </w:p>
        </w:tc>
      </w:tr>
    </w:tbl>
    <w:p>
      <w:pPr>
        <w:spacing w:after="0" w:line="200" w:lineRule="exact"/>
        <w:rPr>
          <w:sz w:val="20"/>
          <w:szCs w:val="20"/>
          <w:color w:val="auto"/>
        </w:rPr>
      </w:pPr>
    </w:p>
    <w:p>
      <w:pPr>
        <w:spacing w:after="0" w:line="241"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Loan payable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the Company had a bank loan of $12.0 million in the form of a promissory note for the purpose of financing its operations and expanding its laboratory facilities in the United States. The loan accrued interest daily at a rate of one-month London Interbank Offered Rate (LIBOR) plus 1.25% per annum. The maturity date of the loan was December 27, 2019. The loan was secured by the Company’s cash of $12.6 million and was restricted from use until the loan was settled in full. The Company invested the restricted cash in a two-year fixed certificate of deposit with a bank and was presented as restricted investment in the Company’s balance sheet for the period ended December 31, 2017. In March 2018, the Company repaid the loan and accrued interest in full, resulting in the release of $12.6 million from restricted cash to investments in marketable securities on the Company’s condensed consolidated balance sheet.</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Sale of future royalties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 an RNA interference therapeutic currently being sold by Alnylam.</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ONPATTRO utilizes Arbutus’s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Management estimated an effective annual interest rate of approximately 22%.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non-cash royalty revenue related to the sales of ONPATTRO during the term of the Agreement. As royalties are remitted to OMERS from Alnylam, the balance of the recognized liability is effectively repaid over the life of the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611" w:right="239" w:bottom="1440" w:gutter="0" w:footer="0" w:header="0"/>
        </w:sectPr>
      </w:pPr>
    </w:p>
    <w:bookmarkStart w:id="83" w:name="page84"/>
    <w:bookmarkEnd w:id="83"/>
    <w:p>
      <w:pPr>
        <w:jc w:val="both"/>
        <w:ind w:right="20"/>
        <w:spacing w:after="0" w:line="277" w:lineRule="auto"/>
        <w:rPr>
          <w:sz w:val="20"/>
          <w:szCs w:val="20"/>
          <w:color w:val="auto"/>
        </w:rPr>
      </w:pPr>
      <w:r>
        <w:rPr>
          <w:rFonts w:ascii="Arial" w:cs="Arial" w:eastAsia="Arial" w:hAnsi="Arial"/>
          <w:sz w:val="18"/>
          <w:szCs w:val="18"/>
          <w:color w:val="auto"/>
        </w:rPr>
        <w:t>Agreement. There are a number of factors that could materially affect the amount and timing of royalty payments from Alnylam, none of which are within the Company’s control.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the Company recognized non-cash royalty revenue of $1.7 million and $2.1 million of related non-cash 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activity related to the net liability from inception of the Agreement through December 31, 2019:</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Twelve Months Ended December 31,</w:t>
            </w:r>
          </w:p>
        </w:tc>
      </w:tr>
      <w:tr>
        <w:trPr>
          <w:trHeight w:val="192"/>
        </w:trPr>
        <w:tc>
          <w:tcPr>
            <w:tcW w:w="8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Initial recognition of liability</w:t>
            </w:r>
          </w:p>
        </w:tc>
        <w:tc>
          <w:tcPr>
            <w:tcW w:w="120" w:type="dxa"/>
            <w:vAlign w:val="bottom"/>
          </w:tcPr>
          <w:p>
            <w:pPr>
              <w:spacing w:after="0"/>
              <w:rPr>
                <w:sz w:val="21"/>
                <w:szCs w:val="21"/>
                <w:color w:val="auto"/>
              </w:rPr>
            </w:pPr>
          </w:p>
        </w:tc>
        <w:tc>
          <w:tcPr>
            <w:tcW w:w="2380" w:type="dxa"/>
            <w:vAlign w:val="bottom"/>
          </w:tcPr>
          <w:p>
            <w:pPr>
              <w:jc w:val="right"/>
              <w:ind w:right="15"/>
              <w:spacing w:after="0"/>
              <w:rPr>
                <w:sz w:val="20"/>
                <w:szCs w:val="20"/>
                <w:color w:val="auto"/>
              </w:rPr>
            </w:pPr>
            <w:r>
              <w:rPr>
                <w:rFonts w:ascii="Arial" w:cs="Arial" w:eastAsia="Arial" w:hAnsi="Arial"/>
                <w:sz w:val="18"/>
                <w:szCs w:val="18"/>
                <w:color w:val="auto"/>
              </w:rPr>
              <w:t>30,000</w:t>
            </w:r>
          </w:p>
        </w:tc>
      </w:tr>
      <w:tr>
        <w:trPr>
          <w:trHeight w:val="27"/>
        </w:trPr>
        <w:tc>
          <w:tcPr>
            <w:tcW w:w="8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discount and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(11,451)</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Non-cash interest expense</w:t>
            </w:r>
          </w:p>
        </w:tc>
        <w:tc>
          <w:tcPr>
            <w:tcW w:w="120" w:type="dxa"/>
            <w:vAlign w:val="bottom"/>
          </w:tcPr>
          <w:p>
            <w:pPr>
              <w:spacing w:after="0"/>
              <w:rPr>
                <w:sz w:val="21"/>
                <w:szCs w:val="21"/>
                <w:color w:val="auto"/>
              </w:rPr>
            </w:pPr>
          </w:p>
        </w:tc>
        <w:tc>
          <w:tcPr>
            <w:tcW w:w="2380" w:type="dxa"/>
            <w:vAlign w:val="bottom"/>
          </w:tcPr>
          <w:p>
            <w:pPr>
              <w:jc w:val="right"/>
              <w:ind w:right="15"/>
              <w:spacing w:after="0"/>
              <w:rPr>
                <w:sz w:val="20"/>
                <w:szCs w:val="20"/>
                <w:color w:val="auto"/>
              </w:rPr>
            </w:pPr>
            <w:r>
              <w:rPr>
                <w:rFonts w:ascii="Arial" w:cs="Arial" w:eastAsia="Arial" w:hAnsi="Arial"/>
                <w:sz w:val="18"/>
                <w:szCs w:val="18"/>
                <w:color w:val="auto"/>
              </w:rPr>
              <w:t>2,099</w:t>
            </w:r>
          </w:p>
        </w:tc>
      </w:tr>
      <w:tr>
        <w:trPr>
          <w:trHeight w:val="27"/>
        </w:trPr>
        <w:tc>
          <w:tcPr>
            <w:tcW w:w="8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8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debt discount and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Non-cash royalty revenue</w:t>
            </w:r>
          </w:p>
        </w:tc>
        <w:tc>
          <w:tcPr>
            <w:tcW w:w="12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7"/>
        </w:trPr>
        <w:tc>
          <w:tcPr>
            <w:tcW w:w="8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18,992</w:t>
            </w:r>
          </w:p>
        </w:tc>
      </w:tr>
      <w:tr>
        <w:trPr>
          <w:trHeight w:val="27"/>
        </w:trPr>
        <w:tc>
          <w:tcPr>
            <w:tcW w:w="8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royalty from the Alnylam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Contingencies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partnership with the Canadian Government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entered into a Technology Partnerships Canada (“TPC”) agreement with the Canadian Federal Government on November 12, 1999. Under this agreement, TPC agreed to fund 27% of the costs incurred by the Company, prior to March 31, 2004, in the development of certain oligonucleotide product candidates up to a maximum contribution from TPC of $7.2 million (C$9.3 million). The Company received a cumulative contribution of $2.7 million (C$3.7 million). In return for the funding provided by TPC, the Company agreed to pay royalties on the share of future licensing and product revenue, if any, that is received by the Company on certain non-RNAi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the Company agreed to pay 2.5% royalties on any royalties the Company receives for Marqibo. For the years ended December 31, 2019 and 2018, the Company earned royalties on Marqibo sales in the amounts of $0.3 million and $0.2 million, respectively. The resulting royalties payable by the Company to TPC were not material in either period. The cumulative amount paid or accrued up to December 31, 2019 was less than $0.1 million, resulting in the contingent amount due to TPC being $2.7 million (C$3.7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61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the University of British Columbia (“UBC”), as well as by us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 In November 2014, UBC filed a demand for arbitration against the Company and in January 2015, filed a Statement of Claim, which alleged entitlement to $3.5 million in allegedly unpaid royalties based on publicly available information, and an unspecified amount based on non-public information. UBC also sought interest and costs, including legal fees. The Company filed its Statement of Defense to UBC’s Statement of Claims, as well as a Counterclaim involving a patent application that the Company alleged UBC wrongly licensed to a third party. The proceedings were divided into three phases, with the first hearing taking place in June 2017. In the first phase, the arbitrator determined which agreements are sublicense agreements within UBC’s claim. Also in the first phase, UBC updated its alleged entitlement from $3.5 million originally claimed to seek $10.9 million in alleged unpaid royalties, plus interest arising from payments as early as 2008. The arbitrator also held in the first phase of the arbitration that the patent application that is the subject of the Counterclaim was not required to be licensed to Arbutus. The second phase of arbitration took place in the second quarter of 2019. In August 2019, the arbitrator issued his decision for the second phase of the arbitration, awarding UBC $5.9 million, which includes interest of approximately$2.6 million. The Company paid the $5.9 million award to UBC in September 2019. The arbitrator also held that the third phase of the arbitration, which would address patent validity, should the Company choose to pursue a third phase, would not provide a defense to the award. An award for costs and attorneys’ fees is still to be determined.</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 charge of $6.3 million in 2019 consisting $5.9 million for the award (including interest) and $0.4 million for an estimate of a potential award for costs and attorneys’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between Enantigen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October 2014, Arbutus Inc. acquired all of the outstanding shares of Enantigen Therapeutics, Inc. (“Enantigen”) pursuant to a stock purchase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Through this transaction, Arbutus Inc. acquired a HBV surface antigen secretion inhibitor program and a capsid assembly inhibitor program.</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stock purchase agreement, Arbutus Inc. agreed to pay up to a total of $21.0 million to Enantigen’s selling stockholders upon the achievement of specified development and regulatory milestones for (a) the first two products that contain either a capsid compound or an HBV surface antigen compound that is covered by a patent acquired under this agreement, or (b) a capsid compound from an agreed-upon list of compounds. The development milestones are tied to programs which are no longer under development by us, and therefore the contingency related to these milestones has been reduced to zero.</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additional $102.5 million may also be paid to Enantigen’s selling stockholders related to the achievement of certain sales performance milestones in connection with the sale of the first commercialized product by Arbutus Inc.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Inc.’s milestone payment obligations.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contingent consideration is a financial liability and is measured at its fair value at each reporting period, with any changes in fair value from the previous reporting period recorded in the statement of operations and comprehensive loss (note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was $3.0 million as of December 31, 2019.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611" w:right="239" w:bottom="1440" w:gutter="0" w:footer="0" w:header="0"/>
        </w:sectPr>
      </w:pPr>
    </w:p>
    <w:bookmarkStart w:id="85" w:name="page86"/>
    <w:bookmarkEnd w:id="85"/>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Collaborations, contracts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2012, the Company entered into a license agreement with Alnylam that entitles Alnylam to develop and commercialize products with the Company’s LNP technology. During the third quarter of 2018, Alnylam’s ONPATTRO, which utilizes the Company’s LNP technology, was approved by the U.S. Food and Drug Administration (“FDA”) and the European Medicines Agency. The Company is entitled to tiered low to mid single-digit royalty payments on global net sales of ONPATTRO and received its first royalty payment in the fourth quarter of 2018. In July 2019, the Company sold a portion of its royalty entitlement for Alnylam’s ONPATTRO to OMERS. See note 12 for further details.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$1.7 million of non-cash revenue and $0.2 million of cash revenue based on global net sales of Alnylam’s ONPATTRO for the year ended December 31,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Acuitas Therapeutics, Inc.</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rights to a second royalty interest on global net sales of ONPATTRO originating from a settlement agreement and subsequent license agreement with Acuitas. This royalty entitlement from Acuitas has been retained by us and was not part of the royalty entitlement sale to OMERS.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$1.9 million and $1.0 million of revenue from Acuitas based on global net sales of Alnylam’s ONPATTRO for the years ended December 31,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Gritstone Oncology, Inc.</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16, 2017, the Company entered into a license agreement with Gritstone Oncology, Inc. (“Gritstone”) that entitles Gritstone to research, develop, manufacture and commercialize products with the Company’s LNP technology. The Company received an upfront payment in November 2017, and is eligible to receive future potential payments including development and commercial milestone payments, royalty payments on future product sales and payments for research services provided. As a result of the Company’s agreement with Genevant (see note 5 for details), from April 11, 2018 going forward, Genevant is entitled to 50% of the revenues earned by the Company from Gritstone. The Company is the agent in this arrangement and records revenue on a net basis. In 2018, Gritstone paid a development milestone payment of $2.5 million pursuant to the license agreement and the Company recorded related revenue, net of the portion paid to Genevant, of $1.3 million.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Milestone payments that are not within the control of the Company or the licensee, such as those that require regulatory approvals, are not considered probable of being achieved until those approvals are received.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$1.8 million and $4.3 million of revenue from Gritstone for the years ended December 31, 2019 and 2018,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Acrotech Biopharma LLC and Spectrum Pharmaceuticals,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2006, the Company signed a number of agreements with Talon Therapeutics, Inc. (“Talon”, formerly Hana Biosciences, Inc.) including the grant of worldwide licenses (the “Talon License Agreement”) for three of the Company’s chemotherapy products, Marqibo®, Alocrest ™ (Optisomal Vinorelbine) and Brakiva ™ (Optisomal Topotecan).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2012, Talon had received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2012, the Company received a milestone of $1.0 million based on the FDA’s approval of Marqibo and receives royalty payments based on Marqibo’s commercial sales. There are no further milestones related to Marqibo but the Company is eligible to receive total milestone payments of up to $18.0 million on Alocrest and Brakiva. Talon was acquired by Spectrum Pharmaceuticals, Inc. in July 2013, who subsequently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607" w:right="2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sold the license of Marqibo to Acrotech Biopharma LLC in January 2019. The acquisitions and license sale did not affect the terms of the license between Talon and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$0.6 million and $0.2 million of revenue related to sales of Marqibo for the years ended December 31, 2019 and 2018, respectively.</w:t>
      </w:r>
    </w:p>
    <w:p>
      <w:pPr>
        <w:spacing w:after="0" w:line="200" w:lineRule="exact"/>
        <w:rPr>
          <w:sz w:val="20"/>
          <w:szCs w:val="20"/>
          <w:color w:val="auto"/>
        </w:rPr>
      </w:pPr>
    </w:p>
    <w:p>
      <w:pPr>
        <w:spacing w:after="0" w:line="3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Shareholders’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authorized share capital consists of an unlimited number of common shares and 1,164,000 preferred shares without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Company entered into the 2018 Sale Agreement with Jefferies, under which it may issue and sell common shares, from time to time, for an aggregate sales price of up to $50.0 million. For the twelve months ended December 31, 2019, the Company issued 9,138,232 common shares pursuant to the Sale Agreement, resulting in gross proceeds of approximately $19.5 million. There were no shares issued during the twelve months ended December 31, 2018 under the Sale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Company entered into an amendment to the Sale Agreement with Jefferies in connection with filing a new shelf registration statement on Form S-3 (File No. 333-235674), filed with the SEC on December 23, 2019 (the “New Shelf Registration Statement”). The Amendment revised the Sale Agreement to reflect that we may sell our common shares, without par value, from time to time for an aggregate sales price of up to $50.0 million, under the New Shelf Registration Statement. In 2020, through March 2, 2020, we issued 4,127,092 common shares pursuant to the amendment to the Sale Agreement, resulting in net proceeds of approximately $12.3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2, 2017, the Company announced that it entered into a subscription agreement with Roivant for the sale of Preferred Shares to Roivant for gross proceeds of $116.4 million. The Preferred Shares are non-voting and are convertible into common shares at a conversion price of $7.13 per share (which represents a 15% premium to the closing price of $6.20 per share). The purchase price for the Preferred Shares plus an amount equal to 8.75% per annum, compounded annually, will be subject to mandatory conversion into common shares on October 18, 2021 (subject to limited exceptions in the event of certain fundamental corporate transactions relating to Arbutus’ capital structure or assets, which would permit earlier conversion at Roivant’s option). Assuming conversion of the Preferred Shares into common shares, based on the number of common shares outstanding on December 31, 2019 Roivant would hold 42% of the Company’s common shares. Roivant has agreed to a four year lock-up period for this investment and its existing holdings in Arbutus. Roivant has also agreed to a four year standstill whereby Roivant will not acquire greater than 49.99% of the Company’s common shares or securities convertible into common shares.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initial investment of $50.0 million closed on October 16, 2017, and the remaining amount of $66.4 million closed on January 12, 2018 following regulatory and shareholder approvals.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the Preferred Shares wholly as equity under ASC 480,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share capital, and an increase to deficit (see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11" w:right="239" w:bottom="1440" w:gutter="0" w:footer="0" w:header="0"/>
        </w:sectPr>
      </w:pPr>
    </w:p>
    <w:bookmarkStart w:id="87" w:name="page88"/>
    <w:bookmarkEnd w:id="87"/>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outstanding and available for issuance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2019, the Company had stock options outstanding under the following plans: the 2016 Omnibus Share and Incentive Plan (the “2016 Plan”), the 2011 Omnibus Share Compensation Plan (the “2011 Plan”), the 2013 designated plans (the “Designated Plans”), the 2019 inducement grant and the OnCore Option Plan.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aggregate number of shares authorized for awards under all Plans was 12,790,202. As of December 31, 2019, the Company had 8,576,584 options outstanding and a further 2,424,703 awards available for issuance.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shares of common stock to settle options exercised.</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2016 and 2011 Plans, the Company’s board of directors may grant options, and other types of Awards, to employees, directors and consultants of the Company. The exercise price of the options is determined by the Company’s Board of Directors but will be at least equal to the closing market price of the common shares on the date of grant or the prior day and the term may not exceed 10 years. Options granted generally vest over three or four years for employees and for directors’ initial grants, and immediately for directors’ annual grants.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Company granted a total of 200,000 options in 2013 to two executive officers in conjunction with their new appointments as executive officers. These options were granted in accordance with the policies of the Toronto Stock Exchange and pursuant to newly designated share compensation plans (the “Designated Plans”). The Designated Plans are governed by substantially the same terms as the 2011 Plan. No new options can be granted under the Designated Plans. There were 150,000 options outstanding for one of the Company’s former executive officers as of December 31, 2018, all of which expired unexercised in February 2019.</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2019, the Company provided an inducement grant of 1,112,000 options to its newly hired Chief Executive Officer. These options were awarded in a separate plan as non-qualified awards and are governed by the substantially the same terms as the 2016 Plan.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Hereafter, information on options governed by the 2016 Plan, the 2011 Plan, the 2007 Plan, the Designated Plans and inducement grant (the “Arbutus Plans”) is presented on a consolidated basis as the terms of the plans are similar. Information on the OnCore Option Plan is presented separately.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0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Stock options under the Arbutus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Equity-classified stock options under the Arbutus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the Company’s equity-classified stock options for the year ended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Stock Options Outstanding</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Stock Options</w:t>
            </w: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Non-Vested Stock Options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3"/>
                <w:szCs w:val="13"/>
                <w:color w:val="auto"/>
              </w:rPr>
            </w:pPr>
          </w:p>
        </w:tc>
        <w:tc>
          <w:tcPr>
            <w:tcW w:w="132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Grant-Date Fair Value</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6,331,088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2,620,542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3,710,546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3,018,000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3,018,000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Options forfeit, canceled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(1,016,995)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(477,848)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(539,147)</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2,234,955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(2,234,955)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8,249,093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4,294,649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3,954,444</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under the Arbutus plans during 2019 and 2018 are less than $0.1 million and $1.1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additional information related to the Company’s equity-classified stock options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5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As of December 31, 2019</w:t>
            </w:r>
          </w:p>
        </w:tc>
      </w:tr>
      <w:tr>
        <w:trPr>
          <w:trHeight w:val="250"/>
        </w:trPr>
        <w:tc>
          <w:tcPr>
            <w:tcW w:w="8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Options outstanding and expected to vest</w:t>
            </w:r>
          </w:p>
        </w:tc>
        <w:tc>
          <w:tcPr>
            <w:tcW w:w="34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9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95"/>
              </w:rPr>
              <w:t>Number of stock options outstanding</w:t>
            </w:r>
          </w:p>
        </w:tc>
        <w:tc>
          <w:tcPr>
            <w:tcW w:w="58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2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8,249,093</w:t>
            </w: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Weighted-average exercise price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40" w:type="dxa"/>
            <w:vAlign w:val="bottom"/>
          </w:tcPr>
          <w:p>
            <w:pPr>
              <w:spacing w:after="0"/>
              <w:rPr>
                <w:sz w:val="21"/>
                <w:szCs w:val="21"/>
                <w:color w:val="auto"/>
              </w:rPr>
            </w:pPr>
          </w:p>
        </w:tc>
        <w:tc>
          <w:tcPr>
            <w:tcW w:w="8760" w:type="dxa"/>
            <w:vAlign w:val="bottom"/>
            <w:gridSpan w:val="3"/>
          </w:tcPr>
          <w:p>
            <w:pPr>
              <w:ind w:left="140"/>
              <w:spacing w:after="0"/>
              <w:rPr>
                <w:sz w:val="20"/>
                <w:szCs w:val="20"/>
                <w:color w:val="auto"/>
              </w:rPr>
            </w:pPr>
            <w:r>
              <w:rPr>
                <w:rFonts w:ascii="Arial" w:cs="Arial" w:eastAsia="Arial" w:hAnsi="Arial"/>
                <w:sz w:val="18"/>
                <w:szCs w:val="18"/>
                <w:color w:val="auto"/>
              </w:rPr>
              <w:t>Intrinsic value (in $000s)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1,001</w:t>
            </w: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Weighted-average term remaining</w:t>
            </w:r>
          </w:p>
        </w:tc>
        <w:tc>
          <w:tcPr>
            <w:tcW w:w="3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 years</w:t>
            </w:r>
          </w:p>
        </w:tc>
      </w:tr>
      <w:tr>
        <w:trPr>
          <w:trHeight w:val="203"/>
        </w:trPr>
        <w:tc>
          <w:tcPr>
            <w:tcW w:w="88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Vested stock options</w:t>
            </w:r>
          </w:p>
        </w:tc>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5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Number of vested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4,294,649</w:t>
            </w:r>
          </w:p>
        </w:tc>
      </w:tr>
      <w:tr>
        <w:trPr>
          <w:trHeight w:val="243"/>
        </w:trPr>
        <w:tc>
          <w:tcPr>
            <w:tcW w:w="40" w:type="dxa"/>
            <w:vAlign w:val="bottom"/>
          </w:tcPr>
          <w:p>
            <w:pPr>
              <w:spacing w:after="0"/>
              <w:rPr>
                <w:sz w:val="21"/>
                <w:szCs w:val="21"/>
                <w:color w:val="auto"/>
              </w:rPr>
            </w:pPr>
          </w:p>
        </w:tc>
        <w:tc>
          <w:tcPr>
            <w:tcW w:w="8760" w:type="dxa"/>
            <w:vAlign w:val="bottom"/>
            <w:gridSpan w:val="3"/>
          </w:tcPr>
          <w:p>
            <w:pPr>
              <w:ind w:left="140"/>
              <w:spacing w:after="0"/>
              <w:rPr>
                <w:sz w:val="20"/>
                <w:szCs w:val="20"/>
                <w:color w:val="auto"/>
              </w:rPr>
            </w:pPr>
            <w:r>
              <w:rPr>
                <w:rFonts w:ascii="Arial" w:cs="Arial" w:eastAsia="Arial" w:hAnsi="Arial"/>
                <w:sz w:val="18"/>
                <w:szCs w:val="18"/>
                <w:color w:val="auto"/>
              </w:rPr>
              <w:t>Weighted-average exercise price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5.85</w:t>
            </w: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Intrinsic value (in $000s)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r>
      <w:tr>
        <w:trPr>
          <w:trHeight w:val="243"/>
        </w:trPr>
        <w:tc>
          <w:tcPr>
            <w:tcW w:w="40" w:type="dxa"/>
            <w:vAlign w:val="bottom"/>
          </w:tcPr>
          <w:p>
            <w:pPr>
              <w:spacing w:after="0"/>
              <w:rPr>
                <w:sz w:val="21"/>
                <w:szCs w:val="21"/>
                <w:color w:val="auto"/>
              </w:rPr>
            </w:pPr>
          </w:p>
        </w:tc>
        <w:tc>
          <w:tcPr>
            <w:tcW w:w="8760" w:type="dxa"/>
            <w:vAlign w:val="bottom"/>
            <w:gridSpan w:val="3"/>
          </w:tcPr>
          <w:p>
            <w:pPr>
              <w:ind w:left="140"/>
              <w:spacing w:after="0"/>
              <w:rPr>
                <w:sz w:val="20"/>
                <w:szCs w:val="20"/>
                <w:color w:val="auto"/>
              </w:rPr>
            </w:pPr>
            <w:r>
              <w:rPr>
                <w:rFonts w:ascii="Arial" w:cs="Arial" w:eastAsia="Arial" w:hAnsi="Arial"/>
                <w:sz w:val="18"/>
                <w:szCs w:val="18"/>
                <w:color w:val="auto"/>
              </w:rPr>
              <w:t>Weighted-average term remaining</w:t>
            </w:r>
          </w:p>
        </w:tc>
        <w:tc>
          <w:tcPr>
            <w:tcW w:w="340" w:type="dxa"/>
            <w:vAlign w:val="bottom"/>
          </w:tcPr>
          <w:p>
            <w:pPr>
              <w:spacing w:after="0"/>
              <w:rPr>
                <w:sz w:val="21"/>
                <w:szCs w:val="21"/>
                <w:color w:val="auto"/>
              </w:rPr>
            </w:pP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5.0 years</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3, 2015, the Company voluntarily de-listed from the Toronto Stock Exchange. All stock options granted after March 3, 2015 were denominated in US dollars based on the Company’s stock price on the Nasdaq Global Select Market. The methodology and assumptions used to estimate the fair value of stock options at date of grant under the Black-Scholes option-pricing model remain unchanged. Assumptions on the dividend yield are based on the fact that the Company has never paid cash dividends and has no present intention to pay cash dividends.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11"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The assumptions used in the Black-Scholes option-pricing for grants made during the years ended December 31, 2019 and 2018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average option term</w:t>
            </w:r>
          </w:p>
        </w:tc>
        <w:tc>
          <w:tcPr>
            <w:tcW w:w="244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7.3 years</w:t>
            </w:r>
          </w:p>
        </w:tc>
        <w:tc>
          <w:tcPr>
            <w:tcW w:w="2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 years</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3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7"/>
        </w:trPr>
        <w:tc>
          <w:tcPr>
            <w:tcW w:w="66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3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2.81%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Liability-classified stock options under the Arbutus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change in the Company’s functional currency as of January 1, 2016, certain stock option awards with exercise prices denominated in Canadian dollars changed from equity classification to liability classification (see note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the Company’s liability-classified stock options for the year ended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4"/>
          </w:tcPr>
          <w:p>
            <w:pPr>
              <w:jc w:val="right"/>
              <w:ind w:right="1614"/>
              <w:spacing w:after="0"/>
              <w:rPr>
                <w:sz w:val="20"/>
                <w:szCs w:val="20"/>
                <w:color w:val="auto"/>
              </w:rPr>
            </w:pPr>
            <w:r>
              <w:rPr>
                <w:rFonts w:ascii="Arial" w:cs="Arial" w:eastAsia="Arial" w:hAnsi="Arial"/>
                <w:sz w:val="14"/>
                <w:szCs w:val="14"/>
                <w:b w:val="1"/>
                <w:bCs w:val="1"/>
                <w:color w:val="auto"/>
                <w:w w:val="91"/>
              </w:rPr>
              <w:t>Stock Options Vested and Outstanding</w:t>
            </w:r>
          </w:p>
        </w:tc>
      </w:tr>
      <w:tr>
        <w:trPr>
          <w:trHeight w:val="264"/>
        </w:trPr>
        <w:tc>
          <w:tcPr>
            <w:tcW w:w="56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w w:val="98"/>
              </w:rPr>
              <w:t>Number</w:t>
            </w: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7"/>
              </w:rPr>
              <w:t>Weighted-Average Exercise Price</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 canceled or expired</w:t>
            </w:r>
          </w:p>
        </w:tc>
        <w:tc>
          <w:tcPr>
            <w:tcW w:w="1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1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227,500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5.49</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exercises of liability-classified stock options during 2019. The intrinsic value of liability-classified options exercised during 2018 was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additional information related to the Company’s liability-classified stock options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960" w:type="dxa"/>
            <w:vAlign w:val="bottom"/>
            <w:tcBorders>
              <w:bottom w:val="single" w:sz="8" w:color="CCEEFF"/>
            </w:tcBorders>
          </w:tcPr>
          <w:p>
            <w:pPr>
              <w:spacing w:after="0"/>
              <w:rPr>
                <w:sz w:val="16"/>
                <w:szCs w:val="16"/>
                <w:color w:val="auto"/>
              </w:rPr>
            </w:pPr>
          </w:p>
        </w:tc>
        <w:tc>
          <w:tcPr>
            <w:tcW w:w="6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9"/>
              </w:rPr>
              <w:t>As of December 31, 2019</w:t>
            </w:r>
          </w:p>
        </w:tc>
      </w:tr>
      <w:tr>
        <w:trPr>
          <w:trHeight w:val="250"/>
        </w:trPr>
        <w:tc>
          <w:tcPr>
            <w:tcW w:w="91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Options outstanding and expected to vest</w:t>
            </w:r>
          </w:p>
        </w:tc>
        <w:tc>
          <w:tcPr>
            <w:tcW w:w="2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9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Intrinsic value (in $000s)</w:t>
            </w:r>
          </w:p>
        </w:tc>
        <w:tc>
          <w:tcPr>
            <w:tcW w:w="61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CCEEFF"/>
            </w:tcBorders>
          </w:tcPr>
          <w:p>
            <w:pPr>
              <w:jc w:val="right"/>
              <w:ind w:right="16"/>
              <w:spacing w:after="0"/>
              <w:rPr>
                <w:sz w:val="20"/>
                <w:szCs w:val="20"/>
                <w:color w:val="auto"/>
              </w:rPr>
            </w:pPr>
            <w:r>
              <w:rPr>
                <w:rFonts w:ascii="Arial" w:cs="Arial" w:eastAsia="Arial" w:hAnsi="Arial"/>
                <w:sz w:val="18"/>
                <w:szCs w:val="18"/>
                <w:color w:val="auto"/>
              </w:rPr>
              <w:t>96</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9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Weighted-average term remaining</w:t>
            </w:r>
          </w:p>
        </w:tc>
        <w:tc>
          <w:tcPr>
            <w:tcW w:w="24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 years</w:t>
            </w:r>
          </w:p>
        </w:tc>
      </w:tr>
      <w:tr>
        <w:trPr>
          <w:trHeight w:val="27"/>
        </w:trPr>
        <w:tc>
          <w:tcPr>
            <w:tcW w:w="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Liability options are re-measured to their fair values at each reporting date, using the Black-Scholes valuation model. The methodology and assumptions prevailing at the re-measurement date used to estimate the fair values of liability options remain unchanged from the date of grant of equity classified stock option awards.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611" w:right="239" w:bottom="1440" w:gutter="0" w:footer="0" w:header="0"/>
        </w:sectPr>
      </w:pPr>
    </w:p>
    <w:bookmarkStart w:id="90" w:name="page91"/>
    <w:bookmarkEnd w:id="90"/>
    <w:p>
      <w:pPr>
        <w:jc w:val="both"/>
        <w:spacing w:after="0" w:line="277" w:lineRule="auto"/>
        <w:rPr>
          <w:sz w:val="20"/>
          <w:szCs w:val="20"/>
          <w:color w:val="auto"/>
        </w:rPr>
      </w:pPr>
      <w:r>
        <w:rPr>
          <w:rFonts w:ascii="Arial" w:cs="Arial" w:eastAsia="Arial" w:hAnsi="Arial"/>
          <w:sz w:val="18"/>
          <w:szCs w:val="18"/>
          <w:color w:val="auto"/>
        </w:rPr>
        <w:t>The weighted average Black-Scholes option-pricing assumptions and the resultant fair values as of December 31, 2019 and December 31, 2018, are presented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6"/>
                <w:szCs w:val="16"/>
                <w:color w:val="auto"/>
              </w:rPr>
            </w:pPr>
          </w:p>
        </w:tc>
        <w:tc>
          <w:tcPr>
            <w:tcW w:w="1740" w:type="dxa"/>
            <w:vAlign w:val="bottom"/>
          </w:tcPr>
          <w:p>
            <w:pPr>
              <w:jc w:val="right"/>
              <w:ind w:right="332"/>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price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Expected average option term</w:t>
            </w:r>
          </w:p>
        </w:tc>
        <w:tc>
          <w:tcPr>
            <w:tcW w:w="260" w:type="dxa"/>
            <w:vAlign w:val="bottom"/>
          </w:tcPr>
          <w:p>
            <w:pPr>
              <w:spacing w:after="0"/>
              <w:rPr>
                <w:sz w:val="21"/>
                <w:szCs w:val="21"/>
                <w:color w:val="auto"/>
              </w:rPr>
            </w:pPr>
          </w:p>
        </w:tc>
        <w:tc>
          <w:tcPr>
            <w:tcW w:w="1840" w:type="dxa"/>
            <w:vAlign w:val="bottom"/>
            <w:gridSpan w:val="2"/>
          </w:tcPr>
          <w:p>
            <w:pPr>
              <w:ind w:left="900"/>
              <w:spacing w:after="0"/>
              <w:rPr>
                <w:sz w:val="20"/>
                <w:szCs w:val="20"/>
                <w:color w:val="auto"/>
              </w:rPr>
            </w:pPr>
            <w:r>
              <w:rPr>
                <w:rFonts w:ascii="Arial" w:cs="Arial" w:eastAsia="Arial" w:hAnsi="Arial"/>
                <w:sz w:val="18"/>
                <w:szCs w:val="18"/>
                <w:color w:val="auto"/>
              </w:rPr>
              <w:t>1.6 years</w:t>
            </w:r>
          </w:p>
        </w:tc>
        <w:tc>
          <w:tcPr>
            <w:tcW w:w="260" w:type="dxa"/>
            <w:vAlign w:val="bottom"/>
          </w:tcPr>
          <w:p>
            <w:pPr>
              <w:spacing w:after="0"/>
              <w:rPr>
                <w:sz w:val="21"/>
                <w:szCs w:val="21"/>
                <w:color w:val="auto"/>
              </w:rPr>
            </w:pPr>
          </w:p>
        </w:tc>
        <w:tc>
          <w:tcPr>
            <w:tcW w:w="1740" w:type="dxa"/>
            <w:vAlign w:val="bottom"/>
          </w:tcPr>
          <w:p>
            <w:pPr>
              <w:jc w:val="right"/>
              <w:ind w:right="92"/>
              <w:spacing w:after="0"/>
              <w:rPr>
                <w:sz w:val="20"/>
                <w:szCs w:val="20"/>
                <w:color w:val="auto"/>
              </w:rPr>
            </w:pPr>
            <w:r>
              <w:rPr>
                <w:rFonts w:ascii="Arial" w:cs="Arial" w:eastAsia="Arial" w:hAnsi="Arial"/>
                <w:sz w:val="18"/>
                <w:szCs w:val="18"/>
                <w:color w:val="auto"/>
              </w:rPr>
              <w:t>2.2 years</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260" w:type="dxa"/>
            <w:vAlign w:val="bottom"/>
          </w:tcPr>
          <w:p>
            <w:pPr>
              <w:spacing w:after="0"/>
              <w:rPr>
                <w:sz w:val="21"/>
                <w:szCs w:val="21"/>
                <w:color w:val="auto"/>
              </w:rPr>
            </w:pPr>
          </w:p>
        </w:tc>
        <w:tc>
          <w:tcPr>
            <w:tcW w:w="18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Weighted-average fair value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92"/>
              <w:spacing w:after="0"/>
              <w:rPr>
                <w:sz w:val="20"/>
                <w:szCs w:val="20"/>
                <w:color w:val="auto"/>
              </w:rPr>
            </w:pPr>
            <w:r>
              <w:rPr>
                <w:rFonts w:ascii="Arial" w:cs="Arial" w:eastAsia="Arial" w:hAnsi="Arial"/>
                <w:sz w:val="18"/>
                <w:szCs w:val="18"/>
                <w:color w:val="auto"/>
              </w:rPr>
              <w:t>1.27</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fair value of vested liability-classified options (in $000s)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479</w:t>
            </w:r>
          </w:p>
        </w:tc>
      </w:tr>
      <w:tr>
        <w:trPr>
          <w:trHeight w:val="27"/>
        </w:trPr>
        <w:tc>
          <w:tcPr>
            <w:tcW w:w="7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OnCore Option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acquisition date in March 2015, the Company reserved 184,332 shares for the future exercise of OnCore stock options. The total fair value of OnCore stock options at the date of acquisition was $3.3 million, using the Black-Scholes pricing model with an assumed risk-free interest rate of 0.97%, volatility of 78%, a zero dividend yield and an expected life of 8.0 years, which are consistent with the assumption inputs used by the Company to determine the fair value of its options. Of the total fair value, $1.1 million was attributed as pre-combination service and included as part of the total acquisition consideration. The post-combination attribution of $2.2 million was recognized as compensation expense over the vesting period of the stock options through December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Following the merger, the Company is not permitted to grant any further options under the OnCore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the OnCore stock options for the year ended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4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Stock Options Vested and Outstanding</w:t>
            </w: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OnCore Options</w:t>
            </w:r>
          </w:p>
        </w:tc>
        <w:tc>
          <w:tcPr>
            <w:tcW w:w="2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Number of Equivalent</w:t>
            </w:r>
          </w:p>
        </w:tc>
        <w:tc>
          <w:tcPr>
            <w:tcW w:w="120" w:type="dxa"/>
            <w:vAlign w:val="bottom"/>
          </w:tcPr>
          <w:p>
            <w:pPr>
              <w:spacing w:after="0"/>
              <w:rPr>
                <w:sz w:val="13"/>
                <w:szCs w:val="13"/>
                <w:color w:val="auto"/>
              </w:rPr>
            </w:pPr>
          </w:p>
        </w:tc>
        <w:tc>
          <w:tcPr>
            <w:tcW w:w="1820" w:type="dxa"/>
            <w:vAlign w:val="bottom"/>
          </w:tcPr>
          <w:p>
            <w:pPr>
              <w:jc w:val="right"/>
              <w:ind w:right="36"/>
              <w:spacing w:after="0" w:line="153" w:lineRule="exact"/>
              <w:rPr>
                <w:sz w:val="20"/>
                <w:szCs w:val="20"/>
                <w:color w:val="auto"/>
              </w:rPr>
            </w:pPr>
            <w:r>
              <w:rPr>
                <w:rFonts w:ascii="Arial" w:cs="Arial" w:eastAsia="Arial" w:hAnsi="Arial"/>
                <w:sz w:val="14"/>
                <w:szCs w:val="14"/>
                <w:b w:val="1"/>
                <w:bCs w:val="1"/>
                <w:color w:val="auto"/>
                <w:w w:val="91"/>
              </w:rPr>
              <w:t>Weighted-Average Exercise</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Company Common Shares</w:t>
            </w:r>
          </w:p>
        </w:tc>
        <w:tc>
          <w:tcPr>
            <w:tcW w:w="120" w:type="dxa"/>
            <w:vAlign w:val="bottom"/>
          </w:tcPr>
          <w:p>
            <w:pPr>
              <w:spacing w:after="0"/>
              <w:rPr>
                <w:sz w:val="16"/>
                <w:szCs w:val="16"/>
                <w:color w:val="auto"/>
              </w:rPr>
            </w:pPr>
          </w:p>
        </w:tc>
        <w:tc>
          <w:tcPr>
            <w:tcW w:w="1820" w:type="dxa"/>
            <w:vAlign w:val="bottom"/>
          </w:tcPr>
          <w:p>
            <w:pPr>
              <w:jc w:val="right"/>
              <w:ind w:right="71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Options exercised</w:t>
            </w:r>
          </w:p>
        </w:tc>
        <w:tc>
          <w:tcPr>
            <w:tcW w:w="196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(40,282)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 canceled or expired</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1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99,290</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99,991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under the OnCore plan during 2019 and 2018 was $0.1 million and $0.3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additional information related to the OnCore stock options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6"/>
              </w:rPr>
              <w:t>As of December 31, 2019</w:t>
            </w:r>
          </w:p>
        </w:tc>
      </w:tr>
      <w:tr>
        <w:trPr>
          <w:trHeight w:val="189"/>
        </w:trPr>
        <w:tc>
          <w:tcPr>
            <w:tcW w:w="406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Vested stock options</w:t>
            </w:r>
          </w:p>
        </w:tc>
        <w:tc>
          <w:tcPr>
            <w:tcW w:w="5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auto"/>
            </w:tcBorders>
            <w:shd w:val="clear" w:color="auto" w:fill="CCEEFF"/>
          </w:tcPr>
          <w:p>
            <w:pPr>
              <w:spacing w:after="0"/>
              <w:rPr>
                <w:sz w:val="5"/>
                <w:szCs w:val="5"/>
                <w:color w:val="auto"/>
              </w:rPr>
            </w:pPr>
          </w:p>
        </w:tc>
        <w:tc>
          <w:tcPr>
            <w:tcW w:w="2480" w:type="dxa"/>
            <w:vAlign w:val="bottom"/>
            <w:tcBorders>
              <w:top w:val="single" w:sz="8" w:color="CCEEFF"/>
            </w:tcBorders>
            <w:shd w:val="clear" w:color="auto" w:fill="CCEEFF"/>
          </w:tcPr>
          <w:p>
            <w:pPr>
              <w:spacing w:after="0"/>
              <w:rPr>
                <w:sz w:val="5"/>
                <w:szCs w:val="5"/>
                <w:color w:val="auto"/>
              </w:rPr>
            </w:pPr>
          </w:p>
        </w:tc>
        <w:tc>
          <w:tcPr>
            <w:tcW w:w="5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r>
      <w:tr>
        <w:trPr>
          <w:trHeight w:val="243"/>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Intrinsic value (in $000s)</w:t>
            </w:r>
          </w:p>
        </w:tc>
        <w:tc>
          <w:tcPr>
            <w:tcW w:w="5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222,248</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term remaining</w:t>
            </w:r>
          </w:p>
        </w:tc>
        <w:tc>
          <w:tcPr>
            <w:tcW w:w="5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 years</w:t>
            </w:r>
          </w:p>
        </w:tc>
      </w:tr>
      <w:tr>
        <w:trPr>
          <w:trHeight w:val="702"/>
        </w:trPr>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200" w:type="dxa"/>
            <w:vAlign w:val="bottom"/>
          </w:tcPr>
          <w:p>
            <w:pPr>
              <w:jc w:val="right"/>
              <w:ind w:right="337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61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Total stock-based compensation expense was comprised of: (1) vesting of options awarded to employees under the Arbutus and OnCore Plans calculated in accordance with the fair value method as described above; and (2) fair value adjustments for the Company’s liability-classified stock options.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forfeitures as they occur, and the effects of forfeitures are reflected in 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has been recorded in the consolidated statement of operations and comprehensive income (loss)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6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7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2,670</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3,337</w:t>
            </w:r>
          </w:p>
        </w:tc>
      </w:tr>
      <w:tr>
        <w:trPr>
          <w:trHeight w:val="27"/>
        </w:trPr>
        <w:tc>
          <w:tcPr>
            <w:tcW w:w="76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6,799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6,007</w:t>
            </w:r>
          </w:p>
        </w:tc>
      </w:tr>
      <w:tr>
        <w:trPr>
          <w:trHeight w:val="27"/>
        </w:trPr>
        <w:tc>
          <w:tcPr>
            <w:tcW w:w="76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the Company recognized $1.1 million of non-cash stock-based compensation expense for the accelerated vesting stock options, related to the departure of the Company’s former President and Chief Executive Officer in June of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there remains $6.8 million of unearned compensation expense related to unvested equity employee stock options to be recognized as expense over a weighted-average period of approximately 2.1 years.</w:t>
      </w: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(benefit) expense varies from the amounts that would be computed by applying the combined Canadian federal and provincial income tax rate of 27% (2018 - 27%) to the loss before income taxes as shown in the following tables: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6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7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taxes (benefits) at Canadian federal and provincial tax rates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(16,563)</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Difference between statutory rate and foreign rate</w:t>
            </w:r>
          </w:p>
        </w:tc>
        <w:tc>
          <w:tcPr>
            <w:tcW w:w="10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prior year</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Permanent and other differences</w:t>
            </w:r>
          </w:p>
        </w:tc>
        <w:tc>
          <w:tcPr>
            <w:tcW w:w="10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(2,328)</w:t>
            </w:r>
          </w:p>
        </w:tc>
      </w:tr>
      <w:tr>
        <w:trPr>
          <w:trHeight w:val="27"/>
        </w:trPr>
        <w:tc>
          <w:tcPr>
            <w:tcW w:w="7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 - other</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19,078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13,062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Difference due to income taxed at foreign rates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7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1,685</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10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 benefit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r>
      <w:tr>
        <w:trPr>
          <w:trHeight w:val="27"/>
        </w:trPr>
        <w:tc>
          <w:tcPr>
            <w:tcW w:w="76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Company has investment tax credits available to reduce Canadian federal income taxes of $10.0 million, versus $8.8 million as of December 31, 2018, which expire between 2027 and 2037, and provincial income taxes of $4.5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611" w:right="239" w:bottom="1440" w:gutter="0" w:footer="0" w:header="0"/>
        </w:sectPr>
      </w:pPr>
    </w:p>
    <w:bookmarkStart w:id="92" w:name="page93"/>
    <w:bookmarkEnd w:id="92"/>
    <w:p>
      <w:pPr>
        <w:jc w:val="both"/>
        <w:spacing w:after="0" w:line="264" w:lineRule="auto"/>
        <w:rPr>
          <w:sz w:val="20"/>
          <w:szCs w:val="20"/>
          <w:color w:val="auto"/>
        </w:rPr>
      </w:pPr>
      <w:r>
        <w:rPr>
          <w:rFonts w:ascii="Arial" w:cs="Arial" w:eastAsia="Arial" w:hAnsi="Arial"/>
          <w:sz w:val="18"/>
          <w:szCs w:val="18"/>
          <w:color w:val="auto"/>
        </w:rPr>
        <w:t>million, versus $4.0 million as of December 31, 2018, which expire between 2024 and 2027. In addition, the Company has research and development credits of $3.9 million as of December 31, 2019, versus the $4.3 million it had as of December 31, 2018, which expire between 2031 and 2038 and which can be used to reduce future taxable income in the United States.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2019, the Company had scientific research and experimental development expenditures of $60.6 million available for indefinite carry-forward, versus the $61.5 million it had as of December 31, 2018. The Company also had net operating losses of $164.9 million as of December 31, 2019 and $182.3 million as of December 31, 2018, which are due to expire between 2031 and 2038 and which can be used to offset future taxable income in Canada.</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2019, the Company had $11.7 million of net operating losses due to expire in 2035 and $62.0 million of net operating losses subject to an indefinite carryforward period which can be used to offset future taxable income in the United States, versus the $11.0 million the Company had as of December 31, 2018. Future use of a portion of the United States loss carry-forwards is subject to limitations under the Internal Revenue Code Section 382.</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ownership changes occurring on October 1, 2014 and March 4, 2015, the Company’s ability to use these losses may be limited. Losses incurred to date may be further limited if a subsequent change in control occurs.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generated $27.1 million and $139.3 million in pre-tax domestic and foreign losses, respectively, for the year ended December 31,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shown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8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Non-capital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59,956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51,575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deductions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15,803</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Book amortization in excess of tax</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issue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Revenue recognized for tax purposes in excess of revenue recognized for accounting purposes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value in excess of accounting value in lease inducements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Federal investment tax credits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7,325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9,686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Provincial investment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3,955</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(12,664)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Upfront license fees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Equity accounted for investment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2,503</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 deferred tax assets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102,762</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71,024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(102,762)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(83,685)</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deferred tax assets (liabilities)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(12,661)</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the Company purchased certain research and development services from Roivant, which were billed at agreed hourly rates and reflective of market rates for such services. The total cost of these services was $0.6 million during 2018 and was recorded in the income statement in research and development. There were no such purchases in 2019.</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11" w:right="239" w:bottom="1440" w:gutter="0" w:footer="0" w:header="0"/>
        </w:sectPr>
      </w:pPr>
    </w:p>
    <w:bookmarkStart w:id="93" w:name="page94"/>
    <w:bookmarkEnd w:id="93"/>
    <w:p>
      <w:pPr>
        <w:jc w:val="both"/>
        <w:spacing w:after="0" w:line="264" w:lineRule="auto"/>
        <w:rPr>
          <w:sz w:val="20"/>
          <w:szCs w:val="20"/>
          <w:color w:val="auto"/>
        </w:rPr>
      </w:pPr>
      <w:r>
        <w:rPr>
          <w:rFonts w:ascii="Arial" w:cs="Arial" w:eastAsia="Arial" w:hAnsi="Arial"/>
          <w:sz w:val="18"/>
          <w:szCs w:val="18"/>
          <w:color w:val="auto"/>
        </w:rPr>
        <w:t>During 2018, the Company also purchased certain research and development services from its equity method investee, Genevant. These services were billed at agreed hourly rates and reflective of market rates for such services. The total cost of these services was $0.4 million during 2018 and were included in the income statement in research and development. There were no such purchases during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Conversely, Genevant purchased certain administrative and transitional services from the Company totaling $0.1 million and $0.2 million during 2019 and 2018, respectively, and these costs were netted in research and development in the income statement.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Genevant had a sublease for 17,900 square feet in the Company’s Burnaby facility. Sublease income, including management fee reimbursements, from Genevant was $0.2 million and $0.2 million, in 2019 and 2018, respectively, which was netted against site consolidation costs in the income statement (note 10).</w:t>
      </w:r>
    </w:p>
    <w:p>
      <w:pPr>
        <w:spacing w:after="0" w:line="3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Interim financial data (unaudited)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Summarized unaudited quarterly financial data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Quarters Ended</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September 30</w:t>
            </w:r>
            <w:r>
              <w:rPr>
                <w:rFonts w:ascii="Arial" w:cs="Arial" w:eastAsia="Arial" w:hAnsi="Arial"/>
                <w:sz w:val="8"/>
                <w:szCs w:val="8"/>
                <w:b w:val="1"/>
                <w:bCs w:val="1"/>
                <w:color w:val="auto"/>
                <w:w w:val="93"/>
              </w:rPr>
              <w:t>1</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4"/>
              </w:rPr>
              <w:t>December 31</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Full Year</w:t>
            </w:r>
          </w:p>
        </w:tc>
      </w:tr>
      <w:tr>
        <w:trPr>
          <w:trHeight w:val="162"/>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2019</w:t>
            </w:r>
          </w:p>
        </w:tc>
        <w:tc>
          <w:tcPr>
            <w:tcW w:w="3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60" w:type="dxa"/>
            <w:vAlign w:val="bottom"/>
            <w:gridSpan w:val="4"/>
          </w:tcPr>
          <w:p>
            <w:pPr>
              <w:jc w:val="center"/>
              <w:ind w:left="775"/>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679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3,061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1,618</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6,011</w:t>
            </w:r>
          </w:p>
        </w:tc>
      </w:tr>
      <w:tr>
        <w:trPr>
          <w:trHeight w:val="243"/>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(19,071)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(13,087)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(144,074)</w:t>
            </w: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(153,723)</w:t>
            </w:r>
          </w:p>
        </w:tc>
      </w:tr>
      <w:tr>
        <w:trPr>
          <w:trHeight w:val="243"/>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Net loss attributable to common shares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(25,966)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(26,077)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(85,295)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(27,534)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(164,872)</w:t>
            </w: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  and  diluted  net  income/(loss)  per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both"/>
        <w:ind w:left="500" w:hanging="168"/>
        <w:spacing w:after="0" w:line="225" w:lineRule="auto"/>
        <w:tabs>
          <w:tab w:leader="none" w:pos="500" w:val="left"/>
        </w:tabs>
        <w:numPr>
          <w:ilvl w:val="0"/>
          <w:numId w:val="42"/>
        </w:numPr>
        <w:rPr>
          <w:rFonts w:ascii="Arial" w:cs="Arial" w:eastAsia="Arial" w:hAnsi="Arial"/>
          <w:sz w:val="22"/>
          <w:szCs w:val="22"/>
          <w:b w:val="1"/>
          <w:bCs w:val="1"/>
          <w:color w:val="auto"/>
          <w:vertAlign w:val="superscript"/>
        </w:rPr>
      </w:pPr>
      <w:r>
        <w:rPr>
          <w:rFonts w:ascii="Arial" w:cs="Arial" w:eastAsia="Arial" w:hAnsi="Arial"/>
          <w:sz w:val="16"/>
          <w:szCs w:val="16"/>
          <w:color w:val="auto"/>
        </w:rPr>
        <w:t>In the third quarter of 2019, the Company recorded non-cash impairment charges of $43.8 million and $22.5 million, respectively, to reduce the carrying value of its IPR&amp;D intangible assets and goodwill to zero. The Company also recognized a corresponding income tax benefit of $12.7 million related to the decrease in its deferred tax liability related to the IPR&amp;D intangible assets. See note 8 for more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7"/>
              </w:rPr>
              <w:t>Quarters Ended</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September 30</w:t>
            </w:r>
            <w:r>
              <w:rPr>
                <w:rFonts w:ascii="Arial" w:cs="Arial" w:eastAsia="Arial" w:hAnsi="Arial"/>
                <w:sz w:val="8"/>
                <w:szCs w:val="8"/>
                <w:b w:val="1"/>
                <w:bCs w:val="1"/>
                <w:color w:val="auto"/>
              </w:rPr>
              <w:t>1</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4"/>
              </w:rPr>
              <w:t>December 31</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Full Year</w:t>
            </w:r>
          </w:p>
        </w:tc>
      </w:tr>
      <w:tr>
        <w:trPr>
          <w:trHeight w:val="162"/>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1,436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1,587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1,678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5,945</w:t>
            </w: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(18,405)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(22,046)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(32,426)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(16,903)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(89,780)</w:t>
            </w: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(17,429)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(57,060)</w:t>
            </w:r>
          </w:p>
        </w:tc>
      </w:tr>
      <w:tr>
        <w:trPr>
          <w:trHeight w:val="229"/>
        </w:trPr>
        <w:tc>
          <w:tcPr>
            <w:tcW w:w="3540" w:type="dxa"/>
            <w:vAlign w:val="bottom"/>
            <w:gridSpan w:val="3"/>
          </w:tcPr>
          <w:p>
            <w:pPr>
              <w:ind w:left="40"/>
              <w:spacing w:after="0"/>
              <w:rPr>
                <w:sz w:val="20"/>
                <w:szCs w:val="20"/>
                <w:color w:val="auto"/>
              </w:rPr>
            </w:pPr>
            <w:r>
              <w:rPr>
                <w:rFonts w:ascii="Arial" w:cs="Arial" w:eastAsia="Arial" w:hAnsi="Arial"/>
                <w:sz w:val="18"/>
                <w:szCs w:val="18"/>
                <w:color w:val="auto"/>
                <w:w w:val="99"/>
              </w:rPr>
              <w:t>Net  income/(loss)  attributable  to  common</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shares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(19,765)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550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(27,040)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(20,896)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(67,151)</w:t>
            </w: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Basic  and  diluted  net  income/(loss)  per</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500" w:hanging="168"/>
        <w:spacing w:after="0" w:line="217" w:lineRule="auto"/>
        <w:tabs>
          <w:tab w:leader="none" w:pos="500" w:val="left"/>
        </w:tabs>
        <w:numPr>
          <w:ilvl w:val="0"/>
          <w:numId w:val="43"/>
        </w:numPr>
        <w:rPr>
          <w:rFonts w:ascii="Arial" w:cs="Arial" w:eastAsia="Arial" w:hAnsi="Arial"/>
          <w:sz w:val="22"/>
          <w:szCs w:val="22"/>
          <w:b w:val="1"/>
          <w:bCs w:val="1"/>
          <w:color w:val="auto"/>
          <w:vertAlign w:val="superscript"/>
        </w:rPr>
      </w:pPr>
      <w:r>
        <w:rPr>
          <w:rFonts w:ascii="Arial" w:cs="Arial" w:eastAsia="Arial" w:hAnsi="Arial"/>
          <w:sz w:val="16"/>
          <w:szCs w:val="16"/>
          <w:color w:val="auto"/>
        </w:rPr>
        <w:t>In the third quarter of 2018, the Company recorded a $14.8 million non-cash impairment charge to reduce the carrying value of its IPR&amp;D intangible assets, as well as a corresponding income tax benefit of $4.3 million related to the decrease in the related deferred tax liability.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61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including our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Chief Executive Officer (our principal executive officer) and Chief Financial Officer (our principal financial officer), concluded that, as of December 31, 2019,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Chief Executive Officer and Chief Financial Officer, as appropriate, to allow timely decisions regarding required disclosure.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our principal financial officer, we conducted an evaluation of the effectiveness of our internal control over financial reporting based on the framework in the Internal Control - Integrated Framework (2013) issued by the Committee of Sponsoring Organizations of the Treadway Commission (“COSO 2013”).</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COSO 2013, our management concluded that our internal control over financial reporting was effective as of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independent registered public accounting firm’s report on the effectiveness of our internal control over financial reporting, is included in Item 8 of this annual report on Form 10-K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2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not been changes in our internal control over financial reporting during the quarter ended December 31, 2019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60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2020 Annual General Meeting of the Stockholders to be filed with the SEC within 120 days of the fiscal year ended December 31,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code of business conduct for directors, officers and employees (the “Code of Conduct”), which is available on our website at http://investor.arbutusbio.com/corporate-governance-0 and also at www.sedar.com. We intend to satisfy the disclosure requirement under Item 5.05 of Form 8-K regarding any amendment to, or waiver from, a provision of this Code of Conduct and by posting such information on the website address and location specified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2020 Annual General Meeting of the Stockholders to be filed with the SEC within 120 days of the fiscal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2020 Annual General Meeting of the Stockholders to be filed with the SEC within 120 days of the fiscal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2020 Annual General Meeting of the Stockholders to be filed with the SEC within 120 days of the fiscal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2020 Annual General Meeting of the Stockholders to be filed with the SEC within 120 days of the fiscal year ended December 31, 2019.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661"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20" w:type="dxa"/>
            <w:vAlign w:val="bottom"/>
            <w:gridSpan w:val="24"/>
          </w:tcPr>
          <w:p>
            <w:pPr>
              <w:jc w:val="center"/>
              <w:ind w:right="466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1360" w:type="dxa"/>
            <w:vAlign w:val="bottom"/>
            <w:gridSpan w:val="3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r>
      <w:tr>
        <w:trPr>
          <w:trHeight w:val="386"/>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960" w:type="dxa"/>
            <w:vAlign w:val="bottom"/>
            <w:gridSpan w:val="29"/>
          </w:tcPr>
          <w:p>
            <w:pPr>
              <w:spacing w:after="0"/>
              <w:rPr>
                <w:sz w:val="20"/>
                <w:szCs w:val="20"/>
                <w:color w:val="auto"/>
              </w:rPr>
            </w:pPr>
            <w:r>
              <w:rPr>
                <w:rFonts w:ascii="Arial" w:cs="Arial" w:eastAsia="Arial" w:hAnsi="Arial"/>
                <w:sz w:val="14"/>
                <w:szCs w:val="14"/>
                <w:b w:val="1"/>
                <w:bCs w:val="1"/>
                <w:color w:val="auto"/>
              </w:rPr>
              <w:t>Description</w:t>
            </w:r>
          </w:p>
        </w:tc>
      </w:tr>
      <w:tr>
        <w:trPr>
          <w:trHeight w:val="324"/>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20" w:type="dxa"/>
            <w:vAlign w:val="bottom"/>
            <w:tcBorders>
              <w:top w:val="single" w:sz="8" w:color="auto"/>
              <w:bottom w:val="single" w:sz="8" w:color="0000FF"/>
            </w:tcBorders>
            <w:gridSpan w:val="24"/>
          </w:tcPr>
          <w:p>
            <w:pPr>
              <w:spacing w:after="0"/>
              <w:rPr>
                <w:rFonts w:ascii="Arial" w:cs="Arial" w:eastAsia="Arial" w:hAnsi="Arial"/>
                <w:sz w:val="18"/>
                <w:szCs w:val="18"/>
                <w:color w:val="0000FF"/>
                <w:w w:val="90"/>
              </w:rPr>
            </w:pPr>
            <w:hyperlink r:id="rId11">
              <w:r>
                <w:rPr>
                  <w:rFonts w:ascii="Arial" w:cs="Arial" w:eastAsia="Arial" w:hAnsi="Arial"/>
                  <w:sz w:val="18"/>
                  <w:szCs w:val="18"/>
                  <w:color w:val="0000FF"/>
                  <w:w w:val="90"/>
                </w:rPr>
                <w:t>Agreement and Plan of Merger and Reorganization, dated January 11, 2015, by and among Tekmira Pharmaceuticals Corporation, TKM</w:t>
              </w:r>
            </w:hyperlink>
          </w:p>
        </w:tc>
        <w:tc>
          <w:tcPr>
            <w:tcW w:w="140" w:type="dxa"/>
            <w:vAlign w:val="bottom"/>
            <w:tcBorders>
              <w:top w:val="single" w:sz="8" w:color="auto"/>
            </w:tcBorders>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Acquisition Corporation and OnCore Biopharma, Inc. (incorporated herein by reference to Exhibit 2.1 to the Registrant’s Current Report</w:t>
              </w:r>
            </w:hyperlink>
          </w:p>
        </w:tc>
        <w:tc>
          <w:tcPr>
            <w:tcW w:w="8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on Form 8-K/A filed with the SEC on January 26, 2015).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23"/>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Notice of Articles and Articles of the Company, as amended.(incorporated herein by reference to Exhibit 3.1 to the Registrant’s Annual</w:t>
              </w:r>
            </w:hyperlink>
          </w:p>
        </w:tc>
        <w:tc>
          <w:tcPr>
            <w:tcW w:w="20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Report on Form 10-K for the year ended December 31, 2017, filed with the SEC on March 16, 2018).</w:t>
              </w:r>
            </w:hyperlink>
          </w:p>
        </w:tc>
        <w:tc>
          <w:tcPr>
            <w:tcW w:w="2640" w:type="dxa"/>
            <w:vAlign w:val="bottom"/>
            <w:gridSpan w:val="17"/>
          </w:tcPr>
          <w:p>
            <w:pPr>
              <w:spacing w:after="0"/>
              <w:rPr>
                <w:sz w:val="17"/>
                <w:szCs w:val="17"/>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19"/>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Amendment to Articles of the Company (incorporated herein by reference to Exhibit 3.1 to the Registrant’s Quarterly Report on Form</w:t>
              </w:r>
            </w:hyperlink>
          </w:p>
        </w:tc>
        <w:tc>
          <w:tcPr>
            <w:tcW w:w="30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10-Q for the quarter ended September 30, 2018, filed with the SEC on November 7, 2018).</w:t>
              </w:r>
            </w:hyperlink>
          </w:p>
        </w:tc>
        <w:tc>
          <w:tcPr>
            <w:tcW w:w="3400" w:type="dxa"/>
            <w:vAlign w:val="bottom"/>
            <w:gridSpan w:val="20"/>
          </w:tcPr>
          <w:p>
            <w:pPr>
              <w:spacing w:after="0"/>
              <w:rPr>
                <w:sz w:val="17"/>
                <w:szCs w:val="17"/>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FF"/>
                <w:w w:val="94"/>
              </w:rPr>
            </w:pPr>
            <w:hyperlink r:id="rId11">
              <w:r>
                <w:rPr>
                  <w:rFonts w:ascii="Arial" w:cs="Arial" w:eastAsia="Arial" w:hAnsi="Arial"/>
                  <w:sz w:val="18"/>
                  <w:szCs w:val="18"/>
                  <w:color w:val="0000FF"/>
                  <w:w w:val="94"/>
                </w:rPr>
                <w:t>Governance Agreement between the Company and Roivant Sciences Ltd., a Bermuda exempted company, dated January 11, 2015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w w:val="95"/>
              </w:rPr>
            </w:pPr>
            <w:hyperlink r:id="rId11">
              <w:r>
                <w:rPr>
                  <w:rFonts w:ascii="Arial" w:cs="Arial" w:eastAsia="Arial" w:hAnsi="Arial"/>
                  <w:sz w:val="18"/>
                  <w:szCs w:val="18"/>
                  <w:color w:val="0000FF"/>
                  <w:w w:val="95"/>
                </w:rPr>
                <w:t>(incorporated herein by reference to Exhibit 2.1 to the Registrant’s Current Report on Form 8-K/A filed with the SEC on January 26,</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20"/>
              <w:spacing w:after="0" w:line="196" w:lineRule="exact"/>
              <w:rPr>
                <w:rFonts w:ascii="Arial" w:cs="Arial" w:eastAsia="Arial" w:hAnsi="Arial"/>
                <w:sz w:val="18"/>
                <w:szCs w:val="18"/>
                <w:color w:val="0000FF"/>
                <w:w w:val="86"/>
              </w:rPr>
            </w:pPr>
            <w:hyperlink r:id="rId11">
              <w:r>
                <w:rPr>
                  <w:rFonts w:ascii="Arial" w:cs="Arial" w:eastAsia="Arial" w:hAnsi="Arial"/>
                  <w:sz w:val="18"/>
                  <w:szCs w:val="18"/>
                  <w:color w:val="0000FF"/>
                  <w:w w:val="86"/>
                </w:rPr>
                <w:t>2015).</w:t>
              </w:r>
            </w:hyperlink>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Description of Securities Registered Pursuant to Section 12 of the Securities Exchange Act of 1934.</w:t>
              </w:r>
            </w:hyperlink>
          </w:p>
        </w:tc>
        <w:tc>
          <w:tcPr>
            <w:tcW w:w="2760" w:type="dxa"/>
            <w:vAlign w:val="bottom"/>
            <w:gridSpan w:val="18"/>
          </w:tcPr>
          <w:p>
            <w:pPr>
              <w:spacing w:after="0"/>
              <w:rPr>
                <w:sz w:val="24"/>
                <w:szCs w:val="24"/>
                <w:color w:val="auto"/>
              </w:rPr>
            </w:pPr>
          </w:p>
        </w:tc>
      </w:tr>
      <w:tr>
        <w:trPr>
          <w:trHeight w:val="372"/>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9900" w:type="dxa"/>
            <w:vAlign w:val="bottom"/>
            <w:tcBorders>
              <w:bottom w:val="single" w:sz="8" w:color="0000FF"/>
            </w:tcBorders>
            <w:gridSpan w:val="28"/>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Amended and Restated License Agreement, between Inex Pharmaceuticals Corporation and Hana Biosciences, Inc., dated April 30, 2007</w:t>
              </w:r>
            </w:hyperlink>
          </w:p>
        </w:tc>
        <w:tc>
          <w:tcPr>
            <w:tcW w:w="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(incorporated herein by reference to Exhibit 4.2 to the Registrant’s Amendment No. 1 to Form 20-F for the year ended December 31,</w:t>
              </w:r>
            </w:hyperlink>
          </w:p>
        </w:tc>
        <w:tc>
          <w:tcPr>
            <w:tcW w:w="38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2010 filed with the SEC on January 31, 2012).</w:t>
              </w:r>
            </w:hyperlink>
          </w:p>
        </w:tc>
      </w:tr>
      <w:tr>
        <w:trPr>
          <w:trHeight w:val="20"/>
        </w:trPr>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2"/>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FF"/>
                <w:w w:val="93"/>
              </w:rPr>
            </w:pPr>
            <w:hyperlink r:id="rId15">
              <w:r>
                <w:rPr>
                  <w:rFonts w:ascii="Arial" w:cs="Arial" w:eastAsia="Arial" w:hAnsi="Arial"/>
                  <w:sz w:val="18"/>
                  <w:szCs w:val="18"/>
                  <w:color w:val="0000FF"/>
                  <w:w w:val="93"/>
                </w:rPr>
                <w:t>Amendment No. 1 to the Amended and Restated Agreement, between the Company (formerly Inex Pharmaceuticals Corporation) and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Hana Biosciences, Inc., effective as of May 27, 2009 (incorporated herein by reference to Exhibit 4.1 to the Registrant’s Annual Report</w:t>
              </w:r>
            </w:hyperlink>
          </w:p>
        </w:tc>
        <w:tc>
          <w:tcPr>
            <w:tcW w:w="20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on Form 20-F for the year ended December 31, 2010 filed with the SEC on June 3, 2011).</w:t>
              </w:r>
            </w:hyperlink>
          </w:p>
        </w:tc>
        <w:tc>
          <w:tcPr>
            <w:tcW w:w="3480" w:type="dxa"/>
            <w:vAlign w:val="bottom"/>
            <w:gridSpan w:val="21"/>
          </w:tcPr>
          <w:p>
            <w:pPr>
              <w:spacing w:after="0"/>
              <w:rPr>
                <w:sz w:val="17"/>
                <w:szCs w:val="17"/>
                <w:color w:val="auto"/>
              </w:rPr>
            </w:pPr>
          </w:p>
        </w:tc>
      </w:tr>
      <w:tr>
        <w:trPr>
          <w:trHeight w:val="372"/>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Amendment No. 2 to the Amended and Restated Agreement, between the Company (formerly Inex Pharmaceuticals Corporation) and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Hana Biosciences, Inc., effective as of September 20, 2010 (incorporated herein by reference to Exhibit 4.21 to the Registrant’s Annual</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Report on Form 20-F for the year ended December 31, 2010 filed with the SEC on June 3, 2011).</w:t>
              </w:r>
            </w:hyperlink>
          </w:p>
        </w:tc>
        <w:tc>
          <w:tcPr>
            <w:tcW w:w="220" w:type="dxa"/>
            <w:vAlign w:val="bottom"/>
            <w:gridSpan w:val="7"/>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FF"/>
                <w:w w:val="94"/>
              </w:rPr>
            </w:pPr>
            <w:hyperlink r:id="rId17">
              <w:r>
                <w:rPr>
                  <w:rFonts w:ascii="Arial" w:cs="Arial" w:eastAsia="Arial" w:hAnsi="Arial"/>
                  <w:sz w:val="18"/>
                  <w:szCs w:val="18"/>
                  <w:color w:val="0000FF"/>
                  <w:w w:val="94"/>
                </w:rPr>
                <w:t>Form of Indemnity Agreement (refiled herein with initial Agreement by reference to Exhibit 4.15 to the Registrant’s Annual Report on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Form 20-F for the year ended December 31, 2010 filed with the SEC on June 3, 2011).</w:t>
              </w:r>
            </w:hyperlink>
          </w:p>
        </w:tc>
        <w:tc>
          <w:tcPr>
            <w:tcW w:w="260" w:type="dxa"/>
            <w:vAlign w:val="bottom"/>
            <w:gridSpan w:val="9"/>
          </w:tcPr>
          <w:p>
            <w:pPr>
              <w:spacing w:after="0"/>
              <w:rPr>
                <w:sz w:val="17"/>
                <w:szCs w:val="17"/>
                <w:color w:val="auto"/>
              </w:rPr>
            </w:pPr>
          </w:p>
        </w:tc>
      </w:tr>
      <w:tr>
        <w:trPr>
          <w:trHeight w:val="20"/>
        </w:trPr>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2"/>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FF"/>
                <w:w w:val="97"/>
              </w:rPr>
            </w:pPr>
            <w:hyperlink r:id="rId18">
              <w:r>
                <w:rPr>
                  <w:rFonts w:ascii="Arial" w:cs="Arial" w:eastAsia="Arial" w:hAnsi="Arial"/>
                  <w:sz w:val="18"/>
                  <w:szCs w:val="18"/>
                  <w:color w:val="0000FF"/>
                  <w:w w:val="97"/>
                </w:rPr>
                <w:t>License Agreement between the University of British Columbia and Inex Pharmaceuticals Corporation executed on July 30, 2001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180" w:type="dxa"/>
            <w:vAlign w:val="bottom"/>
            <w:gridSpan w:val="9"/>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(incorporated herein by reference to Exhibit 4.17 to the Registrant’s Annual Report on Form 20-F for the year ended December 31, 2010</w:t>
              </w:r>
            </w:hyperlink>
          </w:p>
        </w:tc>
        <w:tc>
          <w:tcPr>
            <w:tcW w:w="1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filed with the SEC on June 3, 2011).</w:t>
              </w:r>
            </w:hyperlink>
          </w:p>
        </w:tc>
        <w:tc>
          <w:tcPr>
            <w:tcW w:w="7340" w:type="dxa"/>
            <w:vAlign w:val="bottom"/>
            <w:gridSpan w:val="26"/>
          </w:tcPr>
          <w:p>
            <w:pPr>
              <w:spacing w:after="0"/>
              <w:rPr>
                <w:sz w:val="17"/>
                <w:szCs w:val="17"/>
                <w:color w:val="auto"/>
              </w:rPr>
            </w:pPr>
          </w:p>
        </w:tc>
      </w:tr>
      <w:tr>
        <w:trPr>
          <w:trHeight w:val="372"/>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9200" w:type="dxa"/>
            <w:vAlign w:val="bottom"/>
            <w:tcBorders>
              <w:bottom w:val="single" w:sz="8" w:color="0000FF"/>
            </w:tcBorders>
            <w:gridSpan w:val="13"/>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Amendment Agreement between the University of British Columbia and Inex Pharmaceuticals Corporation dated July 11, 2006</w:t>
              </w:r>
            </w:hyperlink>
          </w:p>
        </w:tc>
        <w:tc>
          <w:tcPr>
            <w:tcW w:w="760" w:type="dxa"/>
            <w:vAlign w:val="bottom"/>
            <w:gridSpan w:val="1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(incorporated herein by reference to Exhibit 4.18 to the Registrant’s Annual Report on Form 20-F for the year ended December 31, 2010</w:t>
              </w:r>
            </w:hyperlink>
          </w:p>
        </w:tc>
        <w:tc>
          <w:tcPr>
            <w:tcW w:w="1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filed with the SEC on June 3, 2011).</w:t>
              </w:r>
            </w:hyperlink>
          </w:p>
        </w:tc>
        <w:tc>
          <w:tcPr>
            <w:tcW w:w="7340" w:type="dxa"/>
            <w:vAlign w:val="bottom"/>
            <w:gridSpan w:val="26"/>
          </w:tcPr>
          <w:p>
            <w:pPr>
              <w:spacing w:after="0"/>
              <w:rPr>
                <w:sz w:val="17"/>
                <w:szCs w:val="17"/>
                <w:color w:val="auto"/>
              </w:rPr>
            </w:pPr>
          </w:p>
        </w:tc>
      </w:tr>
      <w:tr>
        <w:trPr>
          <w:trHeight w:val="372"/>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4"/>
                <w:szCs w:val="24"/>
                <w:color w:val="auto"/>
              </w:rPr>
            </w:pPr>
          </w:p>
        </w:tc>
        <w:tc>
          <w:tcPr>
            <w:tcW w:w="9560" w:type="dxa"/>
            <w:vAlign w:val="bottom"/>
            <w:tcBorders>
              <w:bottom w:val="single" w:sz="8" w:color="0000FF"/>
            </w:tcBorders>
            <w:gridSpan w:val="16"/>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Second Amendment Agreement between the University of British Columbia and Inex Pharmaceuticals Corporation dated January 8,</w:t>
              </w:r>
            </w:hyperlink>
          </w:p>
        </w:tc>
        <w:tc>
          <w:tcPr>
            <w:tcW w:w="40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2007 (incorporated herein by reference to Exhibit 4.19 to the Registrant’s Annual Report on Form 20-F for the year ended December 31,</w:t>
              </w:r>
            </w:hyperlink>
          </w:p>
        </w:tc>
        <w:tc>
          <w:tcPr>
            <w:tcW w:w="1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2010 filed with the SEC on June 3, 2011).</w:t>
              </w:r>
            </w:hyperlink>
          </w:p>
        </w:tc>
      </w:tr>
      <w:tr>
        <w:trPr>
          <w:trHeight w:val="20"/>
        </w:trPr>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380" w:type="dxa"/>
            <w:vAlign w:val="bottom"/>
            <w:gridSpan w:val="1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72"/>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Consent Agreement of the University of British Columbia to Inex/Alnylam Sublicense Agreement dated January 8, 2007 (incorporated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780" w:type="dxa"/>
            <w:vAlign w:val="bottom"/>
            <w:gridSpan w:val="1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herein by reference to Exhibit 4.20 to the Registrant’s Annual Report on Form 20-F for the year ended December 31, 2010 filed with the</w:t>
              </w:r>
            </w:hyperlink>
          </w:p>
        </w:tc>
        <w:tc>
          <w:tcPr>
            <w:tcW w:w="12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21">
              <w:r>
                <w:rPr>
                  <w:rFonts w:ascii="Arial" w:cs="Arial" w:eastAsia="Arial" w:hAnsi="Arial"/>
                  <w:sz w:val="18"/>
                  <w:szCs w:val="18"/>
                  <w:color w:val="0000FF"/>
                  <w:w w:val="87"/>
                </w:rPr>
                <w:t>SEC on June 3, 2011).</w:t>
              </w:r>
            </w:hyperlink>
          </w:p>
        </w:tc>
        <w:tc>
          <w:tcPr>
            <w:tcW w:w="8340" w:type="dxa"/>
            <w:vAlign w:val="bottom"/>
            <w:gridSpan w:val="27"/>
          </w:tcPr>
          <w:p>
            <w:pPr>
              <w:spacing w:after="0"/>
              <w:rPr>
                <w:sz w:val="17"/>
                <w:szCs w:val="17"/>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Tekmira 2011 Omnibus Share Compensation Plan approved by shareholders on June 22, 2011 (incorporated herein by reference to</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920" w:type="dxa"/>
            <w:vAlign w:val="bottom"/>
            <w:gridSpan w:val="14"/>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Exhibit 4.25 to the Registrant’s Annual Report on Form 20-F for the year ended December 31, 2011 filed with the SEC on March 27,</w:t>
              </w:r>
            </w:hyperlink>
          </w:p>
        </w:tc>
        <w:tc>
          <w:tcPr>
            <w:tcW w:w="32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20"/>
              <w:spacing w:after="0" w:line="196" w:lineRule="exact"/>
              <w:rPr>
                <w:rFonts w:ascii="Arial" w:cs="Arial" w:eastAsia="Arial" w:hAnsi="Arial"/>
                <w:sz w:val="18"/>
                <w:szCs w:val="18"/>
                <w:color w:val="0000FF"/>
                <w:w w:val="86"/>
              </w:rPr>
            </w:pPr>
            <w:hyperlink r:id="rId22">
              <w:r>
                <w:rPr>
                  <w:rFonts w:ascii="Arial" w:cs="Arial" w:eastAsia="Arial" w:hAnsi="Arial"/>
                  <w:sz w:val="18"/>
                  <w:szCs w:val="18"/>
                  <w:color w:val="0000FF"/>
                  <w:w w:val="86"/>
                </w:rPr>
                <w:t>2012).</w:t>
              </w:r>
            </w:hyperlink>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5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760" w:type="dxa"/>
            <w:vAlign w:val="bottom"/>
            <w:gridSpan w:val="6"/>
          </w:tcPr>
          <w:p>
            <w:pPr>
              <w:jc w:val="right"/>
              <w:ind w:right="184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60"/>
          </w:cols>
          <w:pgMar w:left="240" w:top="661" w:right="29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10.10†*</w:t>
            </w:r>
          </w:p>
        </w:tc>
        <w:tc>
          <w:tcPr>
            <w:tcW w:w="9860" w:type="dxa"/>
            <w:vAlign w:val="bottom"/>
            <w:tcBorders>
              <w:bottom w:val="single" w:sz="8" w:color="0000FF"/>
            </w:tcBorders>
            <w:gridSpan w:val="27"/>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Settlement Agreement and General Release, by and among Tekmira Pharmaceuticals Corporation, Protiva Biotherapeutics Inc., Alnylam</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Pharmaceuticals, Inc., and AlCana Technologies, Inc., dated November 12, 2012 (incorporated herein by reference to Exhibit 4.26 to the</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Registrant’s Annual Report on Form 20-F for the year ended December 31, 2012 filed with the SEC on March 27, 2013).</w:t>
              </w:r>
            </w:hyperlink>
          </w:p>
        </w:tc>
      </w:tr>
      <w:tr>
        <w:trPr>
          <w:trHeight w:val="20"/>
        </w:trPr>
        <w:tc>
          <w:tcPr>
            <w:tcW w:w="13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8900" w:type="dxa"/>
            <w:vAlign w:val="bottom"/>
            <w:tcBorders>
              <w:bottom w:val="single" w:sz="8" w:color="0000FF"/>
            </w:tcBorders>
            <w:gridSpan w:val="14"/>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Cross-License Agreement by and among Alnylam Pharmaceuticals, Inc., Tekmira Pharmaceuticals Corporation and Protiva</w:t>
              </w:r>
            </w:hyperlink>
          </w:p>
        </w:tc>
        <w:tc>
          <w:tcPr>
            <w:tcW w:w="1020" w:type="dxa"/>
            <w:vAlign w:val="bottom"/>
            <w:gridSpan w:val="1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68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Biotherapeutics Inc., dated November 12, 2012 (incorporated herein by reference to Exhibit 4.27 to the Registrant’s Annual Report on</w:t>
              </w:r>
            </w:hyperlink>
          </w:p>
        </w:tc>
        <w:tc>
          <w:tcPr>
            <w:tcW w:w="24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Form 20-F for the year ended December 31, 2012 filed with the SEC on March 27, 2013).</w:t>
              </w:r>
            </w:hyperlink>
          </w:p>
        </w:tc>
      </w:tr>
      <w:tr>
        <w:trPr>
          <w:trHeight w:val="20"/>
        </w:trPr>
        <w:tc>
          <w:tcPr>
            <w:tcW w:w="13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9700" w:type="dxa"/>
            <w:vAlign w:val="bottom"/>
            <w:tcBorders>
              <w:bottom w:val="single" w:sz="8" w:color="0000FF"/>
            </w:tcBorders>
            <w:gridSpan w:val="23"/>
          </w:tcPr>
          <w:p>
            <w:pPr>
              <w:spacing w:after="0"/>
              <w:rPr>
                <w:rFonts w:ascii="Arial" w:cs="Arial" w:eastAsia="Arial" w:hAnsi="Arial"/>
                <w:sz w:val="18"/>
                <w:szCs w:val="18"/>
                <w:color w:val="0000FF"/>
                <w:w w:val="92"/>
              </w:rPr>
            </w:pPr>
            <w:hyperlink r:id="rId11">
              <w:r>
                <w:rPr>
                  <w:rFonts w:ascii="Arial" w:cs="Arial" w:eastAsia="Arial" w:hAnsi="Arial"/>
                  <w:sz w:val="18"/>
                  <w:szCs w:val="18"/>
                  <w:color w:val="0000FF"/>
                  <w:w w:val="92"/>
                </w:rPr>
                <w:t>Forms of Lock-Up Agreement (incorporated herein by reference to Exhibit 2.1 to the Registrant’s Current Report on Form 8-K/A filed</w:t>
              </w:r>
            </w:hyperlink>
          </w:p>
        </w:tc>
        <w:tc>
          <w:tcPr>
            <w:tcW w:w="22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5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with the SEC on January 26, 2015).</w:t>
              </w:r>
            </w:hyperlink>
          </w:p>
        </w:tc>
        <w:tc>
          <w:tcPr>
            <w:tcW w:w="7340" w:type="dxa"/>
            <w:vAlign w:val="bottom"/>
            <w:gridSpan w:val="26"/>
          </w:tcPr>
          <w:p>
            <w:pPr>
              <w:spacing w:after="0"/>
              <w:rPr>
                <w:sz w:val="17"/>
                <w:szCs w:val="17"/>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9700" w:type="dxa"/>
            <w:vAlign w:val="bottom"/>
            <w:tcBorders>
              <w:bottom w:val="single" w:sz="8" w:color="0000FF"/>
            </w:tcBorders>
            <w:gridSpan w:val="23"/>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Form of Registration Rights Agreement (incorporated herein by reference to Exhibit 2.1 to the Registrant’s Current Report on Form 8-</w:t>
              </w:r>
            </w:hyperlink>
          </w:p>
        </w:tc>
        <w:tc>
          <w:tcPr>
            <w:tcW w:w="22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30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11">
              <w:r>
                <w:rPr>
                  <w:rFonts w:ascii="Arial" w:cs="Arial" w:eastAsia="Arial" w:hAnsi="Arial"/>
                  <w:sz w:val="18"/>
                  <w:szCs w:val="18"/>
                  <w:color w:val="0000FF"/>
                  <w:w w:val="92"/>
                </w:rPr>
                <w:t>K/A filed with the SEC on January 26, 2015).</w:t>
              </w:r>
            </w:hyperlink>
          </w:p>
        </w:tc>
        <w:tc>
          <w:tcPr>
            <w:tcW w:w="6620" w:type="dxa"/>
            <w:vAlign w:val="bottom"/>
            <w:gridSpan w:val="24"/>
          </w:tcPr>
          <w:p>
            <w:pPr>
              <w:spacing w:after="0"/>
              <w:rPr>
                <w:sz w:val="17"/>
                <w:szCs w:val="17"/>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9660" w:type="dxa"/>
            <w:vAlign w:val="bottom"/>
            <w:tcBorders>
              <w:bottom w:val="single" w:sz="8" w:color="0000FF"/>
            </w:tcBorders>
            <w:gridSpan w:val="21"/>
          </w:tcPr>
          <w:p>
            <w:pPr>
              <w:spacing w:after="0"/>
              <w:rPr>
                <w:rFonts w:ascii="Arial" w:cs="Arial" w:eastAsia="Arial" w:hAnsi="Arial"/>
                <w:sz w:val="18"/>
                <w:szCs w:val="18"/>
                <w:color w:val="0000FF"/>
                <w:w w:val="92"/>
              </w:rPr>
            </w:pPr>
            <w:hyperlink r:id="rId11">
              <w:r>
                <w:rPr>
                  <w:rFonts w:ascii="Arial" w:cs="Arial" w:eastAsia="Arial" w:hAnsi="Arial"/>
                  <w:sz w:val="18"/>
                  <w:szCs w:val="18"/>
                  <w:color w:val="0000FF"/>
                  <w:w w:val="92"/>
                </w:rPr>
                <w:t>Form of Standstill Agreement (incorporated herein by reference to Exhibit 2.1 to the Registrant’s Current Report on Form 8-K/A filed</w:t>
              </w:r>
            </w:hyperlink>
          </w:p>
        </w:tc>
        <w:tc>
          <w:tcPr>
            <w:tcW w:w="26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5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with the SEC on January 26, 2015).</w:t>
              </w:r>
            </w:hyperlink>
          </w:p>
        </w:tc>
        <w:tc>
          <w:tcPr>
            <w:tcW w:w="7340" w:type="dxa"/>
            <w:vAlign w:val="bottom"/>
            <w:gridSpan w:val="26"/>
          </w:tcPr>
          <w:p>
            <w:pPr>
              <w:spacing w:after="0"/>
              <w:rPr>
                <w:sz w:val="17"/>
                <w:szCs w:val="17"/>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9920" w:type="dxa"/>
            <w:vAlign w:val="bottom"/>
            <w:gridSpan w:val="30"/>
          </w:tcPr>
          <w:p>
            <w:pPr>
              <w:spacing w:after="0"/>
              <w:rPr>
                <w:rFonts w:ascii="Arial" w:cs="Arial" w:eastAsia="Arial" w:hAnsi="Arial"/>
                <w:sz w:val="18"/>
                <w:szCs w:val="18"/>
                <w:color w:val="0000FF"/>
                <w:w w:val="93"/>
              </w:rPr>
            </w:pPr>
            <w:hyperlink r:id="rId11">
              <w:r>
                <w:rPr>
                  <w:rFonts w:ascii="Arial" w:cs="Arial" w:eastAsia="Arial" w:hAnsi="Arial"/>
                  <w:sz w:val="18"/>
                  <w:szCs w:val="18"/>
                  <w:color w:val="0000FF"/>
                  <w:w w:val="93"/>
                </w:rPr>
                <w:t>Form of Representation Letter (incorporated herein by reference to Exhibit 2.1 to the Registrant’s Current Report on Form 8-K/A filed</w:t>
              </w:r>
            </w:hyperlink>
          </w:p>
        </w:tc>
      </w:tr>
      <w:tr>
        <w:trPr>
          <w:trHeight w:val="196"/>
        </w:trPr>
        <w:tc>
          <w:tcPr>
            <w:tcW w:w="1360" w:type="dxa"/>
            <w:vAlign w:val="bottom"/>
          </w:tcPr>
          <w:p>
            <w:pPr>
              <w:spacing w:after="0"/>
              <w:rPr>
                <w:sz w:val="17"/>
                <w:szCs w:val="17"/>
                <w:color w:val="auto"/>
              </w:rPr>
            </w:pPr>
          </w:p>
        </w:tc>
        <w:tc>
          <w:tcPr>
            <w:tcW w:w="968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with the SEC on January 26, 2015).</w:t>
              </w:r>
            </w:hyperlink>
          </w:p>
        </w:tc>
        <w:tc>
          <w:tcPr>
            <w:tcW w:w="240" w:type="dxa"/>
            <w:vAlign w:val="bottom"/>
            <w:gridSpan w:val="8"/>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9580" w:type="dxa"/>
            <w:vAlign w:val="bottom"/>
            <w:tcBorders>
              <w:bottom w:val="single" w:sz="8" w:color="0000FF"/>
            </w:tcBorders>
            <w:gridSpan w:val="20"/>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Executive Employment Agreement Elizabeth Howard, dated March 7, 2016 (incorporated herein by reference to Exhibit 10.78 to the</w:t>
              </w:r>
            </w:hyperlink>
          </w:p>
        </w:tc>
        <w:tc>
          <w:tcPr>
            <w:tcW w:w="34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Registrant’s Annual Report on Form 10-K for the year ended December 31, 2015, filed with the SEC on March 9, 2016).</w:t>
              </w:r>
            </w:hyperlink>
          </w:p>
        </w:tc>
      </w:tr>
      <w:tr>
        <w:trPr>
          <w:trHeight w:val="20"/>
        </w:trPr>
        <w:tc>
          <w:tcPr>
            <w:tcW w:w="13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9300" w:type="dxa"/>
            <w:vAlign w:val="bottom"/>
            <w:tcBorders>
              <w:bottom w:val="single" w:sz="8" w:color="0000FF"/>
            </w:tcBorders>
            <w:gridSpan w:val="17"/>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Amending Agreement, dated as of November 2, 2015, among Arbutus Biopharma Corporation, Roivant Sciences Ltd., Patrick T.</w:t>
              </w:r>
            </w:hyperlink>
          </w:p>
        </w:tc>
        <w:tc>
          <w:tcPr>
            <w:tcW w:w="62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FF"/>
                <w:w w:val="99"/>
              </w:rPr>
            </w:pPr>
            <w:hyperlink r:id="rId26">
              <w:r>
                <w:rPr>
                  <w:rFonts w:ascii="Arial" w:cs="Arial" w:eastAsia="Arial" w:hAnsi="Arial"/>
                  <w:sz w:val="18"/>
                  <w:szCs w:val="18"/>
                  <w:color w:val="0000FF"/>
                  <w:w w:val="99"/>
                </w:rPr>
                <w:t>Higgins, Michael J. McElhaugh, Michael J. Sofia and Bryce A. Roberts (incorporated herein by reference to Exhibit 10.3 to the</w:t>
              </w:r>
            </w:hyperlink>
          </w:p>
        </w:tc>
      </w:tr>
      <w:tr>
        <w:trPr>
          <w:trHeight w:val="20"/>
        </w:trPr>
        <w:tc>
          <w:tcPr>
            <w:tcW w:w="13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Registrant’s Quarterly Report on Form 10-Q for the quarter ended September 30, 2015, filed with the SEC on November 5, 2015).</w:t>
              </w:r>
            </w:hyperlink>
          </w:p>
        </w:tc>
      </w:tr>
      <w:tr>
        <w:trPr>
          <w:trHeight w:val="20"/>
        </w:trPr>
        <w:tc>
          <w:tcPr>
            <w:tcW w:w="13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9920" w:type="dxa"/>
            <w:vAlign w:val="bottom"/>
            <w:tcBorders>
              <w:bottom w:val="single" w:sz="8" w:color="0000FF"/>
            </w:tcBorders>
            <w:gridSpan w:val="30"/>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Stock Purchase Agreement by and among OnCore Biopharma, Inc. and each of the stockholders of Enantigen Therapeutics, Inc., dated as</w:t>
              </w:r>
            </w:hyperlink>
          </w:p>
        </w:tc>
      </w:tr>
      <w:tr>
        <w:trPr>
          <w:trHeight w:val="196"/>
        </w:trPr>
        <w:tc>
          <w:tcPr>
            <w:tcW w:w="136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FF"/>
                <w:w w:val="93"/>
              </w:rPr>
            </w:pPr>
            <w:hyperlink r:id="rId27">
              <w:r>
                <w:rPr>
                  <w:rFonts w:ascii="Arial" w:cs="Arial" w:eastAsia="Arial" w:hAnsi="Arial"/>
                  <w:sz w:val="18"/>
                  <w:szCs w:val="18"/>
                  <w:color w:val="0000FF"/>
                  <w:w w:val="93"/>
                </w:rPr>
                <w:t>of October 1, 2014 (incorporated herein by reference to Exhibit 10.1 to the Registrant’s Quarterly Report on Form 10-Q for the quarter</w:t>
              </w:r>
            </w:hyperlink>
          </w:p>
        </w:tc>
      </w:tr>
      <w:tr>
        <w:trPr>
          <w:trHeight w:val="196"/>
        </w:trPr>
        <w:tc>
          <w:tcPr>
            <w:tcW w:w="1360" w:type="dxa"/>
            <w:vAlign w:val="bottom"/>
          </w:tcPr>
          <w:p>
            <w:pPr>
              <w:spacing w:after="0"/>
              <w:rPr>
                <w:sz w:val="17"/>
                <w:szCs w:val="17"/>
                <w:color w:val="auto"/>
              </w:rPr>
            </w:pPr>
          </w:p>
        </w:tc>
        <w:tc>
          <w:tcPr>
            <w:tcW w:w="43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ended March 31, 2015, filed with the SEC on May 6, 2015).</w:t>
              </w:r>
            </w:hyperlink>
          </w:p>
        </w:tc>
        <w:tc>
          <w:tcPr>
            <w:tcW w:w="5360" w:type="dxa"/>
            <w:vAlign w:val="bottom"/>
            <w:tcBorders>
              <w:top w:val="single" w:sz="8" w:color="0000FF"/>
            </w:tcBorders>
            <w:gridSpan w:val="15"/>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9180" w:type="dxa"/>
            <w:vAlign w:val="bottom"/>
            <w:tcBorders>
              <w:bottom w:val="single" w:sz="8" w:color="0000FF"/>
            </w:tcBorders>
            <w:gridSpan w:val="15"/>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Executive Employment Agreement, dated effective as of July 11, 2015, between OnCore Biopharma, Inc. and Michael J. Sofia</w:t>
              </w:r>
            </w:hyperlink>
          </w:p>
        </w:tc>
        <w:tc>
          <w:tcPr>
            <w:tcW w:w="740" w:type="dxa"/>
            <w:vAlign w:val="bottom"/>
            <w:gridSpan w:val="1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0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(incorporated herein by reference to Exhibit 10.8 to the Registrant’s Quarterly Report on Form 10-Q for the quarter ended June 30, 2015,</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82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filed with the SEC on August 7, 2015).</w:t>
              </w:r>
            </w:hyperlink>
          </w:p>
        </w:tc>
        <w:tc>
          <w:tcPr>
            <w:tcW w:w="7100" w:type="dxa"/>
            <w:vAlign w:val="bottom"/>
            <w:gridSpan w:val="25"/>
          </w:tcPr>
          <w:p>
            <w:pPr>
              <w:spacing w:after="0"/>
              <w:rPr>
                <w:sz w:val="17"/>
                <w:szCs w:val="17"/>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10.20*</w:t>
            </w:r>
          </w:p>
        </w:tc>
        <w:tc>
          <w:tcPr>
            <w:tcW w:w="9900" w:type="dxa"/>
            <w:vAlign w:val="bottom"/>
            <w:tcBorders>
              <w:bottom w:val="single" w:sz="8" w:color="0000FF"/>
            </w:tcBorders>
            <w:gridSpan w:val="29"/>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Amended 2011 Omnibus Share Compensation Plan (incorporated herein by reference to Exhibit 10.1 to the Registrant’s Quarterly Report</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54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on Form 10-Q for the quarter ended June 30, 2016, filed with the SEC on August 4, 2016).</w:t>
              </w:r>
            </w:hyperlink>
          </w:p>
        </w:tc>
        <w:tc>
          <w:tcPr>
            <w:tcW w:w="3380" w:type="dxa"/>
            <w:vAlign w:val="bottom"/>
            <w:gridSpan w:val="19"/>
          </w:tcPr>
          <w:p>
            <w:pPr>
              <w:spacing w:after="0"/>
              <w:rPr>
                <w:sz w:val="17"/>
                <w:szCs w:val="17"/>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9760" w:type="dxa"/>
            <w:vAlign w:val="bottom"/>
            <w:tcBorders>
              <w:bottom w:val="single" w:sz="8" w:color="0000FF"/>
            </w:tcBorders>
            <w:gridSpan w:val="25"/>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2016 Omnibus Share and Incentive Plan (incorporated herein by reference to Exhibit 10.2 to the Registrant’s Quarterly Report on Form</w:t>
              </w:r>
            </w:hyperlink>
          </w:p>
        </w:tc>
        <w:tc>
          <w:tcPr>
            <w:tcW w:w="16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10-Q for the quarter ended June 30, 2016, filed with the SEC on August 4, 2016).</w:t>
              </w:r>
            </w:hyperlink>
          </w:p>
        </w:tc>
        <w:tc>
          <w:tcPr>
            <w:tcW w:w="4040" w:type="dxa"/>
            <w:vAlign w:val="bottom"/>
            <w:gridSpan w:val="21"/>
          </w:tcPr>
          <w:p>
            <w:pPr>
              <w:spacing w:after="0"/>
              <w:rPr>
                <w:sz w:val="17"/>
                <w:szCs w:val="17"/>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10.22*†</w:t>
            </w:r>
          </w:p>
        </w:tc>
        <w:tc>
          <w:tcPr>
            <w:tcW w:w="9560" w:type="dxa"/>
            <w:vAlign w:val="bottom"/>
            <w:tcBorders>
              <w:bottom w:val="single" w:sz="8" w:color="0000FF"/>
            </w:tcBorders>
            <w:gridSpan w:val="19"/>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Lease Agreement between the Company and ARE-PA Region No. 7, LLC dated August 9, 2016 (incorporated herein by reference to</w:t>
              </w:r>
            </w:hyperlink>
          </w:p>
        </w:tc>
        <w:tc>
          <w:tcPr>
            <w:tcW w:w="36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2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Exhibit 10.1 to the Registrant’s Quarterly Report on Form 10-Q for the quarter ended September 30, 2016, filed with the SEC on</w:t>
              </w:r>
            </w:hyperlink>
          </w:p>
        </w:tc>
        <w:tc>
          <w:tcPr>
            <w:tcW w:w="64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November 3, 2016).</w:t>
              </w:r>
            </w:hyperlink>
          </w:p>
        </w:tc>
      </w:tr>
      <w:tr>
        <w:trPr>
          <w:trHeight w:val="20"/>
        </w:trPr>
        <w:tc>
          <w:tcPr>
            <w:tcW w:w="13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10.23*†</w:t>
            </w:r>
          </w:p>
        </w:tc>
        <w:tc>
          <w:tcPr>
            <w:tcW w:w="9920" w:type="dxa"/>
            <w:vAlign w:val="bottom"/>
            <w:gridSpan w:val="30"/>
          </w:tcPr>
          <w:p>
            <w:pPr>
              <w:spacing w:after="0"/>
              <w:rPr>
                <w:rFonts w:ascii="Arial" w:cs="Arial" w:eastAsia="Arial" w:hAnsi="Arial"/>
                <w:sz w:val="18"/>
                <w:szCs w:val="18"/>
                <w:color w:val="0000FF"/>
                <w:w w:val="97"/>
              </w:rPr>
            </w:pPr>
            <w:hyperlink r:id="rId32">
              <w:r>
                <w:rPr>
                  <w:rFonts w:ascii="Arial" w:cs="Arial" w:eastAsia="Arial" w:hAnsi="Arial"/>
                  <w:sz w:val="18"/>
                  <w:szCs w:val="18"/>
                  <w:color w:val="0000FF"/>
                  <w:w w:val="97"/>
                </w:rPr>
                <w:t>First Amendment to Lease Agreement between Arbutus Biopharma, Inc. and ARE-PA Region No. 7, LLC dated October 7, 2016</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4240" w:type="dxa"/>
            <w:vAlign w:val="bottom"/>
            <w:gridSpan w:val="5"/>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(incorporated herein by reference to Exhibit 10.2 to the Registrant’s Quarterly Report on Form 10-Q for the quarter ended September 30,</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2016, filed with the SEC on November 3, 2016).</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200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10.24*</w:t>
            </w:r>
          </w:p>
        </w:tc>
        <w:tc>
          <w:tcPr>
            <w:tcW w:w="9860" w:type="dxa"/>
            <w:vAlign w:val="bottom"/>
            <w:tcBorders>
              <w:bottom w:val="single" w:sz="8" w:color="0000FF"/>
            </w:tcBorders>
            <w:gridSpan w:val="27"/>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Acknowledgment of Commencement Date in connection with Lease Agreement between the Company and ARE-PA Region No. 7, LLC</w:t>
              </w:r>
            </w:hyperlink>
          </w:p>
        </w:tc>
        <w:tc>
          <w:tcPr>
            <w:tcW w:w="6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dated August 9, 2016 and as amended on October, 7, 2016 (incorporated herein by reference to Exhibit 10.3 to the Registrant’s Quarterly</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Report on Form 10-Q for the quarter ended September 30, 2016, filed with the SEC on November 3, 2016).</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6200" w:type="dxa"/>
            <w:vAlign w:val="bottom"/>
            <w:gridSpan w:val="10"/>
            <w:shd w:val="clear" w:color="auto" w:fill="0000FF"/>
          </w:tcPr>
          <w:p>
            <w:pPr>
              <w:spacing w:after="0" w:line="20" w:lineRule="exact"/>
              <w:rPr>
                <w:sz w:val="1"/>
                <w:szCs w:val="1"/>
                <w:color w:val="auto"/>
              </w:rPr>
            </w:pPr>
          </w:p>
        </w:tc>
        <w:tc>
          <w:tcPr>
            <w:tcW w:w="200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10.25*</w:t>
            </w:r>
          </w:p>
        </w:tc>
        <w:tc>
          <w:tcPr>
            <w:tcW w:w="9920" w:type="dxa"/>
            <w:vAlign w:val="bottom"/>
            <w:gridSpan w:val="30"/>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Subscription Agreement and Related Documents between the Company and Roivant Sciences Ltd. (incorporated herein by reference to</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200" w:type="dxa"/>
            <w:vAlign w:val="bottom"/>
            <w:gridSpan w:val="2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6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Exhibit A to the Registrant’s Preliminary Proxy Soliciting Materials on Schedule Pre 14A for the Special Meeting, filed with the SEC on</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5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November 21, 2017).</w:t>
              </w:r>
            </w:hyperlink>
          </w:p>
        </w:tc>
        <w:tc>
          <w:tcPr>
            <w:tcW w:w="8380" w:type="dxa"/>
            <w:vAlign w:val="bottom"/>
            <w:gridSpan w:val="28"/>
          </w:tcPr>
          <w:p>
            <w:pPr>
              <w:spacing w:after="0"/>
              <w:rPr>
                <w:sz w:val="17"/>
                <w:szCs w:val="17"/>
                <w:color w:val="auto"/>
              </w:rPr>
            </w:pPr>
          </w:p>
        </w:tc>
      </w:tr>
      <w:tr>
        <w:trPr>
          <w:trHeight w:val="655"/>
        </w:trPr>
        <w:tc>
          <w:tcPr>
            <w:tcW w:w="1360" w:type="dxa"/>
            <w:vAlign w:val="bottom"/>
          </w:tcPr>
          <w:p>
            <w:pPr>
              <w:spacing w:after="0"/>
              <w:rPr>
                <w:sz w:val="24"/>
                <w:szCs w:val="24"/>
                <w:color w:val="auto"/>
              </w:rPr>
            </w:pPr>
          </w:p>
        </w:tc>
        <w:tc>
          <w:tcPr>
            <w:tcW w:w="5880" w:type="dxa"/>
            <w:vAlign w:val="bottom"/>
            <w:gridSpan w:val="9"/>
          </w:tcPr>
          <w:p>
            <w:pPr>
              <w:ind w:left="4220"/>
              <w:spacing w:after="0"/>
              <w:rPr>
                <w:sz w:val="20"/>
                <w:szCs w:val="20"/>
                <w:color w:val="auto"/>
              </w:rPr>
            </w:pPr>
            <w:r>
              <w:rPr>
                <w:rFonts w:ascii="Arial" w:cs="Arial" w:eastAsia="Arial" w:hAnsi="Arial"/>
                <w:sz w:val="18"/>
                <w:szCs w:val="18"/>
                <w:color w:val="auto"/>
              </w:rPr>
              <w:t>98</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80"/>
          </w:cols>
          <w:pgMar w:left="280" w:top="810"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10.26*</w:t>
            </w:r>
          </w:p>
        </w:tc>
        <w:tc>
          <w:tcPr>
            <w:tcW w:w="9900" w:type="dxa"/>
            <w:vAlign w:val="bottom"/>
            <w:gridSpan w:val="28"/>
          </w:tcPr>
          <w:p>
            <w:pPr>
              <w:spacing w:after="0"/>
              <w:rPr>
                <w:rFonts w:ascii="Arial" w:cs="Arial" w:eastAsia="Arial" w:hAnsi="Arial"/>
                <w:sz w:val="18"/>
                <w:szCs w:val="18"/>
                <w:color w:val="0000FF"/>
                <w:w w:val="96"/>
              </w:rPr>
            </w:pPr>
            <w:hyperlink r:id="rId35">
              <w:r>
                <w:rPr>
                  <w:rFonts w:ascii="Arial" w:cs="Arial" w:eastAsia="Arial" w:hAnsi="Arial"/>
                  <w:sz w:val="18"/>
                  <w:szCs w:val="18"/>
                  <w:color w:val="0000FF"/>
                  <w:w w:val="96"/>
                </w:rPr>
                <w:t>Governance Amendments between the Company and Roivant Sciences Ltd. (incorporated herein by reference to Exhibit B to the</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Registrant’s Preliminary Proxy Soliciting Materials on Schedule Pre 14A for the Special Meeting, filed with the SEC on November 21,</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5">
              <w:r>
                <w:rPr>
                  <w:rFonts w:ascii="Arial" w:cs="Arial" w:eastAsia="Arial" w:hAnsi="Arial"/>
                  <w:sz w:val="18"/>
                  <w:szCs w:val="18"/>
                  <w:color w:val="0000FF"/>
                  <w:w w:val="86"/>
                </w:rPr>
                <w:t>2017).</w:t>
              </w:r>
            </w:hyperlink>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10.27*</w:t>
            </w:r>
          </w:p>
        </w:tc>
        <w:tc>
          <w:tcPr>
            <w:tcW w:w="9900" w:type="dxa"/>
            <w:vAlign w:val="bottom"/>
            <w:tcBorders>
              <w:bottom w:val="single" w:sz="8" w:color="0000FF"/>
            </w:tcBorders>
            <w:gridSpan w:val="28"/>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Amended and Restated Lockup Agreement between the Company and Roivant Sciences Ltd. (incorporated herein by reference to Exhibit</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FF"/>
                <w:w w:val="98"/>
              </w:rPr>
            </w:pPr>
            <w:hyperlink r:id="rId36">
              <w:r>
                <w:rPr>
                  <w:rFonts w:ascii="Arial" w:cs="Arial" w:eastAsia="Arial" w:hAnsi="Arial"/>
                  <w:sz w:val="18"/>
                  <w:szCs w:val="18"/>
                  <w:color w:val="0000FF"/>
                  <w:w w:val="98"/>
                </w:rPr>
                <w:t>D to the Registrant’s Preliminary Proxy Soliciting Materials on Schedule Pre 14A for the Special Meeting, filed with the SEC on</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November 21, 2017).</w:t>
              </w:r>
            </w:hyperlink>
          </w:p>
        </w:tc>
        <w:tc>
          <w:tcPr>
            <w:tcW w:w="7740" w:type="dxa"/>
            <w:vAlign w:val="bottom"/>
            <w:tcBorders>
              <w:top w:val="single" w:sz="8" w:color="0000FF"/>
            </w:tcBorders>
            <w:gridSpan w:val="9"/>
          </w:tcPr>
          <w:p>
            <w:pPr>
              <w:spacing w:after="0"/>
              <w:rPr>
                <w:sz w:val="17"/>
                <w:szCs w:val="17"/>
                <w:color w:val="auto"/>
              </w:rPr>
            </w:pPr>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10.28*</w:t>
            </w:r>
          </w:p>
        </w:tc>
        <w:tc>
          <w:tcPr>
            <w:tcW w:w="9900" w:type="dxa"/>
            <w:vAlign w:val="bottom"/>
            <w:gridSpan w:val="28"/>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Amendment to Registration Rights Agreement between the Company and Roivant Sciences Ltd. (incorporated herein by reference to</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6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Exhibit E to the Registrant’s Preliminary Proxy Soliciting Materials on Schedule Pre 14A for the Special Meeting, filed with the SEC 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54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November 21, 2017).</w:t>
              </w:r>
            </w:hyperlink>
          </w:p>
        </w:tc>
        <w:tc>
          <w:tcPr>
            <w:tcW w:w="83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10.29*</w:t>
            </w:r>
          </w:p>
        </w:tc>
        <w:tc>
          <w:tcPr>
            <w:tcW w:w="9900" w:type="dxa"/>
            <w:vAlign w:val="bottom"/>
            <w:gridSpan w:val="28"/>
          </w:tcPr>
          <w:p>
            <w:pPr>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Amended and Restated Standstill Agreement between the Company and Roivant Sciences Ltd. (incorporated herein by reference to</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Exhibit F to the Registrant’s Preliminary Proxy Soliciting Materials on Schedule Pre 14A for the Special Meeting, filed with the SEC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54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November 21, 2017).</w:t>
              </w:r>
            </w:hyperlink>
          </w:p>
        </w:tc>
        <w:tc>
          <w:tcPr>
            <w:tcW w:w="83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10.30*#</w:t>
            </w:r>
          </w:p>
        </w:tc>
        <w:tc>
          <w:tcPr>
            <w:tcW w:w="9780" w:type="dxa"/>
            <w:vAlign w:val="bottom"/>
            <w:tcBorders>
              <w:bottom w:val="single" w:sz="8" w:color="0000FF"/>
            </w:tcBorders>
            <w:gridSpan w:val="23"/>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Preferred Share Article Amendment between the Company and Roivant Sciences Ltd. (incorporated herein by reference to Exhibit G to</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FF"/>
                <w:w w:val="93"/>
              </w:rPr>
            </w:pPr>
            <w:hyperlink r:id="rId39">
              <w:r>
                <w:rPr>
                  <w:rFonts w:ascii="Arial" w:cs="Arial" w:eastAsia="Arial" w:hAnsi="Arial"/>
                  <w:sz w:val="18"/>
                  <w:szCs w:val="18"/>
                  <w:color w:val="0000FF"/>
                  <w:w w:val="93"/>
                </w:rPr>
                <w:t>the Registrant’s Preliminary Proxy Soliciting Materials on Schedule Pre 14A for the Special Meeting, filed with the SEC on November</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7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21, 2017).</w:t>
              </w:r>
            </w:hyperlink>
          </w:p>
        </w:tc>
        <w:tc>
          <w:tcPr>
            <w:tcW w:w="6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10.31*</w:t>
            </w:r>
          </w:p>
        </w:tc>
        <w:tc>
          <w:tcPr>
            <w:tcW w:w="9460" w:type="dxa"/>
            <w:vAlign w:val="bottom"/>
            <w:tcBorders>
              <w:bottom w:val="single" w:sz="8" w:color="0000FF"/>
            </w:tcBorders>
            <w:gridSpan w:val="15"/>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Exclusivity Agreement, dated February 13, 2018, by and between the Company and Roivant Sciences Ltd. (incorporated herein by</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reference to Exhibit 7.09 of the Schedule 13D filed with the SEC by Roivant Sciences Ltd. on February 14, 2018).</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10.32*</w:t>
            </w:r>
          </w:p>
        </w:tc>
        <w:tc>
          <w:tcPr>
            <w:tcW w:w="9680" w:type="dxa"/>
            <w:vAlign w:val="bottom"/>
            <w:tcBorders>
              <w:bottom w:val="single" w:sz="8" w:color="0000FF"/>
            </w:tcBorders>
            <w:gridSpan w:val="18"/>
          </w:tcPr>
          <w:p>
            <w:pPr>
              <w:spacing w:after="0"/>
              <w:rPr>
                <w:rFonts w:ascii="Arial" w:cs="Arial" w:eastAsia="Arial" w:hAnsi="Arial"/>
                <w:sz w:val="18"/>
                <w:szCs w:val="18"/>
                <w:color w:val="0000FF"/>
                <w:w w:val="89"/>
              </w:rPr>
            </w:pPr>
            <w:hyperlink r:id="rId41">
              <w:r>
                <w:rPr>
                  <w:rFonts w:ascii="Arial" w:cs="Arial" w:eastAsia="Arial" w:hAnsi="Arial"/>
                  <w:sz w:val="18"/>
                  <w:szCs w:val="18"/>
                  <w:color w:val="0000FF"/>
                  <w:w w:val="89"/>
                </w:rPr>
                <w:t>Master Contribution And Share Subscription Agreement, by and between the Company, Genevant Sciences Ltd. and Roivant Sciences</w:t>
              </w:r>
            </w:hyperlink>
          </w:p>
        </w:tc>
        <w:tc>
          <w:tcPr>
            <w:tcW w:w="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LTD. (incorporated herein by reference Exhibit 10.1 to the Registrant's Quarterly Report on Form 10-Q for the Quarter ended March 31,</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2018 filed with the SEC on May 4, 2018).</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10.33*</w:t>
            </w:r>
          </w:p>
        </w:tc>
        <w:tc>
          <w:tcPr>
            <w:tcW w:w="9900" w:type="dxa"/>
            <w:vAlign w:val="bottom"/>
            <w:gridSpan w:val="28"/>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Open Market Sale AgreementSM, dated December 20, 2018, by and between the Company and Jefferies LLC. (incorporated herein by</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7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reference to Exhibit 1.1 of the Current Report on Form 8-K filed with the SEC on December 20, 2018).</w:t>
              </w:r>
            </w:hyperlink>
          </w:p>
        </w:tc>
        <w:tc>
          <w:tcPr>
            <w:tcW w:w="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10.34**</w:t>
            </w:r>
          </w:p>
        </w:tc>
        <w:tc>
          <w:tcPr>
            <w:tcW w:w="9800" w:type="dxa"/>
            <w:vAlign w:val="bottom"/>
            <w:tcBorders>
              <w:bottom w:val="single" w:sz="8" w:color="0000FF"/>
            </w:tcBorders>
            <w:gridSpan w:val="24"/>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Amendment No. 1 to the Open Market Sale AgreementSM, dated December 20, 2019, by and between the Company and Jefferies LLC.</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(incorporated herein by reference to Exhibit 1.3 to the Registrant’s Registration Statement on Form S-3 filed with the SEC on December</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20, 2019).</w:t>
              </w:r>
            </w:hyperlink>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10.35*#</w:t>
            </w:r>
          </w:p>
        </w:tc>
        <w:tc>
          <w:tcPr>
            <w:tcW w:w="9580" w:type="dxa"/>
            <w:vAlign w:val="bottom"/>
            <w:tcBorders>
              <w:bottom w:val="single" w:sz="8" w:color="0000FF"/>
            </w:tcBorders>
            <w:gridSpan w:val="17"/>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Executive Employment Agreement, dated June 11, 2018, by and between the Company and David Hastings. (incorporated herein by</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0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reference to Exhibit 10.52 of the Form 10-K filed with the SEC on March 7, 2019).</w:t>
              </w:r>
            </w:hyperlink>
          </w:p>
        </w:tc>
        <w:tc>
          <w:tcPr>
            <w:tcW w:w="39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10.36*#</w:t>
            </w:r>
          </w:p>
        </w:tc>
        <w:tc>
          <w:tcPr>
            <w:tcW w:w="9740" w:type="dxa"/>
            <w:vAlign w:val="bottom"/>
            <w:tcBorders>
              <w:bottom w:val="single" w:sz="8" w:color="0000FF"/>
            </w:tcBorders>
            <w:gridSpan w:val="21"/>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Executive Signing Bonus, dated May 28, 2018, by and between the Company and David Hastings. (incorporated herein by reference to</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50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Exhibit 10.53 of the Form10-K filed with the SEC on March 7, 2019).</w:t>
              </w:r>
            </w:hyperlink>
          </w:p>
        </w:tc>
        <w:tc>
          <w:tcPr>
            <w:tcW w:w="48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10.37*#</w:t>
            </w:r>
          </w:p>
        </w:tc>
        <w:tc>
          <w:tcPr>
            <w:tcW w:w="9860" w:type="dxa"/>
            <w:vAlign w:val="bottom"/>
            <w:tcBorders>
              <w:bottom w:val="single" w:sz="8" w:color="0000FF"/>
            </w:tcBorders>
            <w:gridSpan w:val="27"/>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Executive Employment Agreement, dated October 8, 2018, by and between the Company and Gaston Picchio (incorporated by reference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to Exhibit 10.1 to the Registrant’s Quarterly Report on Form 10-Q for the Quarter ended September 30, 2018, filed with the SEC on</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5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November 7, 2018).</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8"/>
                <w:szCs w:val="18"/>
                <w:color w:val="auto"/>
              </w:rPr>
              <w:t>10.38*</w:t>
            </w:r>
          </w:p>
        </w:tc>
        <w:tc>
          <w:tcPr>
            <w:tcW w:w="144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vMerge w:val="continue"/>
          </w:tcPr>
          <w:p>
            <w:pPr>
              <w:spacing w:after="0"/>
              <w:rPr>
                <w:sz w:val="24"/>
                <w:szCs w:val="24"/>
                <w:color w:val="auto"/>
              </w:rPr>
            </w:pPr>
          </w:p>
        </w:tc>
        <w:tc>
          <w:tcPr>
            <w:tcW w:w="9760" w:type="dxa"/>
            <w:vAlign w:val="bottom"/>
            <w:tcBorders>
              <w:bottom w:val="single" w:sz="8" w:color="0000FF"/>
            </w:tcBorders>
            <w:gridSpan w:val="22"/>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Separation Agreement and Release, dated June 13, 2019, by and the Company and Mark J. Murray (incorporated herein by reference to</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71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Exhibit 10.1 to the Registrant’s Current Report on Form 8-K filed with the SEC on June 18, 2019).</w:t>
              </w:r>
            </w:hyperlink>
          </w:p>
        </w:tc>
        <w:tc>
          <w:tcPr>
            <w:tcW w:w="27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360" w:type="dxa"/>
            <w:vAlign w:val="bottom"/>
          </w:tcPr>
          <w:p>
            <w:pPr>
              <w:spacing w:after="0"/>
              <w:rPr>
                <w:sz w:val="20"/>
                <w:szCs w:val="20"/>
                <w:color w:val="auto"/>
              </w:rPr>
            </w:pPr>
            <w:r>
              <w:rPr>
                <w:rFonts w:ascii="Arial" w:cs="Arial" w:eastAsia="Arial" w:hAnsi="Arial"/>
                <w:sz w:val="18"/>
                <w:szCs w:val="18"/>
                <w:color w:val="auto"/>
              </w:rPr>
              <w:t>10.39*#</w:t>
            </w:r>
          </w:p>
        </w:tc>
        <w:tc>
          <w:tcPr>
            <w:tcW w:w="9900" w:type="dxa"/>
            <w:vAlign w:val="bottom"/>
            <w:gridSpan w:val="28"/>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Employment Agreement, dated June 13, 2019, by and between the Company and William H. Collier (incorporated herein by reference to</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71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Exhibit 10.3 to the Registrant’s Current Report on Form 8-K filed with the SEC on June 18, 2019).</w:t>
              </w:r>
            </w:hyperlink>
          </w:p>
        </w:tc>
        <w:tc>
          <w:tcPr>
            <w:tcW w:w="2740" w:type="dxa"/>
            <w:vAlign w:val="bottom"/>
            <w:tcBorders>
              <w:top w:val="single" w:sz="8" w:color="0000FF"/>
            </w:tcBorders>
            <w:gridSpan w:val="1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10.40*</w:t>
            </w:r>
          </w:p>
        </w:tc>
        <w:tc>
          <w:tcPr>
            <w:tcW w:w="9900" w:type="dxa"/>
            <w:vAlign w:val="bottom"/>
            <w:gridSpan w:val="28"/>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Form of Indemnity Agreement (incorporated herein by reference to Exhibit 10.4 the Registrant’s Current Report on Form 8-K filed with</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8"/>
              </w:rPr>
            </w:pPr>
            <w:hyperlink r:id="rId49">
              <w:r>
                <w:rPr>
                  <w:rFonts w:ascii="Arial" w:cs="Arial" w:eastAsia="Arial" w:hAnsi="Arial"/>
                  <w:sz w:val="18"/>
                  <w:szCs w:val="18"/>
                  <w:color w:val="0000FF"/>
                  <w:w w:val="88"/>
                </w:rPr>
                <w:t>the SEC on June 18, 2019).</w:t>
              </w:r>
            </w:hyperlink>
          </w:p>
        </w:tc>
        <w:tc>
          <w:tcPr>
            <w:tcW w:w="7820" w:type="dxa"/>
            <w:vAlign w:val="bottom"/>
            <w:tcBorders>
              <w:top w:val="single" w:sz="8" w:color="0000FF"/>
            </w:tcBorders>
            <w:gridSpan w:val="18"/>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10.41*</w:t>
            </w:r>
          </w:p>
        </w:tc>
        <w:tc>
          <w:tcPr>
            <w:tcW w:w="9900" w:type="dxa"/>
            <w:vAlign w:val="bottom"/>
            <w:tcBorders>
              <w:bottom w:val="single" w:sz="8" w:color="0000FF"/>
            </w:tcBorders>
            <w:gridSpan w:val="28"/>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Executive Employment Agreement, dated July 10, 2015, by and between the Company and Michael McElhaugh, as amended by the First</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FF"/>
                <w:w w:val="97"/>
              </w:rPr>
            </w:pPr>
            <w:hyperlink r:id="rId50">
              <w:r>
                <w:rPr>
                  <w:rFonts w:ascii="Arial" w:cs="Arial" w:eastAsia="Arial" w:hAnsi="Arial"/>
                  <w:sz w:val="18"/>
                  <w:szCs w:val="18"/>
                  <w:color w:val="0000FF"/>
                  <w:w w:val="97"/>
                </w:rPr>
                <w:t>Amendment to Executive Employment Agreement, dated April 20, 2016, and the Second Amendment to Executive Employment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80" w:type="dxa"/>
            <w:vAlign w:val="bottom"/>
            <w:gridSpan w:val="9"/>
            <w:shd w:val="clear" w:color="auto" w:fill="0000FF"/>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28"/>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Agreement dated December 11, 2018 (incorporated herein by reference to Exhibit 10.5 to the Registrant’s Quarterly Report on Form 10-</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Q for the Quarter ended June 30, 2019, filed with the SEC on August 5, 2019).</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360" w:type="dxa"/>
            <w:vAlign w:val="bottom"/>
          </w:tcPr>
          <w:p>
            <w:pPr>
              <w:spacing w:after="0"/>
              <w:rPr>
                <w:sz w:val="24"/>
                <w:szCs w:val="24"/>
                <w:color w:val="auto"/>
              </w:rPr>
            </w:pPr>
          </w:p>
        </w:tc>
        <w:tc>
          <w:tcPr>
            <w:tcW w:w="5060" w:type="dxa"/>
            <w:vAlign w:val="bottom"/>
            <w:tcBorders>
              <w:top w:val="single" w:sz="8" w:color="0000FF"/>
            </w:tcBorders>
            <w:gridSpan w:val="8"/>
          </w:tcPr>
          <w:p>
            <w:pPr>
              <w:ind w:left="4220"/>
              <w:spacing w:after="0"/>
              <w:rPr>
                <w:sz w:val="20"/>
                <w:szCs w:val="20"/>
                <w:color w:val="auto"/>
              </w:rPr>
            </w:pPr>
            <w:r>
              <w:rPr>
                <w:rFonts w:ascii="Arial" w:cs="Arial" w:eastAsia="Arial" w:hAnsi="Arial"/>
                <w:sz w:val="18"/>
                <w:szCs w:val="18"/>
                <w:color w:val="auto"/>
              </w:rPr>
              <w:t>99</w:t>
            </w:r>
          </w:p>
        </w:tc>
        <w:tc>
          <w:tcPr>
            <w:tcW w:w="6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80" w:top="810" w:right="359" w:bottom="1440" w:gutter="0" w:footer="0" w:header="0"/>
        </w:sectPr>
      </w:pPr>
    </w:p>
    <w:bookmarkStart w:id="100" w:name="page101"/>
    <w:bookmarkEnd w:id="10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10.42*</w:t>
            </w:r>
          </w:p>
        </w:tc>
        <w:tc>
          <w:tcPr>
            <w:tcW w:w="9540" w:type="dxa"/>
            <w:vAlign w:val="bottom"/>
            <w:tcBorders>
              <w:bottom w:val="single" w:sz="8" w:color="0000FF"/>
            </w:tcBorders>
            <w:gridSpan w:val="15"/>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Purchase and Sale Agreement, dated July 2, 2019, by and between the Company and OCM IP Healthcare Portfolio LP (incorporated</w:t>
              </w:r>
            </w:hyperlink>
          </w:p>
        </w:tc>
        <w:tc>
          <w:tcPr>
            <w:tcW w:w="38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9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herein by reference to Exhibit 10.6 to the Registrant’s Quarterly Report on Form 10-Q for the Quarter ended June 30, 2019, filed with the</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SEC on August 5, 2019).</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10.43*</w:t>
            </w:r>
          </w:p>
        </w:tc>
        <w:tc>
          <w:tcPr>
            <w:tcW w:w="9100" w:type="dxa"/>
            <w:vAlign w:val="bottom"/>
            <w:tcBorders>
              <w:bottom w:val="single" w:sz="8" w:color="0000FF"/>
            </w:tcBorders>
            <w:gridSpan w:val="11"/>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Arbutus Biopharma Corporation 2016 Omnibus Share and Incentive Plan, as supplemented by the Committee on May 9, 2019</w:t>
              </w:r>
            </w:hyperlink>
          </w:p>
        </w:tc>
        <w:tc>
          <w:tcPr>
            <w:tcW w:w="820" w:type="dxa"/>
            <w:vAlign w:val="bottom"/>
            <w:gridSpan w:val="1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(incorporated herein by reference to Exhibit 10.7 to the Registrant’s Quarterly Report on Form 10-Q for the Quarter ended June 30, 2019,</w:t>
              </w:r>
            </w:hyperlink>
          </w:p>
        </w:tc>
      </w:tr>
      <w:tr>
        <w:trPr>
          <w:trHeight w:val="196"/>
        </w:trPr>
        <w:tc>
          <w:tcPr>
            <w:tcW w:w="136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filed with the SEC on August 5, 2019).</w:t>
              </w:r>
            </w:hyperlink>
          </w:p>
        </w:tc>
        <w:tc>
          <w:tcPr>
            <w:tcW w:w="708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10.44*</w:t>
            </w:r>
          </w:p>
        </w:tc>
        <w:tc>
          <w:tcPr>
            <w:tcW w:w="9920" w:type="dxa"/>
            <w:vAlign w:val="bottom"/>
            <w:gridSpan w:val="23"/>
          </w:tcPr>
          <w:p>
            <w:pPr>
              <w:spacing w:after="0"/>
              <w:rPr>
                <w:rFonts w:ascii="Arial" w:cs="Arial" w:eastAsia="Arial" w:hAnsi="Arial"/>
                <w:sz w:val="18"/>
                <w:szCs w:val="18"/>
                <w:color w:val="0000FF"/>
                <w:w w:val="97"/>
              </w:rPr>
            </w:pPr>
            <w:hyperlink r:id="rId53">
              <w:r>
                <w:rPr>
                  <w:rFonts w:ascii="Arial" w:cs="Arial" w:eastAsia="Arial" w:hAnsi="Arial"/>
                  <w:sz w:val="18"/>
                  <w:szCs w:val="18"/>
                  <w:color w:val="0000FF"/>
                  <w:w w:val="97"/>
                </w:rPr>
                <w:t>Form of Arbutus Biopharma Corporation Option Agreement (incorporated herein by reference to Exhibit 10.8 to the Registrant’s</w:t>
              </w:r>
            </w:hyperlink>
          </w:p>
        </w:tc>
      </w:tr>
      <w:tr>
        <w:trPr>
          <w:trHeight w:val="196"/>
        </w:trPr>
        <w:tc>
          <w:tcPr>
            <w:tcW w:w="1360" w:type="dxa"/>
            <w:vAlign w:val="bottom"/>
          </w:tcPr>
          <w:p>
            <w:pPr>
              <w:spacing w:after="0"/>
              <w:rPr>
                <w:sz w:val="17"/>
                <w:szCs w:val="17"/>
                <w:color w:val="auto"/>
              </w:rPr>
            </w:pPr>
          </w:p>
        </w:tc>
        <w:tc>
          <w:tcPr>
            <w:tcW w:w="92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Quarterly Report on Form 10-Q for the Quarter ended June 30, 2019, filed with the SEC on August 5, 2019).</w:t>
              </w:r>
            </w:hyperlink>
          </w:p>
        </w:tc>
        <w:tc>
          <w:tcPr>
            <w:tcW w:w="640" w:type="dxa"/>
            <w:vAlign w:val="bottom"/>
            <w:gridSpan w:val="10"/>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10.45*</w:t>
            </w:r>
          </w:p>
        </w:tc>
        <w:tc>
          <w:tcPr>
            <w:tcW w:w="9920" w:type="dxa"/>
            <w:vAlign w:val="bottom"/>
            <w:tcBorders>
              <w:bottom w:val="single" w:sz="8" w:color="0000FF"/>
            </w:tcBorders>
            <w:gridSpan w:val="23"/>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Option Agreement, dated June 24, by and between the Company and William H. Collier (incorporated herein by reference to Exhibit 10.9</w:t>
              </w:r>
            </w:hyperlink>
          </w:p>
        </w:tc>
      </w:tr>
      <w:tr>
        <w:trPr>
          <w:trHeight w:val="196"/>
        </w:trPr>
        <w:tc>
          <w:tcPr>
            <w:tcW w:w="1360" w:type="dxa"/>
            <w:vAlign w:val="bottom"/>
          </w:tcPr>
          <w:p>
            <w:pPr>
              <w:spacing w:after="0"/>
              <w:rPr>
                <w:sz w:val="17"/>
                <w:szCs w:val="17"/>
                <w:color w:val="auto"/>
              </w:rPr>
            </w:pPr>
          </w:p>
        </w:tc>
        <w:tc>
          <w:tcPr>
            <w:tcW w:w="92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to the Registrant’s Quarterly Report on Form 10-Q for the Quarter ended June 30, 2019, filed with the SEC on August 5, 2019).</w:t>
              </w:r>
            </w:hyperlink>
          </w:p>
        </w:tc>
        <w:tc>
          <w:tcPr>
            <w:tcW w:w="720" w:type="dxa"/>
            <w:vAlign w:val="bottom"/>
            <w:gridSpan w:val="11"/>
          </w:tcPr>
          <w:p>
            <w:pPr>
              <w:spacing w:after="0"/>
              <w:rPr>
                <w:sz w:val="17"/>
                <w:szCs w:val="17"/>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10.46*</w:t>
            </w:r>
          </w:p>
        </w:tc>
        <w:tc>
          <w:tcPr>
            <w:tcW w:w="9920" w:type="dxa"/>
            <w:vAlign w:val="bottom"/>
            <w:gridSpan w:val="23"/>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Form of Arbutus Biopharma Corporation Indemnity Agreement (incorporated herein by reference to Exhibit 10.1 to the Registrant’s</w:t>
              </w:r>
            </w:hyperlink>
          </w:p>
        </w:tc>
      </w:tr>
      <w:tr>
        <w:trPr>
          <w:trHeight w:val="196"/>
        </w:trPr>
        <w:tc>
          <w:tcPr>
            <w:tcW w:w="1360" w:type="dxa"/>
            <w:vAlign w:val="bottom"/>
          </w:tcPr>
          <w:p>
            <w:pPr>
              <w:spacing w:after="0"/>
              <w:rPr>
                <w:sz w:val="17"/>
                <w:szCs w:val="17"/>
                <w:color w:val="auto"/>
              </w:rPr>
            </w:pPr>
          </w:p>
        </w:tc>
        <w:tc>
          <w:tcPr>
            <w:tcW w:w="95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Quarterly Report on Form 10-Q for the Quarter ended September 30, 2019, filed with the SEC on November 6, 2019).</w:t>
              </w:r>
            </w:hyperlink>
          </w:p>
        </w:tc>
        <w:tc>
          <w:tcPr>
            <w:tcW w:w="400" w:type="dxa"/>
            <w:vAlign w:val="bottom"/>
            <w:gridSpan w:val="9"/>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10.47*</w:t>
            </w:r>
          </w:p>
        </w:tc>
        <w:tc>
          <w:tcPr>
            <w:tcW w:w="9920" w:type="dxa"/>
            <w:vAlign w:val="bottom"/>
            <w:tcBorders>
              <w:bottom w:val="single" w:sz="8" w:color="0000FF"/>
            </w:tcBorders>
            <w:gridSpan w:val="23"/>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Offer Letter, dated August 8, 2019, by and between the Company and Andrew Cheng (incorporated herein by reference to Exhibit 10.3 to</w:t>
              </w:r>
            </w:hyperlink>
          </w:p>
        </w:tc>
      </w:tr>
      <w:tr>
        <w:trPr>
          <w:trHeight w:val="196"/>
        </w:trPr>
        <w:tc>
          <w:tcPr>
            <w:tcW w:w="1360" w:type="dxa"/>
            <w:vAlign w:val="bottom"/>
          </w:tcPr>
          <w:p>
            <w:pPr>
              <w:spacing w:after="0"/>
              <w:rPr>
                <w:sz w:val="17"/>
                <w:szCs w:val="17"/>
                <w:color w:val="auto"/>
              </w:rPr>
            </w:pPr>
          </w:p>
        </w:tc>
        <w:tc>
          <w:tcPr>
            <w:tcW w:w="970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the Registrant’s Quarterly Report on Form 10-Q for the Quarter ended September 30, 2019, filed with the SEC on November 6, 2019).</w:t>
              </w:r>
            </w:hyperlink>
          </w:p>
        </w:tc>
        <w:tc>
          <w:tcPr>
            <w:tcW w:w="220" w:type="dxa"/>
            <w:vAlign w:val="bottom"/>
            <w:gridSpan w:val="5"/>
          </w:tcPr>
          <w:p>
            <w:pPr>
              <w:spacing w:after="0"/>
              <w:rPr>
                <w:sz w:val="17"/>
                <w:szCs w:val="17"/>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16.1*</w:t>
            </w:r>
          </w:p>
        </w:tc>
        <w:tc>
          <w:tcPr>
            <w:tcW w:w="9640" w:type="dxa"/>
            <w:vAlign w:val="bottom"/>
            <w:tcBorders>
              <w:bottom w:val="single" w:sz="8" w:color="0000FF"/>
            </w:tcBorders>
            <w:gridSpan w:val="16"/>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Letter from KPMG LLP, dated April 23, 2019. (incorporated herein by reference to Exhibit 16.1 to the Registrant’s Current Report on</w:t>
              </w:r>
            </w:hyperlink>
          </w:p>
        </w:tc>
        <w:tc>
          <w:tcPr>
            <w:tcW w:w="2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Form 8-K filed with the SEC on April 23, 2019.)</w:t>
              </w:r>
            </w:hyperlink>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3520" w:type="dxa"/>
            <w:vAlign w:val="bottom"/>
            <w:tcBorders>
              <w:top w:val="single" w:sz="8" w:color="0000FF"/>
            </w:tcBorders>
            <w:gridSpan w:val="5"/>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List of Subsidiaries.</w:t>
              </w:r>
            </w:hyperlink>
          </w:p>
        </w:tc>
        <w:tc>
          <w:tcPr>
            <w:tcW w:w="6400" w:type="dxa"/>
            <w:vAlign w:val="bottom"/>
            <w:gridSpan w:val="18"/>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55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08">
              <w:r>
                <w:rPr>
                  <w:rFonts w:ascii="Arial" w:cs="Arial" w:eastAsia="Arial" w:hAnsi="Arial"/>
                  <w:sz w:val="18"/>
                  <w:szCs w:val="18"/>
                  <w:color w:val="0000FF"/>
                  <w:w w:val="91"/>
                </w:rPr>
                <w:t>Consent of KPMG LLP, an Independent Registered Public Accounting Firm.</w:t>
              </w:r>
            </w:hyperlink>
          </w:p>
        </w:tc>
        <w:tc>
          <w:tcPr>
            <w:tcW w:w="4380" w:type="dxa"/>
            <w:vAlign w:val="bottom"/>
            <w:gridSpan w:val="16"/>
          </w:tcPr>
          <w:p>
            <w:pPr>
              <w:spacing w:after="0"/>
              <w:rPr>
                <w:sz w:val="24"/>
                <w:szCs w:val="24"/>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23.2**</w:t>
            </w:r>
          </w:p>
        </w:tc>
        <w:tc>
          <w:tcPr>
            <w:tcW w:w="62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09">
              <w:r>
                <w:rPr>
                  <w:rFonts w:ascii="Arial" w:cs="Arial" w:eastAsia="Arial" w:hAnsi="Arial"/>
                  <w:sz w:val="18"/>
                  <w:szCs w:val="18"/>
                  <w:color w:val="0000FF"/>
                  <w:w w:val="90"/>
                </w:rPr>
                <w:t>Consent of Ernst and Young LLP, an Independent Registered Public Accounting Firm.</w:t>
              </w:r>
            </w:hyperlink>
          </w:p>
        </w:tc>
        <w:tc>
          <w:tcPr>
            <w:tcW w:w="3700" w:type="dxa"/>
            <w:vAlign w:val="bottom"/>
            <w:gridSpan w:val="15"/>
          </w:tcPr>
          <w:p>
            <w:pPr>
              <w:spacing w:after="0"/>
              <w:rPr>
                <w:sz w:val="24"/>
                <w:szCs w:val="24"/>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FF"/>
            </w:tcBorders>
            <w:gridSpan w:val="21"/>
          </w:tcPr>
          <w:p>
            <w:pP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Certification of Chief Executive Officer pursuant to Rule 13a-14 or 15d-14 of the Securities Exchange Act of 1934, as adopted pursuant</w:t>
              </w:r>
            </w:hyperlink>
          </w:p>
        </w:tc>
        <w:tc>
          <w:tcPr>
            <w:tcW w:w="12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FF"/>
              </w:rPr>
            </w:pPr>
            <w:hyperlink w:anchor="page110">
              <w:r>
                <w:rPr>
                  <w:rFonts w:ascii="Arial" w:cs="Arial" w:eastAsia="Arial" w:hAnsi="Arial"/>
                  <w:sz w:val="18"/>
                  <w:szCs w:val="18"/>
                  <w:color w:val="0000FF"/>
                </w:rPr>
                <w:t>to Section 302 of the Sarbanes-Oxley Act of 2002.</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60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gridSpan w:val="23"/>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Certification of Chief Financial Officer pursuant to Rule 13a-14 or 15d-14 of the Securities Exchange Act of 1934, as adopted pursuant</w:t>
              </w:r>
            </w:hyperlink>
          </w:p>
        </w:tc>
      </w:tr>
      <w:tr>
        <w:trPr>
          <w:trHeight w:val="196"/>
        </w:trPr>
        <w:tc>
          <w:tcPr>
            <w:tcW w:w="1360" w:type="dxa"/>
            <w:vAlign w:val="bottom"/>
          </w:tcPr>
          <w:p>
            <w:pPr>
              <w:spacing w:after="0"/>
              <w:rPr>
                <w:sz w:val="17"/>
                <w:szCs w:val="17"/>
                <w:color w:val="auto"/>
              </w:rPr>
            </w:pPr>
          </w:p>
        </w:tc>
        <w:tc>
          <w:tcPr>
            <w:tcW w:w="97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to Section 302 of the Sarbanes-Oxley Act of 2002.</w:t>
              </w:r>
            </w:hyperlink>
          </w:p>
        </w:tc>
        <w:tc>
          <w:tcPr>
            <w:tcW w:w="180" w:type="dxa"/>
            <w:vAlign w:val="bottom"/>
            <w:gridSpan w:val="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60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9920" w:type="dxa"/>
            <w:vAlign w:val="bottom"/>
            <w:gridSpan w:val="23"/>
          </w:tcPr>
          <w:p>
            <w:pPr>
              <w:spacing w:after="0"/>
              <w:rPr>
                <w:rFonts w:ascii="Arial" w:cs="Arial" w:eastAsia="Arial" w:hAnsi="Arial"/>
                <w:sz w:val="18"/>
                <w:szCs w:val="18"/>
                <w:color w:val="0000FF"/>
                <w:w w:val="92"/>
              </w:rPr>
            </w:pPr>
            <w:hyperlink w:anchor="page112">
              <w:r>
                <w:rPr>
                  <w:rFonts w:ascii="Arial" w:cs="Arial" w:eastAsia="Arial" w:hAnsi="Arial"/>
                  <w:sz w:val="18"/>
                  <w:szCs w:val="18"/>
                  <w:color w:val="0000FF"/>
                  <w:w w:val="92"/>
                </w:rPr>
                <w:t>Certification of Chief Executive Officer pursuant to 18 U.S.C. Section 1350, as adopted pursuant to Section 906 of the Sarbanes-Oxley</w:t>
              </w:r>
            </w:hyperlink>
          </w:p>
        </w:tc>
      </w:tr>
      <w:tr>
        <w:trPr>
          <w:trHeight w:val="196"/>
        </w:trPr>
        <w:tc>
          <w:tcPr>
            <w:tcW w:w="1360" w:type="dxa"/>
            <w:vAlign w:val="bottom"/>
          </w:tcPr>
          <w:p>
            <w:pPr>
              <w:spacing w:after="0"/>
              <w:rPr>
                <w:sz w:val="17"/>
                <w:szCs w:val="17"/>
                <w:color w:val="auto"/>
              </w:rPr>
            </w:pPr>
          </w:p>
        </w:tc>
        <w:tc>
          <w:tcPr>
            <w:tcW w:w="97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112">
              <w:r>
                <w:rPr>
                  <w:rFonts w:ascii="Arial" w:cs="Arial" w:eastAsia="Arial" w:hAnsi="Arial"/>
                  <w:sz w:val="18"/>
                  <w:szCs w:val="18"/>
                  <w:color w:val="0000FF"/>
                </w:rPr>
                <w:t>Act of 2002.</w:t>
              </w:r>
            </w:hyperlink>
          </w:p>
        </w:tc>
        <w:tc>
          <w:tcPr>
            <w:tcW w:w="200" w:type="dxa"/>
            <w:vAlign w:val="bottom"/>
            <w:gridSpan w:val="4"/>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780" w:type="dxa"/>
            <w:vAlign w:val="bottom"/>
            <w:gridSpan w:val="16"/>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72"/>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968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13">
              <w:r>
                <w:rPr>
                  <w:rFonts w:ascii="Arial" w:cs="Arial" w:eastAsia="Arial" w:hAnsi="Arial"/>
                  <w:sz w:val="18"/>
                  <w:szCs w:val="18"/>
                  <w:color w:val="0000FF"/>
                  <w:w w:val="90"/>
                </w:rPr>
                <w:t>Certification of Chief Financial Officer pursuant to 18 U.S.C. Section 1350, as adopted pursuant to Section 906 of the Sarbanes-Oxley</w:t>
              </w:r>
            </w:hyperlink>
          </w:p>
        </w:tc>
        <w:tc>
          <w:tcPr>
            <w:tcW w:w="24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20" w:type="dxa"/>
            <w:vAlign w:val="bottom"/>
            <w:gridSpan w:val="23"/>
          </w:tcPr>
          <w:p>
            <w:pPr>
              <w:spacing w:after="0" w:line="196" w:lineRule="exact"/>
              <w:rPr>
                <w:rFonts w:ascii="Arial" w:cs="Arial" w:eastAsia="Arial" w:hAnsi="Arial"/>
                <w:sz w:val="18"/>
                <w:szCs w:val="18"/>
                <w:color w:val="0000FF"/>
              </w:rPr>
            </w:pPr>
            <w:hyperlink w:anchor="page113">
              <w:r>
                <w:rPr>
                  <w:rFonts w:ascii="Arial" w:cs="Arial" w:eastAsia="Arial" w:hAnsi="Arial"/>
                  <w:sz w:val="18"/>
                  <w:szCs w:val="18"/>
                  <w:color w:val="0000FF"/>
                </w:rPr>
                <w:t>Act of 2002.</w:t>
              </w:r>
            </w:hyperlink>
          </w:p>
        </w:tc>
      </w:tr>
      <w:tr>
        <w:trPr>
          <w:trHeight w:val="20"/>
        </w:trPr>
        <w:tc>
          <w:tcPr>
            <w:tcW w:w="1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20" w:type="dxa"/>
            <w:vAlign w:val="bottom"/>
            <w:gridSpan w:val="22"/>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269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71" w:lineRule="exact"/>
        <w:rPr>
          <w:sz w:val="20"/>
          <w:szCs w:val="20"/>
          <w:color w:val="auto"/>
        </w:rPr>
      </w:pPr>
    </w:p>
    <w:p>
      <w:pPr>
        <w:ind w:left="740" w:hanging="732"/>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63" w:lineRule="exact"/>
        <w:rPr>
          <w:sz w:val="20"/>
          <w:szCs w:val="20"/>
          <w:color w:val="auto"/>
        </w:rPr>
      </w:pPr>
    </w:p>
    <w:p>
      <w:pPr>
        <w:ind w:left="740" w:hanging="732"/>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Portions of this exhibit have been omitted in compliance with Item 601 of Regulation S-K.</w:t>
      </w:r>
    </w:p>
    <w:p>
      <w:pPr>
        <w:spacing w:after="0" w:line="63" w:lineRule="exact"/>
        <w:rPr>
          <w:sz w:val="20"/>
          <w:szCs w:val="20"/>
          <w:color w:val="auto"/>
        </w:rPr>
      </w:pPr>
    </w:p>
    <w:p>
      <w:pPr>
        <w:ind w:left="740" w:hanging="732"/>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 Contract</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20"/>
          </w:cols>
          <w:pgMar w:left="240" w:top="81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Index to Consolidated Financial Statements under Item 8 of Part 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0219"/>
          </w:cols>
          <w:pgMar w:left="240" w:top="878"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5, 2020.</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ARBUTUS BIOPHARMA CORPORATION</w:t>
      </w:r>
    </w:p>
    <w:p>
      <w:pPr>
        <w:spacing w:after="0" w:line="337" w:lineRule="exact"/>
        <w:rPr>
          <w:sz w:val="20"/>
          <w:szCs w:val="20"/>
          <w:color w:val="auto"/>
        </w:rPr>
      </w:pPr>
    </w:p>
    <w:p>
      <w:pPr>
        <w:ind w:left="56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73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William Collier</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5, 2020.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ind w:left="2340"/>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0"/>
                <w:szCs w:val="20"/>
                <w:color w:val="auto"/>
              </w:rPr>
            </w:pPr>
          </w:p>
        </w:tc>
        <w:tc>
          <w:tcPr>
            <w:tcW w:w="5800" w:type="dxa"/>
            <w:vAlign w:val="bottom"/>
          </w:tcPr>
          <w:p>
            <w:pPr>
              <w:ind w:left="1900"/>
              <w:spacing w:after="0"/>
              <w:rPr>
                <w:sz w:val="20"/>
                <w:szCs w:val="20"/>
                <w:color w:val="auto"/>
              </w:rPr>
            </w:pPr>
            <w:r>
              <w:rPr>
                <w:rFonts w:ascii="Arial" w:cs="Arial" w:eastAsia="Arial" w:hAnsi="Arial"/>
                <w:sz w:val="18"/>
                <w:szCs w:val="18"/>
                <w:b w:val="1"/>
                <w:bCs w:val="1"/>
                <w:color w:val="auto"/>
              </w:rPr>
              <w:t>Capacity in Which Signed</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480" w:type="dxa"/>
            <w:vAlign w:val="bottom"/>
          </w:tcPr>
          <w:p>
            <w:pPr>
              <w:ind w:left="40"/>
              <w:spacing w:after="0"/>
              <w:rPr>
                <w:sz w:val="20"/>
                <w:szCs w:val="20"/>
                <w:color w:val="auto"/>
              </w:rPr>
            </w:pPr>
            <w:r>
              <w:rPr>
                <w:rFonts w:ascii="Arial" w:cs="Arial" w:eastAsia="Arial" w:hAnsi="Arial"/>
                <w:sz w:val="18"/>
                <w:szCs w:val="18"/>
                <w:color w:val="auto"/>
              </w:rPr>
              <w:t>/s/ Frank Torti, M.D.</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 (Chairman)</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Dr. Frank Torti, M.D.</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80" w:type="dxa"/>
            <w:vAlign w:val="bottom"/>
          </w:tcPr>
          <w:p>
            <w:pPr>
              <w:ind w:left="40"/>
              <w:spacing w:after="0"/>
              <w:rPr>
                <w:sz w:val="20"/>
                <w:szCs w:val="20"/>
                <w:color w:val="auto"/>
              </w:rPr>
            </w:pPr>
            <w:r>
              <w:rPr>
                <w:rFonts w:ascii="Arial" w:cs="Arial" w:eastAsia="Arial" w:hAnsi="Arial"/>
                <w:sz w:val="18"/>
                <w:szCs w:val="18"/>
                <w:color w:val="auto"/>
              </w:rPr>
              <w:t>/s/ William Collier</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William Collier</w:t>
            </w:r>
          </w:p>
        </w:tc>
        <w:tc>
          <w:tcPr>
            <w:tcW w:w="120" w:type="dxa"/>
            <w:vAlign w:val="bottom"/>
          </w:tcPr>
          <w:p>
            <w:pPr>
              <w:spacing w:after="0"/>
              <w:rPr>
                <w:sz w:val="20"/>
                <w:szCs w:val="20"/>
                <w:color w:val="auto"/>
              </w:rPr>
            </w:pPr>
          </w:p>
        </w:tc>
        <w:tc>
          <w:tcPr>
            <w:tcW w:w="5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80" w:type="dxa"/>
            <w:vAlign w:val="bottom"/>
          </w:tcPr>
          <w:p>
            <w:pPr>
              <w:ind w:left="40"/>
              <w:spacing w:after="0"/>
              <w:rPr>
                <w:sz w:val="20"/>
                <w:szCs w:val="20"/>
                <w:color w:val="auto"/>
              </w:rPr>
            </w:pPr>
            <w:r>
              <w:rPr>
                <w:rFonts w:ascii="Arial" w:cs="Arial" w:eastAsia="Arial" w:hAnsi="Arial"/>
                <w:sz w:val="18"/>
                <w:szCs w:val="18"/>
                <w:color w:val="auto"/>
              </w:rPr>
              <w:t>/s/ David C. Hastings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David C. Hastings</w:t>
            </w:r>
          </w:p>
        </w:tc>
        <w:tc>
          <w:tcPr>
            <w:tcW w:w="120" w:type="dxa"/>
            <w:vAlign w:val="bottom"/>
          </w:tcPr>
          <w:p>
            <w:pPr>
              <w:spacing w:after="0"/>
              <w:rPr>
                <w:sz w:val="20"/>
                <w:szCs w:val="20"/>
                <w:color w:val="auto"/>
              </w:rPr>
            </w:pPr>
          </w:p>
        </w:tc>
        <w:tc>
          <w:tcPr>
            <w:tcW w:w="5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80" w:type="dxa"/>
            <w:vAlign w:val="bottom"/>
          </w:tcPr>
          <w:p>
            <w:pPr>
              <w:ind w:left="40"/>
              <w:spacing w:after="0"/>
              <w:rPr>
                <w:sz w:val="20"/>
                <w:szCs w:val="20"/>
                <w:color w:val="auto"/>
              </w:rPr>
            </w:pPr>
            <w:r>
              <w:rPr>
                <w:rFonts w:ascii="Arial" w:cs="Arial" w:eastAsia="Arial" w:hAnsi="Arial"/>
                <w:sz w:val="18"/>
                <w:szCs w:val="18"/>
                <w:color w:val="auto"/>
              </w:rPr>
              <w:t>/s/ Daniel Burgess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Daniel Burgess</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80" w:type="dxa"/>
            <w:vAlign w:val="bottom"/>
          </w:tcPr>
          <w:p>
            <w:pPr>
              <w:ind w:left="40"/>
              <w:spacing w:after="0"/>
              <w:rPr>
                <w:sz w:val="20"/>
                <w:szCs w:val="20"/>
                <w:color w:val="auto"/>
              </w:rPr>
            </w:pPr>
            <w:r>
              <w:rPr>
                <w:rFonts w:ascii="Arial" w:cs="Arial" w:eastAsia="Arial" w:hAnsi="Arial"/>
                <w:sz w:val="18"/>
                <w:szCs w:val="18"/>
                <w:color w:val="auto"/>
              </w:rPr>
              <w:t>/s/ Richard C. Henriques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Richard C. Henriques</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480" w:type="dxa"/>
            <w:vAlign w:val="bottom"/>
          </w:tcPr>
          <w:p>
            <w:pPr>
              <w:ind w:left="40"/>
              <w:spacing w:after="0"/>
              <w:rPr>
                <w:sz w:val="20"/>
                <w:szCs w:val="20"/>
                <w:color w:val="auto"/>
              </w:rPr>
            </w:pPr>
            <w:r>
              <w:rPr>
                <w:rFonts w:ascii="Arial" w:cs="Arial" w:eastAsia="Arial" w:hAnsi="Arial"/>
                <w:sz w:val="18"/>
                <w:szCs w:val="18"/>
                <w:color w:val="auto"/>
              </w:rPr>
              <w:t>/s/ Keith Manchester</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Keith Manchester</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80" w:type="dxa"/>
            <w:vAlign w:val="bottom"/>
          </w:tcPr>
          <w:p>
            <w:pPr>
              <w:ind w:left="40"/>
              <w:spacing w:after="0"/>
              <w:rPr>
                <w:sz w:val="20"/>
                <w:szCs w:val="20"/>
                <w:color w:val="auto"/>
              </w:rPr>
            </w:pPr>
            <w:r>
              <w:rPr>
                <w:rFonts w:ascii="Arial" w:cs="Arial" w:eastAsia="Arial" w:hAnsi="Arial"/>
                <w:sz w:val="18"/>
                <w:szCs w:val="18"/>
                <w:color w:val="auto"/>
              </w:rPr>
              <w:t>/s/ Eric Venker, M.D., PharmD</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Eric Venker, M.D., PharmD</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80" w:type="dxa"/>
            <w:vAlign w:val="bottom"/>
          </w:tcPr>
          <w:p>
            <w:pPr>
              <w:ind w:left="40"/>
              <w:spacing w:after="0"/>
              <w:rPr>
                <w:sz w:val="20"/>
                <w:szCs w:val="20"/>
                <w:color w:val="auto"/>
              </w:rPr>
            </w:pPr>
            <w:r>
              <w:rPr>
                <w:rFonts w:ascii="Arial" w:cs="Arial" w:eastAsia="Arial" w:hAnsi="Arial"/>
                <w:sz w:val="18"/>
                <w:szCs w:val="18"/>
                <w:color w:val="auto"/>
              </w:rPr>
              <w:t>/s/ James Meyers</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James Meyers</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80" w:type="dxa"/>
            <w:vAlign w:val="bottom"/>
          </w:tcPr>
          <w:p>
            <w:pPr>
              <w:ind w:left="40"/>
              <w:spacing w:after="0"/>
              <w:rPr>
                <w:sz w:val="20"/>
                <w:szCs w:val="20"/>
                <w:color w:val="auto"/>
              </w:rPr>
            </w:pPr>
            <w:r>
              <w:rPr>
                <w:rFonts w:ascii="Arial" w:cs="Arial" w:eastAsia="Arial" w:hAnsi="Arial"/>
                <w:sz w:val="18"/>
                <w:szCs w:val="18"/>
                <w:color w:val="auto"/>
              </w:rPr>
              <w:t>/s/ Andrew Cheng, M.D., Ph. D</w:t>
            </w:r>
          </w:p>
        </w:tc>
        <w:tc>
          <w:tcPr>
            <w:tcW w:w="12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Andrew Cheng, M.D., Ph. D</w:t>
            </w: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5480" w:type="dxa"/>
            <w:vAlign w:val="bottom"/>
          </w:tcPr>
          <w:p>
            <w:pPr>
              <w:spacing w:after="0"/>
              <w:rPr>
                <w:sz w:val="24"/>
                <w:szCs w:val="24"/>
                <w:color w:val="auto"/>
              </w:rPr>
            </w:pPr>
          </w:p>
        </w:tc>
        <w:tc>
          <w:tcPr>
            <w:tcW w:w="5920" w:type="dxa"/>
            <w:vAlign w:val="bottom"/>
            <w:gridSpan w:val="2"/>
          </w:tcPr>
          <w:p>
            <w:pPr>
              <w:jc w:val="right"/>
              <w:ind w:right="547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103" w:name="page104"/>
    <w:bookmarkEnd w:id="103"/>
    <w:p>
      <w:pPr>
        <w:ind w:left="10540"/>
        <w:spacing w:after="0"/>
        <w:rPr>
          <w:sz w:val="20"/>
          <w:szCs w:val="20"/>
          <w:color w:val="auto"/>
        </w:rPr>
      </w:pPr>
      <w:r>
        <w:rPr>
          <w:rFonts w:ascii="Arial" w:cs="Arial" w:eastAsia="Arial" w:hAnsi="Arial"/>
          <w:sz w:val="17"/>
          <w:szCs w:val="17"/>
          <w:b w:val="1"/>
          <w:bCs w:val="1"/>
          <w:color w:val="auto"/>
        </w:rPr>
        <w:t>Exhibit 4.2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0"/>
          <w:szCs w:val="20"/>
          <w:color w:val="auto"/>
        </w:rPr>
      </w:pPr>
    </w:p>
    <w:p>
      <w:pPr>
        <w:spacing w:after="0" w:line="2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As of the date of the Annual Report on Form 10-K of which this exhibit forms a part, the only class of securities of Arbutus Biopharma Corporation (“we,” “us” and “our”) registered under Section 12 of the Securities Exchange Act of 1934, as amended (the “Exchange Act”), is our common shares, without par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description of our capital stock summarizes provisions of our Notice of Articles and Articles, as amended, or our Articles, the Investment Canada Act (Canada), the Competition Act (Canada) and the Business Corporations Act (British Columbia). The following description does not purport to be complete and is subject to, and qualified in its entierty by, our Articles, which are incorporated by reference as exhibits to the Annual Report on Form 10-K of which this exhibit is a part, and to the applicable provisions of the Investment Canada Act, the Competition Act and the Business Corporations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Shares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share capital consists of (i) an unlimited number of common shares, without par value, (ii) an unlimited number of preferred shares, without par value, and (iii) 1,164,000 Series A Participating Convertible Preferred Shares. As of March 2, 2020 there were (a) 68,941,406 common shares outstanding and (b) 1,164,000 Series A Participating Convertible Preferred Shares outstanding. None of our common shares or preferred shares are held by us or on behalf of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holders of our common shares are entitled to receive notice of any meeting of our shareholders and to attend and vote thereat, except those meetings at which only the holders of shares of another class or of a particular series are entitled to vote. Each common share entitles its holder to one vote. There are no cumulative voting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rights of the holders of preferred shares, the holders of common shares are entitled to receive on a pro rata basis such dividends as our Board of Directors may declare out of funds legally available for payment of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the dissolution, liquidation, winding-up or other distribution of our assets, those holders are entitled to receive on a pro rata basis all of our assets remaining after payment of all of our liabilities, subject to the rights of holders of preferred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terms of our common shares do not include any preemptive, conversion or subscription rights, nor any redemption or sinking fund provisions. The common shares are not subject to future calls or assessments by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Participating Convertible Preferred Shares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2017, we entered into a subscription agreement with Roivant Sciences Ltd., or Roivant, for the sale of 1,164,000 Series A participating convertible preferred shares, or the Preferred Shares, for gross proceeds of $116.4 million. These Preferred Shares are non-voting and accrue an 8.75% per annum coupon in the form of additional Preferred Shares, compounded annually, until October 16, 2021, at which time all the Preferred Shares will be subject to mandatory conversion into common shares (subject to limited exceptions in the event of certain fundamental corporate transactions relating to our capital structure or assets, which would permit earlier conversion at Roivant’s option). The conversion price is $7.13 per share, which will result in the Preferred Shares being converted into approximately 23 million common shares. After conversion of the Preferred Shares into common shares, based on the number of common shares outstanding as of March 2, 2020, Roivant would hold approximately 42% of our common</w:t>
      </w:r>
    </w:p>
    <w:p>
      <w:pPr>
        <w:sectPr>
          <w:pgSz w:w="11900" w:h="16838" w:orient="portrait"/>
          <w:cols w:equalWidth="0" w:num="1">
            <w:col w:w="11420"/>
          </w:cols>
          <w:pgMar w:left="240" w:top="553" w:right="239" w:bottom="1440" w:gutter="0" w:footer="0" w:header="0"/>
        </w:sectPr>
      </w:pPr>
    </w:p>
    <w:bookmarkStart w:id="104" w:name="page105"/>
    <w:bookmarkEnd w:id="104"/>
    <w:p>
      <w:pPr>
        <w:jc w:val="both"/>
        <w:spacing w:after="0" w:line="312" w:lineRule="auto"/>
        <w:rPr>
          <w:sz w:val="20"/>
          <w:szCs w:val="20"/>
          <w:color w:val="auto"/>
        </w:rPr>
      </w:pPr>
      <w:r>
        <w:rPr>
          <w:rFonts w:ascii="Arial" w:cs="Arial" w:eastAsia="Arial" w:hAnsi="Arial"/>
          <w:sz w:val="16"/>
          <w:szCs w:val="16"/>
          <w:color w:val="auto"/>
        </w:rPr>
        <w:t>shares. Roivant agreed to a four year lock-up period for this investment and its existing holdings in us. Roivant also agreed to a four year standstill whereby Roivant will not acquire greater than 49.99% of our common shares or securities convertible into common shares. The initial investment of $50.0 million closed in October 2017, and the remaining amount of $66.4 million closed in January 2018 following regulatory and shareholder approvals.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11, 2015, we entered into an Agreement and Plan of Merger and Reorganization, or the Merger Agreement, with OnCore Biopharma, Inc., or OnCore, pursuant to which OnCore became our wholly-owned subsidiary. In connection with the Merger Agreement, we entered into a Registration Rights Agreement, or the Registration Rights Agreement, with certain of OnCore’s shareholders. On October 16, 2017, we entered into an Amending Agreement pursuant to which the common shares underlying the Preferred Shares purchased by Roivant were included as registrable securities under the Registration Rights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Registration Rights Agreement, certain holders of our common shares have registration rights. After registration of these common shares pursuant to these rights, these shares will become freely tradable without restriction under the Securities Act. The registration rights will terminate with respect to each shareholder on the date on which such shareholder ceases to beneficially own more than three percent of our common shares then outstanding, if such shares may be sold pursuant to Rule 144 of the Securities Act.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aggregate of approximately 42 million common shares are entitled to these registration rights, including approximately 23 million common shares issuable upon conversion of the Preferred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terms of the Amended and Restated Governance Agreement, dated October 16, 2017, between us and Roivant and Part 28 of our Articles, for so long as Roivant has "beneficial ownership" (as defined pursuant Rule 13d-3 under the Securities Exchange Act of 1934, as amended, or the Exchange Act), or Beneficial Ownership, or exercises control or direction over not less than:</w:t>
      </w:r>
    </w:p>
    <w:p>
      <w:pPr>
        <w:spacing w:after="0" w:line="181" w:lineRule="exact"/>
        <w:rPr>
          <w:sz w:val="20"/>
          <w:szCs w:val="20"/>
          <w:color w:val="auto"/>
        </w:rPr>
      </w:pPr>
    </w:p>
    <w:p>
      <w:pPr>
        <w:jc w:val="both"/>
        <w:ind w:left="66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thirty percent (30%) of our issued and outstanding common shares calculated on a partially diluted basis as of a particular date, Roivant has the right to nominate three (3) individuals for election to our Board of Directors at each shareholder meeting, one (1) of whom must satisfy the applicable independence standards;</w:t>
      </w:r>
    </w:p>
    <w:p>
      <w:pPr>
        <w:ind w:left="66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twenty percent (20%) of our issued and outstanding common shares calculated on a partially diluted basis as of a particular date, Roivant has the right to nominate two (2) individuals for election to our Board of Directors at each shareholder meeting; and</w:t>
      </w:r>
    </w:p>
    <w:p>
      <w:pPr>
        <w:ind w:left="660" w:hanging="328"/>
        <w:spacing w:after="0" w:line="261"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ten percent (10%) of our issued and outstanding common shares calculated on a partially diluted basis as of a particular date, Roivant has the right to nominate one (1) individual for election to our Board of Directors at each shareholder meeting.</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Upon Roivant having Beneficial Ownership or exercising control or direction over less than ten percent (10%) of our outstanding common shares calculated on a partially diluted basis as of a particular date, the nomination rights provided above will be of no further force and effect. The total number of common shares underlying the Preferred Shares beneficially owned by Roivant are included in the Beneficial Ownership calculations described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to Control due to Certain Provisions of Canadian and British Columbian Law and our Articles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such offer constitutes an exempt transaction, an offer made by a person, or an offeror, to acquire outstanding shares of a Canadian entity that, when aggregated with the offeror’s holdings (and those of persons or companies acting jointly with the offeror), would constitute 20% or more of the outstanding shares, would be subject to the take-over provisions of Canadian securities laws. The foregoing is a limited and general summary of certain aspects of applicable securities law in the provinces and territories of Canada, all in effect as of the date hereof.</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take-over bid requirements noted above, the acquisition of shares may trigger the application of additional statutory regimes including amongst others, the Investment Canada Act (Canada) and the Competition Act (Canada).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well, under the Business Corporations Act (British Columbia), unless otherwise stated in our Articles, certain corporate actions require the approval of a special majority of shareholders, meaning holders of shares representing 66 2/3% of those votes cast in respect of a shareholder vote addressing such matter. Those items requiring the approval of a special majority generally relate to</w:t>
      </w:r>
    </w:p>
    <w:p>
      <w:pPr>
        <w:sectPr>
          <w:pgSz w:w="11900" w:h="16838" w:orient="portrait"/>
          <w:cols w:equalWidth="0" w:num="1">
            <w:col w:w="11420"/>
          </w:cols>
          <w:pgMar w:left="240" w:top="611" w:right="239" w:bottom="1440" w:gutter="0" w:footer="0" w:header="0"/>
        </w:sectPr>
      </w:pPr>
    </w:p>
    <w:bookmarkStart w:id="105" w:name="page106"/>
    <w:bookmarkEnd w:id="105"/>
    <w:p>
      <w:pPr>
        <w:jc w:val="both"/>
        <w:spacing w:after="0" w:line="264" w:lineRule="auto"/>
        <w:rPr>
          <w:sz w:val="20"/>
          <w:szCs w:val="20"/>
          <w:color w:val="auto"/>
        </w:rPr>
      </w:pPr>
      <w:r>
        <w:rPr>
          <w:rFonts w:ascii="Arial" w:cs="Arial" w:eastAsia="Arial" w:hAnsi="Arial"/>
          <w:sz w:val="18"/>
          <w:szCs w:val="18"/>
          <w:color w:val="auto"/>
        </w:rPr>
        <w:t>fundamental changes with respect to our business, and include amongst others, resolutions: (i) removing a director prior to the expiry of his or her term; (ii) altering our Articles, (iii) approving an amalgamation; (iv) approving a plan of arrangement; and (v) providing for a sale of all or substantially all of our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Select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shares are listed on the Nasdaq Global Select Market under the symbol “ABUS.”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shares is AST Trust Company (Canada).</w:t>
      </w:r>
    </w:p>
    <w:p>
      <w:pPr>
        <w:sectPr>
          <w:pgSz w:w="11900" w:h="16838" w:orient="portrait"/>
          <w:cols w:equalWidth="0" w:num="1">
            <w:col w:w="11420"/>
          </w:cols>
          <w:pgMar w:left="240" w:top="557"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u w:val="single" w:color="auto"/>
          <w:color w:val="auto"/>
        </w:rPr>
        <w:t>Arbutus Biopharma Corporation</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u w:val="single" w:color="auto"/>
          <w:color w:val="auto"/>
        </w:rPr>
        <w:t>List of Subsidiaries</w:t>
      </w:r>
    </w:p>
    <w:p>
      <w:pPr>
        <w:spacing w:after="0" w:line="399" w:lineRule="exact"/>
        <w:rPr>
          <w:sz w:val="20"/>
          <w:szCs w:val="20"/>
          <w:color w:val="auto"/>
        </w:rPr>
      </w:pPr>
    </w:p>
    <w:tbl>
      <w:tblPr>
        <w:tblLayout w:type="fixed"/>
        <w:tblInd w:w="550" w:type="dxa"/>
        <w:tblCellMar>
          <w:top w:w="0" w:type="dxa"/>
          <w:left w:w="0" w:type="dxa"/>
          <w:bottom w:w="0" w:type="dxa"/>
          <w:right w:w="0" w:type="dxa"/>
        </w:tblCellMar>
      </w:tblPr>
      <w:tr>
        <w:trPr>
          <w:trHeight w:val="257"/>
        </w:trPr>
        <w:tc>
          <w:tcPr>
            <w:tcW w:w="4000" w:type="dxa"/>
            <w:vAlign w:val="bottom"/>
            <w:tcBorders>
              <w:top w:val="single" w:sz="8" w:color="00000A"/>
              <w:left w:val="single" w:sz="8" w:color="00000A"/>
              <w:right w:val="single" w:sz="8" w:color="00000A"/>
            </w:tcBorders>
          </w:tcPr>
          <w:p>
            <w:pPr>
              <w:ind w:left="1760"/>
              <w:spacing w:after="0"/>
              <w:rPr>
                <w:sz w:val="20"/>
                <w:szCs w:val="20"/>
                <w:color w:val="auto"/>
              </w:rPr>
            </w:pPr>
            <w:r>
              <w:rPr>
                <w:rFonts w:ascii="Arial" w:cs="Arial" w:eastAsia="Arial" w:hAnsi="Arial"/>
                <w:sz w:val="18"/>
                <w:szCs w:val="18"/>
                <w:b w:val="1"/>
                <w:bCs w:val="1"/>
                <w:color w:val="auto"/>
              </w:rPr>
              <w:t>Name</w:t>
            </w:r>
          </w:p>
        </w:tc>
        <w:tc>
          <w:tcPr>
            <w:tcW w:w="3980" w:type="dxa"/>
            <w:vAlign w:val="bottom"/>
            <w:tcBorders>
              <w:top w:val="single" w:sz="8" w:color="00000A"/>
              <w:right w:val="single" w:sz="8" w:color="00000A"/>
            </w:tcBorders>
          </w:tcPr>
          <w:p>
            <w:pPr>
              <w:ind w:left="15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4000" w:type="dxa"/>
            <w:vAlign w:val="bottom"/>
            <w:tcBorders>
              <w:left w:val="single" w:sz="8" w:color="00000A"/>
              <w:bottom w:val="single" w:sz="8" w:color="00000A"/>
              <w:right w:val="single" w:sz="8" w:color="00000A"/>
            </w:tcBorders>
          </w:tcPr>
          <w:p>
            <w:pPr>
              <w:spacing w:after="0"/>
              <w:rPr>
                <w:sz w:val="2"/>
                <w:szCs w:val="2"/>
                <w:color w:val="auto"/>
              </w:rPr>
            </w:pPr>
          </w:p>
        </w:tc>
        <w:tc>
          <w:tcPr>
            <w:tcW w:w="3980" w:type="dxa"/>
            <w:vAlign w:val="bottom"/>
            <w:tcBorders>
              <w:bottom w:val="single" w:sz="8" w:color="00000A"/>
              <w:right w:val="single" w:sz="8" w:color="00000A"/>
            </w:tcBorders>
          </w:tcPr>
          <w:p>
            <w:pPr>
              <w:spacing w:after="0"/>
              <w:rPr>
                <w:sz w:val="2"/>
                <w:szCs w:val="2"/>
                <w:color w:val="auto"/>
              </w:rPr>
            </w:pPr>
          </w:p>
        </w:tc>
      </w:tr>
      <w:tr>
        <w:trPr>
          <w:trHeight w:val="237"/>
        </w:trPr>
        <w:tc>
          <w:tcPr>
            <w:tcW w:w="4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Arbutus Biopharma Inc.</w:t>
            </w:r>
          </w:p>
        </w:tc>
        <w:tc>
          <w:tcPr>
            <w:tcW w:w="39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Delaware, United States of America</w:t>
            </w:r>
          </w:p>
        </w:tc>
      </w:tr>
      <w:tr>
        <w:trPr>
          <w:trHeight w:val="27"/>
        </w:trPr>
        <w:tc>
          <w:tcPr>
            <w:tcW w:w="4000" w:type="dxa"/>
            <w:vAlign w:val="bottom"/>
            <w:tcBorders>
              <w:left w:val="single" w:sz="8" w:color="00000A"/>
              <w:bottom w:val="single" w:sz="8" w:color="00000A"/>
              <w:right w:val="single" w:sz="8" w:color="00000A"/>
            </w:tcBorders>
          </w:tcPr>
          <w:p>
            <w:pPr>
              <w:spacing w:after="0"/>
              <w:rPr>
                <w:sz w:val="2"/>
                <w:szCs w:val="2"/>
                <w:color w:val="auto"/>
              </w:rPr>
            </w:pPr>
          </w:p>
        </w:tc>
        <w:tc>
          <w:tcPr>
            <w:tcW w:w="3980" w:type="dxa"/>
            <w:vAlign w:val="bottom"/>
            <w:tcBorders>
              <w:bottom w:val="single" w:sz="8" w:color="00000A"/>
              <w:right w:val="single" w:sz="8" w:color="00000A"/>
            </w:tcBorders>
          </w:tcPr>
          <w:p>
            <w:pPr>
              <w:spacing w:after="0"/>
              <w:rPr>
                <w:sz w:val="2"/>
                <w:szCs w:val="2"/>
                <w:color w:val="auto"/>
              </w:rPr>
            </w:pPr>
          </w:p>
        </w:tc>
      </w:tr>
      <w:tr>
        <w:trPr>
          <w:trHeight w:val="237"/>
        </w:trPr>
        <w:tc>
          <w:tcPr>
            <w:tcW w:w="4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Arbutus Biopharma US Holdings, Inc.</w:t>
            </w:r>
          </w:p>
        </w:tc>
        <w:tc>
          <w:tcPr>
            <w:tcW w:w="39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Delaware, United States of America</w:t>
            </w:r>
          </w:p>
        </w:tc>
      </w:tr>
      <w:tr>
        <w:trPr>
          <w:trHeight w:val="27"/>
        </w:trPr>
        <w:tc>
          <w:tcPr>
            <w:tcW w:w="4000" w:type="dxa"/>
            <w:vAlign w:val="bottom"/>
            <w:tcBorders>
              <w:left w:val="single" w:sz="8" w:color="00000A"/>
              <w:bottom w:val="single" w:sz="8" w:color="00000A"/>
              <w:right w:val="single" w:sz="8" w:color="00000A"/>
            </w:tcBorders>
          </w:tcPr>
          <w:p>
            <w:pPr>
              <w:spacing w:after="0"/>
              <w:rPr>
                <w:sz w:val="2"/>
                <w:szCs w:val="2"/>
                <w:color w:val="auto"/>
              </w:rPr>
            </w:pPr>
          </w:p>
        </w:tc>
        <w:tc>
          <w:tcPr>
            <w:tcW w:w="39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180"/>
          </w:cols>
          <w:pgMar w:left="1440" w:top="121" w:right="27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Arbutus Biopharma Corporation</w:t>
      </w:r>
    </w:p>
    <w:p>
      <w:pPr>
        <w:spacing w:after="0" w:line="22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consent to the incorporation by reference in the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235674) on Form S-3, and registration statements (No. 333-233192, No. 333-228919, No. 333</w:t>
      </w:r>
      <w:r>
        <w:rPr>
          <w:rFonts w:ascii="MS PGothic" w:cs="MS PGothic" w:eastAsia="MS PGothic" w:hAnsi="MS PGothic"/>
          <w:sz w:val="18"/>
          <w:szCs w:val="18"/>
          <w:color w:val="auto"/>
        </w:rPr>
        <w:t>‑</w:t>
      </w:r>
      <w:r>
        <w:rPr>
          <w:rFonts w:ascii="Arial" w:cs="Arial" w:eastAsia="Arial" w:hAnsi="Arial"/>
          <w:sz w:val="18"/>
          <w:szCs w:val="18"/>
          <w:color w:val="auto"/>
        </w:rPr>
        <w:t>202762, No. 333-212115, and No. 333-186185) on Form S-8 of Arbutus Biopharma Corporation (the “Company”) of our report dated March 7, 2019, with respect to the consolidated balance sheet of the Company as of December 31, 2018 and the related consolidated statements of operations and comprehensive loss, stockholders’ equity and cash flows for the year then ended, and related notes, which report appears in the December 31, 2019 Form 10-K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413"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S-3 No. No. 333-235674) pertaining to the offering, issuance and sale of up to $150,000,000 of common shares, preferred shares, warrants, debt securities and units of Arbutus Biopharma Corporation,</w:t>
      </w:r>
    </w:p>
    <w:p>
      <w:pPr>
        <w:spacing w:after="0" w:line="34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333-233192) pertaining to the Inducement Plan of Arbutus Biopharma Corporation,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333-228919) pertaining to the 2011 Omnibus Share Compensation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333-212115) pertaining to the 2016 Omnibus Share and Incentive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w:t>
      </w:r>
      <w:r>
        <w:rPr>
          <w:rFonts w:ascii="MS PGothic" w:cs="MS PGothic" w:eastAsia="MS PGothic" w:hAnsi="MS PGothic"/>
          <w:sz w:val="18"/>
          <w:szCs w:val="18"/>
          <w:color w:val="auto"/>
        </w:rPr>
        <w:t>‑</w:t>
      </w:r>
      <w:r>
        <w:rPr>
          <w:rFonts w:ascii="Arial" w:cs="Arial" w:eastAsia="Arial" w:hAnsi="Arial"/>
          <w:sz w:val="18"/>
          <w:szCs w:val="18"/>
          <w:color w:val="auto"/>
        </w:rPr>
        <w:t>202762) pertaining to the OnCore Biopharma, Inc. 2014 Equity Incentive Plan,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333-186185) pertaining to the Tekmira 2011 Omnibus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Compensation Plan, the Tekmira Share Option Plan and the Protiva 2000 Incentive Stock Option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our reports dated March 5, 2020, with respect to the consolidated financial statements of Arbutus Biopharma Corporation and the effectiveness of internal control over financial reporting of Arbutus Biopharma Corporation included in this Annual Report (Form 10-K) of Arbutus Biopharma Corporation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Ernst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ectPr>
          <w:pgSz w:w="11900" w:h="16838" w:orient="portrait"/>
          <w:cols w:equalWidth="0" w:num="1">
            <w:col w:w="11420"/>
          </w:cols>
          <w:pgMar w:left="240" w:top="1202"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31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CERTIFICATION PURSUANT TO RULE 13a-14 AND 15d-14 OF THE SECURITIES</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EXCHANGE ACT OF 1934, AS ADOPTED PURSUANT TO SECTION 302 OF THE</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President and Chief Executive Officer of Arbutus Biopharma Corporation, certify that:</w:t>
      </w:r>
    </w:p>
    <w:p>
      <w:pPr>
        <w:spacing w:after="0" w:line="30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Form 10-K;</w:t>
      </w:r>
    </w:p>
    <w:p>
      <w:pPr>
        <w:spacing w:after="0" w:line="144"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360" w:hanging="321"/>
        <w:spacing w:after="0" w:line="264" w:lineRule="auto"/>
        <w:tabs>
          <w:tab w:leader="none" w:pos="12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William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Collier</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CERTIFICATION PURSUANT TO RULE 13a-14 AND 15d-14 OF THE SECURITIES</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EXCHANGE ACT OF 1934, AS ADOPTED PURSUANT TO SECTION 302 OF THE</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Chief Financial Officer of Arbutus Biopharma Corporation, certify that:</w:t>
      </w:r>
    </w:p>
    <w:p>
      <w:pPr>
        <w:spacing w:after="0" w:line="17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Form 10-K;</w:t>
      </w:r>
    </w:p>
    <w:p>
      <w:pPr>
        <w:spacing w:after="0" w:line="171"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Hastings</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ectPr>
          <w:pgSz w:w="11900" w:h="16838" w:orient="portrait"/>
          <w:cols w:equalWidth="0" w:num="1">
            <w:col w:w="11420"/>
          </w:cols>
          <w:pgMar w:left="240" w:top="202"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Annual Report of Arbutus Biopharma Corporation (the “Company”) on Form 10-K for the year ended December 31, 2019, as filed with the Securities and Exchange Commission on the date hereof (the “Report”), I William Collier, President and Chief Executive Officer of the Company, certify that to the best of my knowledge:</w:t>
      </w:r>
    </w:p>
    <w:p>
      <w:pPr>
        <w:spacing w:after="0" w:line="127" w:lineRule="exact"/>
        <w:rPr>
          <w:sz w:val="20"/>
          <w:szCs w:val="20"/>
          <w:color w:val="auto"/>
        </w:rPr>
      </w:pPr>
    </w:p>
    <w:p>
      <w:pPr>
        <w:ind w:left="1220" w:hanging="321"/>
        <w:spacing w:after="0"/>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1220" w:right="260" w:hanging="321"/>
        <w:spacing w:after="0" w:line="277"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William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Collier</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Annual Report of Arbutus Biopharma Corporation (the “Company”) on Form 10-K for the year ended December 31, 2019, as filed with the Securities and Exchange Commission on the date hereof (the “Report”), I David Hastings, Chief Financial Officer of the Company, certify that to the best of my knowledge:</w:t>
      </w:r>
    </w:p>
    <w:p>
      <w:pPr>
        <w:spacing w:after="0" w:line="127" w:lineRule="exact"/>
        <w:rPr>
          <w:sz w:val="20"/>
          <w:szCs w:val="20"/>
          <w:color w:val="auto"/>
        </w:rPr>
      </w:pPr>
    </w:p>
    <w:p>
      <w:pPr>
        <w:ind w:left="1220" w:hanging="321"/>
        <w:spacing w:after="0"/>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1220" w:right="260" w:hanging="321"/>
        <w:spacing w:after="0" w:line="277" w:lineRule="auto"/>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Hastings</w:t>
      </w:r>
    </w:p>
    <w:p>
      <w:pPr>
        <w:spacing w:after="0" w:line="6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606"/>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6"/>
    </w:lvl>
  </w:abstractNum>
  <w:abstractNum w:abstractNumId="38">
    <w:nsid w:val="7A6D8D3C"/>
    <w:multiLevelType w:val="hybridMultilevel"/>
    <w:lvl w:ilvl="0">
      <w:lvlJc w:val="left"/>
      <w:lvlText w:val="%1."/>
      <w:numFmt w:val="decimal"/>
      <w:start w:val="10"/>
    </w:lvl>
  </w:abstractNum>
  <w:abstractNum w:abstractNumId="39">
    <w:nsid w:val="4B588F54"/>
    <w:multiLevelType w:val="hybridMultilevel"/>
    <w:lvl w:ilvl="0">
      <w:lvlJc w:val="left"/>
      <w:lvlText w:val="%1."/>
      <w:numFmt w:val="decimal"/>
      <w:start w:val="11"/>
    </w:lvl>
  </w:abstractNum>
  <w:abstractNum w:abstractNumId="40">
    <w:nsid w:val="542289EC"/>
    <w:multiLevelType w:val="hybridMultilevel"/>
    <w:lvl w:ilvl="0">
      <w:lvlJc w:val="left"/>
      <w:lvlText w:val="%1."/>
      <w:numFmt w:val="decimal"/>
      <w:start w:val="12"/>
    </w:lvl>
  </w:abstractNum>
  <w:abstractNum w:abstractNumId="41">
    <w:nsid w:val="6DE91B18"/>
    <w:multiLevelType w:val="hybridMultilevel"/>
    <w:lvl w:ilvl="0">
      <w:lvlJc w:val="left"/>
      <w:lvlText w:val="1"/>
      <w:numFmt w:val="bullet"/>
      <w:start w:val="1"/>
    </w:lvl>
  </w:abstractNum>
  <w:abstractNum w:abstractNumId="42">
    <w:nsid w:val="38437FDB"/>
    <w:multiLevelType w:val="hybridMultilevel"/>
    <w:lvl w:ilvl="0">
      <w:lvlJc w:val="left"/>
      <w:lvlText w:val="1"/>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58" Type="http://schemas.openxmlformats.org/officeDocument/2006/relationships/image" Target="media/image4.png"/><Relationship Id="rId59" Type="http://schemas.openxmlformats.org/officeDocument/2006/relationships/image" Target="media/image5.png"/><Relationship Id="rId60" Type="http://schemas.openxmlformats.org/officeDocument/2006/relationships/image" Target="media/image6.png"/><Relationship Id="rId61" Type="http://schemas.openxmlformats.org/officeDocument/2006/relationships/image" Target="media/image7.png"/><Relationship Id="rId62" Type="http://schemas.openxmlformats.org/officeDocument/2006/relationships/image" Target="media/image8.png"/><Relationship Id="rId63" Type="http://schemas.openxmlformats.org/officeDocument/2006/relationships/image" Target="media/image9.png"/><Relationship Id="rId11" Type="http://schemas.openxmlformats.org/officeDocument/2006/relationships/hyperlink" Target="http://www.sec.gov/Archives/edgar/data/1447028/000117184315000358/exh_21.htm" TargetMode="External"/><Relationship Id="rId12" Type="http://schemas.openxmlformats.org/officeDocument/2006/relationships/hyperlink" Target="http://www.sec.gov/Archives/edgar/data/1447028/000162828018003276/exhibit31_articlesandartic.htm" TargetMode="External"/><Relationship Id="rId13" Type="http://schemas.openxmlformats.org/officeDocument/2006/relationships/hyperlink" Target="http://www.sec.gov/Archives/edgar/data/1447028/000162828018013909/exhibit31amendmenttoarticl.htm" TargetMode="External"/><Relationship Id="rId14" Type="http://schemas.openxmlformats.org/officeDocument/2006/relationships/hyperlink" Target="http://www.sec.gov/Archives/edgar/data/1447028/000119312512032280/d287955dex42.htm" TargetMode="External"/><Relationship Id="rId15" Type="http://schemas.openxmlformats.org/officeDocument/2006/relationships/hyperlink" Target="http://www.sec.gov/Archives/edgar/data/1447028/000119312511158553/dex41.htm" TargetMode="External"/><Relationship Id="rId16" Type="http://schemas.openxmlformats.org/officeDocument/2006/relationships/hyperlink" Target="http://www.sec.gov/Archives/edgar/data/1447028/000119312511158553/dex421.htm" TargetMode="External"/><Relationship Id="rId17" Type="http://schemas.openxmlformats.org/officeDocument/2006/relationships/hyperlink" Target="http://www.sec.gov/Archives/edgar/data/1447028/000119312511158553/dex415.htm" TargetMode="External"/><Relationship Id="rId18" Type="http://schemas.openxmlformats.org/officeDocument/2006/relationships/hyperlink" Target="http://www.sec.gov/Archives/edgar/data/1447028/000119312511158553/dex417.htm" TargetMode="External"/><Relationship Id="rId19" Type="http://schemas.openxmlformats.org/officeDocument/2006/relationships/hyperlink" Target="http://www.sec.gov/Archives/edgar/data/1447028/000119312511158553/dex418.htm" TargetMode="External"/><Relationship Id="rId20" Type="http://schemas.openxmlformats.org/officeDocument/2006/relationships/hyperlink" Target="http://www.sec.gov/Archives/edgar/data/1447028/000119312511158553/dex419.htm" TargetMode="External"/><Relationship Id="rId21" Type="http://schemas.openxmlformats.org/officeDocument/2006/relationships/hyperlink" Target="http://www.sec.gov/Archives/edgar/data/1447028/000119312511158553/dex420.htm" TargetMode="External"/><Relationship Id="rId22" Type="http://schemas.openxmlformats.org/officeDocument/2006/relationships/hyperlink" Target="http://www.sec.gov/Archives/edgar/data/1447028/000119312512134709/d320832dex425.htm" TargetMode="External"/><Relationship Id="rId23" Type="http://schemas.openxmlformats.org/officeDocument/2006/relationships/hyperlink" Target="http://www.sec.gov/Archives/edgar/data/1447028/000119312513129590/d508557dex426.htm" TargetMode="External"/><Relationship Id="rId24" Type="http://schemas.openxmlformats.org/officeDocument/2006/relationships/hyperlink" Target="http://www.sec.gov/Archives/edgar/data/1447028/000119312513129590/d508557dex427.htm" TargetMode="External"/><Relationship Id="rId25" Type="http://schemas.openxmlformats.org/officeDocument/2006/relationships/hyperlink" Target="http://www.sec.gov/Archives/edgar/data/1447028/000162828016012462/exhibit1078lizhowardea.htm" TargetMode="External"/><Relationship Id="rId26" Type="http://schemas.openxmlformats.org/officeDocument/2006/relationships/hyperlink" Target="http://www.sec.gov/Archives/edgar/data/1447028/000106299315005809/exhibit10-3.htm" TargetMode="External"/><Relationship Id="rId27" Type="http://schemas.openxmlformats.org/officeDocument/2006/relationships/hyperlink" Target="http://www.sec.gov/Archives/edgar/data/1447028/000117184315002592/exh_101.htm" TargetMode="External"/><Relationship Id="rId28" Type="http://schemas.openxmlformats.org/officeDocument/2006/relationships/hyperlink" Target="http://www.sec.gov/Archives/edgar/data/1447028/000117184315004476/exh_108.htm" TargetMode="External"/><Relationship Id="rId29" Type="http://schemas.openxmlformats.org/officeDocument/2006/relationships/hyperlink" Target="http://www.sec.gov/Archives/edgar/data/1447028/000162828016018534/exhibit101q22016.htm" TargetMode="External"/><Relationship Id="rId30" Type="http://schemas.openxmlformats.org/officeDocument/2006/relationships/hyperlink" Target="http://www.sec.gov/Archives/edgar/data/1447028/000162828016018534/exhibit102q22016.htm" TargetMode="External"/><Relationship Id="rId31" Type="http://schemas.openxmlformats.org/officeDocument/2006/relationships/hyperlink" Target="http://www.sec.gov/Archives/edgar/data/1447028/000162828016020766/exhibit101q32016.htm" TargetMode="External"/><Relationship Id="rId32" Type="http://schemas.openxmlformats.org/officeDocument/2006/relationships/hyperlink" Target="http://www.sec.gov/Archives/edgar/data/1447028/000162828016020766/exhibit102q32016.htm" TargetMode="External"/><Relationship Id="rId33" Type="http://schemas.openxmlformats.org/officeDocument/2006/relationships/hyperlink" Target="http://www.sec.gov/Archives/edgar/data/1447028/000162828016020766/exhibit103q32016.htm" TargetMode="External"/><Relationship Id="rId34" Type="http://schemas.openxmlformats.org/officeDocument/2006/relationships/hyperlink" Target="http://www.sec.gov/Archives/edgar/data/1447028/000162828017011737/specialmeetingproxynov2017.htm#s9DD60E6E8B7E5D2495B65F72B7416F2A" TargetMode="External"/><Relationship Id="rId35" Type="http://schemas.openxmlformats.org/officeDocument/2006/relationships/hyperlink" Target="http://www.sec.gov/Archives/edgar/data/1447028/000162828017011737/specialmeetingproxynov2017.htm#sB1D49533CBCB569AA3EE6388C14F9DCD" TargetMode="External"/><Relationship Id="rId36" Type="http://schemas.openxmlformats.org/officeDocument/2006/relationships/hyperlink" Target="http://www.sec.gov/Archives/edgar/data/1447028/000162828017011737/specialmeetingproxynov2017.htm" TargetMode="External"/><Relationship Id="rId37" Type="http://schemas.openxmlformats.org/officeDocument/2006/relationships/hyperlink" Target="http://www.sec.gov/Archives/edgar/data/1447028/000162828017011737/specialmeetingproxynov2017.htm#s84C97474456557D39D30E61B8C186D8E" TargetMode="External"/><Relationship Id="rId38" Type="http://schemas.openxmlformats.org/officeDocument/2006/relationships/hyperlink" Target="http://www.sec.gov/Archives/edgar/data/1447028/000162828017011737/specialmeetingproxynov2017.htm#s53DDA9120E775287B0615B3829E90C43" TargetMode="External"/><Relationship Id="rId39" Type="http://schemas.openxmlformats.org/officeDocument/2006/relationships/hyperlink" Target="http://www.sec.gov/Archives/edgar/data/1447028/000162828017011737/specialmeetingproxynov2017.htm#s83b0a64570bc47fa8ad97156af29c334" TargetMode="External"/><Relationship Id="rId40" Type="http://schemas.openxmlformats.org/officeDocument/2006/relationships/hyperlink" Target="http://www.sec.gov/Archives/edgar/data/1447028/000110465918009305/a18-6122_1ex7d09.htm" TargetMode="External"/><Relationship Id="rId41" Type="http://schemas.openxmlformats.org/officeDocument/2006/relationships/hyperlink" Target="http://www.sec.gov/Archives/edgar/data/1447028/000162828018005886/exhibit101genevantmasterag.htm" TargetMode="External"/><Relationship Id="rId42" Type="http://schemas.openxmlformats.org/officeDocument/2006/relationships/hyperlink" Target="http://www.sec.gov/Archives/edgar/data/1447028/000110465918074112/a18-41890_1ex1d1.htm" TargetMode="External"/><Relationship Id="rId43" Type="http://schemas.openxmlformats.org/officeDocument/2006/relationships/hyperlink" Target="http://www.sec.gov/Archives/edgar/data/1447028/000144702819000078/a13atmamend1tosa.htm" TargetMode="External"/><Relationship Id="rId44" Type="http://schemas.openxmlformats.org/officeDocument/2006/relationships/hyperlink" Target="http://www.sec.gov/Archives/edgar/data/1447028/000144702819000006/exhibit1052execagreemtdhast.htm" TargetMode="External"/><Relationship Id="rId45" Type="http://schemas.openxmlformats.org/officeDocument/2006/relationships/hyperlink" Target="http://www.sec.gov/Archives/edgar/data/1447028/000144702819000006/exhibit1053execsigningdhast.htm" TargetMode="External"/><Relationship Id="rId46" Type="http://schemas.openxmlformats.org/officeDocument/2006/relationships/hyperlink" Target="http://www.sec.gov/Archives/edgar/data/1447028/000162828018013909/exhibit101execemploymentgp.htm" TargetMode="External"/><Relationship Id="rId47" Type="http://schemas.openxmlformats.org/officeDocument/2006/relationships/hyperlink" Target="http://www.sec.gov/Archives/edgar/data/1447028/000117184319004042/exh_101.htm" TargetMode="External"/><Relationship Id="rId48" Type="http://schemas.openxmlformats.org/officeDocument/2006/relationships/hyperlink" Target="http://www.sec.gov/Archives/edgar/data/1447028/000117184319004042/exh_103.htm" TargetMode="External"/><Relationship Id="rId49" Type="http://schemas.openxmlformats.org/officeDocument/2006/relationships/hyperlink" Target="http://www.sec.gov/Archives/edgar/data/1447028/000117184319004042/exh_104.htm" TargetMode="External"/><Relationship Id="rId50" Type="http://schemas.openxmlformats.org/officeDocument/2006/relationships/hyperlink" Target="http://www.sec.gov/Archives/edgar/data/1447028/000144702819000025/exhibit105mcelhaughexeceea.htm" TargetMode="External"/><Relationship Id="rId51" Type="http://schemas.openxmlformats.org/officeDocument/2006/relationships/hyperlink" Target="http://www.sec.gov/Archives/edgar/data/1447028/000144702819000025/exhibit201redactedroyaltym.htm" TargetMode="External"/><Relationship Id="rId52" Type="http://schemas.openxmlformats.org/officeDocument/2006/relationships/hyperlink" Target="http://www.sec.gov/Archives/edgar/data/1447028/000144702819000025/exhibit2022016omnibusshare.htm" TargetMode="External"/><Relationship Id="rId53" Type="http://schemas.openxmlformats.org/officeDocument/2006/relationships/hyperlink" Target="http://www.sec.gov/Archives/edgar/data/1447028/000144702819000025/exhibit20-3revised2016plan.htm" TargetMode="External"/><Relationship Id="rId54" Type="http://schemas.openxmlformats.org/officeDocument/2006/relationships/hyperlink" Target="http://www.sec.gov/Archives/edgar/data/1447028/000144702819000025/exhibit109collieroptionagr.htm" TargetMode="External"/><Relationship Id="rId55" Type="http://schemas.openxmlformats.org/officeDocument/2006/relationships/hyperlink" Target="http://www.sec.gov/Archives/edgar/data/1447028/000144702819000071/formofindemnificationagr.htm" TargetMode="External"/><Relationship Id="rId56" Type="http://schemas.openxmlformats.org/officeDocument/2006/relationships/hyperlink" Target="http://www.sec.gov/Archives/edgar/data/1447028/000144702819000071/boardagreementcheng.htm" TargetMode="External"/><Relationship Id="rId57" Type="http://schemas.openxmlformats.org/officeDocument/2006/relationships/hyperlink" Target="http://www.sec.gov/Archives/edgar/data/1447028/000110465919023074/a19-8638_1ex16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2020-03-05T15:22:51Z</dcterms:created>
  <dcterms:modified xsi:type="dcterms:W3CDTF">2020-03-05T15:22:51Z</dcterms:modified>
</cp:coreProperties>
</file>