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59" w:lineRule="exact"/>
        <w:rPr>
          <w:sz w:val="24"/>
          <w:szCs w:val="24"/>
          <w:color w:val="auto"/>
        </w:rPr>
      </w:pPr>
    </w:p>
    <w:p>
      <w:pPr>
        <w:ind w:left="3840" w:right="1220" w:hanging="2612"/>
        <w:spacing w:after="0" w:line="407" w:lineRule="auto"/>
        <w:tabs>
          <w:tab w:leader="none" w:pos="1517"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September 30, 2018</w:t>
      </w:r>
    </w:p>
    <w:p>
      <w:pPr>
        <w:jc w:val="center"/>
        <w:ind w:right="-19"/>
        <w:spacing w:after="0"/>
        <w:rPr>
          <w:sz w:val="20"/>
          <w:szCs w:val="20"/>
          <w:color w:val="auto"/>
        </w:rPr>
      </w:pPr>
      <w:r>
        <w:rPr>
          <w:rFonts w:ascii="Arial" w:cs="Arial" w:eastAsia="Arial" w:hAnsi="Arial"/>
          <w:sz w:val="18"/>
          <w:szCs w:val="18"/>
          <w:color w:val="auto"/>
        </w:rPr>
        <w:t>OR</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 TRANSITION REPORT PURSUANT TO SECTION 13 OR 15(d) OF THE SECURITIES EXCHANGE ACT OF 1934</w:t>
      </w:r>
    </w:p>
    <w:p>
      <w:pPr>
        <w:spacing w:after="0" w:line="144" w:lineRule="exact"/>
        <w:rPr>
          <w:sz w:val="24"/>
          <w:szCs w:val="24"/>
          <w:color w:val="auto"/>
        </w:rPr>
      </w:pPr>
    </w:p>
    <w:tbl>
      <w:tblPr>
        <w:tblLayout w:type="fixed"/>
        <w:tblInd w:w="4060" w:type="dxa"/>
        <w:tblCellMar>
          <w:top w:w="0" w:type="dxa"/>
          <w:left w:w="0" w:type="dxa"/>
          <w:bottom w:w="0" w:type="dxa"/>
          <w:right w:w="0" w:type="dxa"/>
        </w:tblCellMar>
      </w:tblPr>
      <w:tr>
        <w:trPr>
          <w:trHeight w:val="230"/>
        </w:trPr>
        <w:tc>
          <w:tcPr>
            <w:tcW w:w="2240" w:type="dxa"/>
            <w:vAlign w:val="bottom"/>
          </w:tcPr>
          <w:p>
            <w:pPr>
              <w:spacing w:after="0"/>
              <w:rPr>
                <w:sz w:val="20"/>
                <w:szCs w:val="20"/>
                <w:color w:val="auto"/>
              </w:rPr>
            </w:pPr>
            <w:r>
              <w:rPr>
                <w:rFonts w:ascii="Arial" w:cs="Arial" w:eastAsia="Arial" w:hAnsi="Arial"/>
                <w:sz w:val="18"/>
                <w:szCs w:val="18"/>
                <w:color w:val="auto"/>
                <w:w w:val="92"/>
              </w:rPr>
              <w:t>For the Transition Period from</w:t>
            </w:r>
          </w:p>
        </w:tc>
        <w:tc>
          <w:tcPr>
            <w:tcW w:w="780" w:type="dxa"/>
            <w:vAlign w:val="bottom"/>
          </w:tcPr>
          <w:p>
            <w:pPr>
              <w:ind w:left="460"/>
              <w:spacing w:after="0"/>
              <w:rPr>
                <w:sz w:val="20"/>
                <w:szCs w:val="20"/>
                <w:color w:val="auto"/>
              </w:rPr>
            </w:pPr>
            <w:r>
              <w:rPr>
                <w:rFonts w:ascii="Arial" w:cs="Arial" w:eastAsia="Arial" w:hAnsi="Arial"/>
                <w:sz w:val="18"/>
                <w:szCs w:val="18"/>
                <w:color w:val="auto"/>
              </w:rPr>
              <w:t>to</w:t>
            </w:r>
          </w:p>
        </w:tc>
      </w:tr>
      <w:tr>
        <w:trPr>
          <w:trHeight w:val="311"/>
        </w:trPr>
        <w:tc>
          <w:tcPr>
            <w:tcW w:w="3020" w:type="dxa"/>
            <w:vAlign w:val="bottom"/>
            <w:gridSpan w:val="2"/>
          </w:tcPr>
          <w:p>
            <w:pPr>
              <w:ind w:left="280"/>
              <w:spacing w:after="0"/>
              <w:rPr>
                <w:sz w:val="20"/>
                <w:szCs w:val="20"/>
                <w:color w:val="auto"/>
              </w:rPr>
            </w:pPr>
            <w:r>
              <w:rPr>
                <w:rFonts w:ascii="Arial" w:cs="Arial" w:eastAsia="Arial" w:hAnsi="Arial"/>
                <w:sz w:val="18"/>
                <w:szCs w:val="18"/>
                <w:color w:val="auto"/>
                <w:w w:val="91"/>
              </w:rPr>
              <w:t xml:space="preserve">Commission File Number: </w:t>
            </w:r>
            <w:r>
              <w:rPr>
                <w:rFonts w:ascii="Arial" w:cs="Arial" w:eastAsia="Arial" w:hAnsi="Arial"/>
                <w:sz w:val="18"/>
                <w:szCs w:val="18"/>
                <w:b w:val="1"/>
                <w:bCs w:val="1"/>
                <w:color w:val="auto"/>
                <w:w w:val="91"/>
              </w:rPr>
              <w:t>001-34949</w:t>
            </w:r>
          </w:p>
        </w:tc>
      </w:tr>
      <w:tr>
        <w:trPr>
          <w:trHeight w:val="20"/>
        </w:trPr>
        <w:tc>
          <w:tcPr>
            <w:tcW w:w="2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ARBUTUS BIOPHARMA CORPORATION</w:t>
      </w:r>
    </w:p>
    <w:p>
      <w:pPr>
        <w:spacing w:after="0" w:line="159" w:lineRule="exact"/>
        <w:rPr>
          <w:sz w:val="24"/>
          <w:szCs w:val="24"/>
          <w:color w:val="auto"/>
        </w:rPr>
      </w:pPr>
    </w:p>
    <w:tbl>
      <w:tblPr>
        <w:tblLayout w:type="fixed"/>
        <w:tblInd w:w="780" w:type="dxa"/>
        <w:tblCellMar>
          <w:top w:w="0" w:type="dxa"/>
          <w:left w:w="0" w:type="dxa"/>
          <w:bottom w:w="0" w:type="dxa"/>
          <w:right w:w="0" w:type="dxa"/>
        </w:tblCellMar>
      </w:tblPr>
      <w:tr>
        <w:trPr>
          <w:trHeight w:val="230"/>
        </w:trPr>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20" w:type="dxa"/>
            <w:vAlign w:val="bottom"/>
            <w:gridSpan w:val="6"/>
          </w:tcPr>
          <w:p>
            <w:pPr>
              <w:jc w:val="center"/>
              <w:ind w:right="2200"/>
              <w:spacing w:after="0"/>
              <w:rPr>
                <w:sz w:val="20"/>
                <w:szCs w:val="20"/>
                <w:color w:val="auto"/>
              </w:rPr>
            </w:pPr>
            <w:r>
              <w:rPr>
                <w:rFonts w:ascii="Arial" w:cs="Arial" w:eastAsia="Arial" w:hAnsi="Arial"/>
                <w:sz w:val="18"/>
                <w:szCs w:val="18"/>
                <w:color w:val="auto"/>
                <w:w w:val="91"/>
              </w:rPr>
              <w:t>(Exact Name of Registrant as Specified in Its Charter)</w:t>
            </w:r>
          </w:p>
        </w:tc>
      </w:tr>
      <w:tr>
        <w:trPr>
          <w:trHeight w:val="338"/>
        </w:trPr>
        <w:tc>
          <w:tcPr>
            <w:tcW w:w="100" w:type="dxa"/>
            <w:vAlign w:val="bottom"/>
          </w:tcPr>
          <w:p>
            <w:pPr>
              <w:spacing w:after="0"/>
              <w:rPr>
                <w:sz w:val="24"/>
                <w:szCs w:val="24"/>
                <w:color w:val="auto"/>
              </w:rPr>
            </w:pPr>
          </w:p>
        </w:tc>
        <w:tc>
          <w:tcPr>
            <w:tcW w:w="25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British Columbia, Canada</w:t>
            </w:r>
          </w:p>
        </w:tc>
        <w:tc>
          <w:tcPr>
            <w:tcW w:w="6820" w:type="dxa"/>
            <w:vAlign w:val="bottom"/>
            <w:gridSpan w:val="6"/>
          </w:tcPr>
          <w:p>
            <w:pPr>
              <w:jc w:val="center"/>
              <w:ind w:left="5370"/>
              <w:spacing w:after="0"/>
              <w:rPr>
                <w:sz w:val="20"/>
                <w:szCs w:val="20"/>
                <w:color w:val="auto"/>
              </w:rPr>
            </w:pPr>
            <w:r>
              <w:rPr>
                <w:rFonts w:ascii="Arial" w:cs="Arial" w:eastAsia="Arial" w:hAnsi="Arial"/>
                <w:sz w:val="18"/>
                <w:szCs w:val="18"/>
                <w:b w:val="1"/>
                <w:bCs w:val="1"/>
                <w:color w:val="auto"/>
                <w:w w:val="91"/>
              </w:rPr>
              <w:t>98-0597776</w:t>
            </w:r>
          </w:p>
        </w:tc>
      </w:tr>
      <w:tr>
        <w:trPr>
          <w:trHeight w:val="20"/>
        </w:trPr>
        <w:tc>
          <w:tcPr>
            <w:tcW w:w="10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91"/>
        </w:trPr>
        <w:tc>
          <w:tcPr>
            <w:tcW w:w="2620" w:type="dxa"/>
            <w:vAlign w:val="bottom"/>
            <w:gridSpan w:val="3"/>
          </w:tcPr>
          <w:p>
            <w:pPr>
              <w:jc w:val="center"/>
              <w:ind w:right="400"/>
              <w:spacing w:after="0"/>
              <w:rPr>
                <w:sz w:val="20"/>
                <w:szCs w:val="20"/>
                <w:color w:val="auto"/>
              </w:rPr>
            </w:pPr>
            <w:r>
              <w:rPr>
                <w:rFonts w:ascii="Arial" w:cs="Arial" w:eastAsia="Arial" w:hAnsi="Arial"/>
                <w:sz w:val="18"/>
                <w:szCs w:val="18"/>
                <w:color w:val="auto"/>
                <w:w w:val="91"/>
              </w:rPr>
              <w:t>(State or Other Jurisdiction of</w:t>
            </w:r>
          </w:p>
        </w:tc>
        <w:tc>
          <w:tcPr>
            <w:tcW w:w="1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0" w:type="dxa"/>
            <w:vAlign w:val="bottom"/>
            <w:gridSpan w:val="3"/>
          </w:tcPr>
          <w:p>
            <w:pPr>
              <w:jc w:val="center"/>
              <w:ind w:left="750"/>
              <w:spacing w:after="0"/>
              <w:rPr>
                <w:sz w:val="20"/>
                <w:szCs w:val="20"/>
                <w:color w:val="auto"/>
              </w:rPr>
            </w:pPr>
            <w:r>
              <w:rPr>
                <w:rFonts w:ascii="Arial" w:cs="Arial" w:eastAsia="Arial" w:hAnsi="Arial"/>
                <w:sz w:val="18"/>
                <w:szCs w:val="18"/>
                <w:color w:val="auto"/>
                <w:w w:val="93"/>
              </w:rPr>
              <w:t>(I.R.S. Employer</w:t>
            </w:r>
          </w:p>
        </w:tc>
      </w:tr>
      <w:tr>
        <w:trPr>
          <w:trHeight w:val="270"/>
        </w:trPr>
        <w:tc>
          <w:tcPr>
            <w:tcW w:w="2620" w:type="dxa"/>
            <w:vAlign w:val="bottom"/>
            <w:gridSpan w:val="3"/>
          </w:tcPr>
          <w:p>
            <w:pPr>
              <w:jc w:val="center"/>
              <w:ind w:right="400"/>
              <w:spacing w:after="0"/>
              <w:rPr>
                <w:sz w:val="20"/>
                <w:szCs w:val="20"/>
                <w:color w:val="auto"/>
              </w:rPr>
            </w:pPr>
            <w:r>
              <w:rPr>
                <w:rFonts w:ascii="Arial" w:cs="Arial" w:eastAsia="Arial" w:hAnsi="Arial"/>
                <w:sz w:val="18"/>
                <w:szCs w:val="18"/>
                <w:color w:val="auto"/>
                <w:w w:val="92"/>
              </w:rPr>
              <w:t>Incorporation or Organization)</w:t>
            </w:r>
          </w:p>
        </w:tc>
        <w:tc>
          <w:tcPr>
            <w:tcW w:w="18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200" w:type="dxa"/>
            <w:vAlign w:val="bottom"/>
            <w:gridSpan w:val="3"/>
          </w:tcPr>
          <w:p>
            <w:pPr>
              <w:jc w:val="center"/>
              <w:ind w:left="770"/>
              <w:spacing w:after="0"/>
              <w:rPr>
                <w:sz w:val="20"/>
                <w:szCs w:val="20"/>
                <w:color w:val="auto"/>
              </w:rPr>
            </w:pPr>
            <w:r>
              <w:rPr>
                <w:rFonts w:ascii="Arial" w:cs="Arial" w:eastAsia="Arial" w:hAnsi="Arial"/>
                <w:sz w:val="18"/>
                <w:szCs w:val="18"/>
                <w:color w:val="auto"/>
                <w:w w:val="95"/>
              </w:rPr>
              <w:t>Identification No.)</w:t>
            </w:r>
          </w:p>
        </w:tc>
      </w:tr>
      <w:tr>
        <w:trPr>
          <w:trHeight w:val="338"/>
        </w:trPr>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20" w:type="dxa"/>
            <w:vAlign w:val="bottom"/>
            <w:gridSpan w:val="6"/>
          </w:tcPr>
          <w:p>
            <w:pPr>
              <w:jc w:val="center"/>
              <w:ind w:right="2200"/>
              <w:spacing w:after="0"/>
              <w:rPr>
                <w:sz w:val="20"/>
                <w:szCs w:val="20"/>
                <w:color w:val="auto"/>
              </w:rPr>
            </w:pPr>
            <w:r>
              <w:rPr>
                <w:rFonts w:ascii="Arial" w:cs="Arial" w:eastAsia="Arial" w:hAnsi="Arial"/>
                <w:sz w:val="18"/>
                <w:szCs w:val="18"/>
                <w:b w:val="1"/>
                <w:bCs w:val="1"/>
                <w:color w:val="auto"/>
                <w:w w:val="91"/>
              </w:rPr>
              <w:t>100-8900 Glenlyon Parkway, Burnaby, BC, Canada V5J 5J8</w:t>
            </w:r>
          </w:p>
        </w:tc>
      </w:tr>
      <w:tr>
        <w:trPr>
          <w:trHeight w:val="372"/>
        </w:trPr>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 and Zip Code)</w:t>
            </w:r>
          </w:p>
        </w:tc>
        <w:tc>
          <w:tcPr>
            <w:tcW w:w="2200" w:type="dxa"/>
            <w:vAlign w:val="bottom"/>
            <w:gridSpan w:val="3"/>
          </w:tcPr>
          <w:p>
            <w:pPr>
              <w:spacing w:after="0"/>
              <w:rPr>
                <w:sz w:val="24"/>
                <w:szCs w:val="24"/>
                <w:color w:val="auto"/>
              </w:rPr>
            </w:pPr>
          </w:p>
        </w:tc>
      </w:tr>
      <w:tr>
        <w:trPr>
          <w:trHeight w:val="392"/>
        </w:trPr>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604-419-3200</w:t>
            </w: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72"/>
        </w:trPr>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20" w:type="dxa"/>
            <w:vAlign w:val="bottom"/>
            <w:gridSpan w:val="6"/>
          </w:tcPr>
          <w:p>
            <w:pPr>
              <w:jc w:val="center"/>
              <w:ind w:right="2180"/>
              <w:spacing w:after="0"/>
              <w:rPr>
                <w:sz w:val="20"/>
                <w:szCs w:val="20"/>
                <w:color w:val="auto"/>
              </w:rPr>
            </w:pPr>
            <w:r>
              <w:rPr>
                <w:rFonts w:ascii="Arial" w:cs="Arial" w:eastAsia="Arial" w:hAnsi="Arial"/>
                <w:sz w:val="18"/>
                <w:szCs w:val="18"/>
                <w:color w:val="auto"/>
                <w:w w:val="91"/>
              </w:rPr>
              <w:t>(Registrant’s Telephone Number, Including Area Code)</w:t>
            </w:r>
          </w:p>
        </w:tc>
      </w:tr>
    </w:tbl>
    <w:p>
      <w:pPr>
        <w:spacing w:after="0" w:line="121" w:lineRule="exact"/>
        <w:rPr>
          <w:sz w:val="24"/>
          <w:szCs w:val="24"/>
          <w:color w:val="auto"/>
        </w:rPr>
      </w:pPr>
    </w:p>
    <w:p>
      <w:pPr>
        <w:jc w:val="both"/>
        <w:spacing w:after="0" w:line="274"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tabs>
          <w:tab w:leader="none" w:pos="3380" w:val="left"/>
        </w:tabs>
        <w:rPr>
          <w:sz w:val="20"/>
          <w:szCs w:val="20"/>
          <w:color w:val="auto"/>
        </w:rPr>
      </w:pPr>
      <w:r>
        <w:rPr>
          <w:rFonts w:ascii="Arial" w:cs="Arial" w:eastAsia="Arial" w:hAnsi="Arial"/>
          <w:sz w:val="18"/>
          <w:szCs w:val="18"/>
          <w:color w:val="auto"/>
        </w:rPr>
        <w:t>requirements for the past 90 days. Yes [X]</w:t>
      </w:r>
      <w:r>
        <w:rPr>
          <w:sz w:val="20"/>
          <w:szCs w:val="20"/>
          <w:color w:val="auto"/>
        </w:rPr>
        <w:tab/>
      </w:r>
      <w:r>
        <w:rPr>
          <w:rFonts w:ascii="Arial" w:cs="Arial" w:eastAsia="Arial" w:hAnsi="Arial"/>
          <w:sz w:val="18"/>
          <w:szCs w:val="18"/>
          <w:color w:val="auto"/>
        </w:rPr>
        <w:t>No [  ]</w:t>
      </w:r>
    </w:p>
    <w:p>
      <w:pPr>
        <w:spacing w:after="0" w:line="13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w:t>
      </w:r>
    </w:p>
    <w:p>
      <w:pPr>
        <w:spacing w:after="0" w:line="35" w:lineRule="exact"/>
        <w:rPr>
          <w:sz w:val="24"/>
          <w:szCs w:val="24"/>
          <w:color w:val="auto"/>
        </w:rPr>
      </w:pPr>
    </w:p>
    <w:p>
      <w:pPr>
        <w:spacing w:after="0"/>
        <w:tabs>
          <w:tab w:leader="none" w:pos="10160" w:val="left"/>
        </w:tabs>
        <w:rPr>
          <w:sz w:val="20"/>
          <w:szCs w:val="20"/>
          <w:color w:val="auto"/>
        </w:rPr>
      </w:pPr>
      <w:r>
        <w:rPr>
          <w:rFonts w:ascii="Arial" w:cs="Arial" w:eastAsia="Arial" w:hAnsi="Arial"/>
          <w:sz w:val="17"/>
          <w:szCs w:val="17"/>
          <w:color w:val="auto"/>
        </w:rPr>
        <w:t>Regulation S-T during the preceding 12 months (or for such shorter period that the registrant was required to submit such files). Yes [X]</w:t>
      </w:r>
      <w:r>
        <w:rPr>
          <w:sz w:val="20"/>
          <w:szCs w:val="20"/>
          <w:color w:val="auto"/>
        </w:rPr>
        <w:tab/>
      </w:r>
      <w:r>
        <w:rPr>
          <w:rFonts w:ascii="Arial" w:cs="Arial" w:eastAsia="Arial" w:hAnsi="Arial"/>
          <w:sz w:val="18"/>
          <w:szCs w:val="18"/>
          <w:color w:val="auto"/>
        </w:rPr>
        <w:t>No [  ]</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27" w:lineRule="exact"/>
        <w:rPr>
          <w:sz w:val="24"/>
          <w:szCs w:val="24"/>
          <w:color w:val="auto"/>
        </w:rPr>
      </w:pPr>
    </w:p>
    <w:p>
      <w:pPr>
        <w:ind w:left="40"/>
        <w:spacing w:after="0"/>
        <w:tabs>
          <w:tab w:leader="none" w:pos="4040" w:val="left"/>
          <w:tab w:leader="none" w:pos="8160" w:val="left"/>
        </w:tabs>
        <w:rPr>
          <w:sz w:val="20"/>
          <w:szCs w:val="20"/>
          <w:color w:val="auto"/>
        </w:rPr>
      </w:pPr>
      <w:r>
        <w:rPr>
          <w:rFonts w:ascii="Arial" w:cs="Arial" w:eastAsia="Arial" w:hAnsi="Arial"/>
          <w:sz w:val="18"/>
          <w:szCs w:val="18"/>
          <w:color w:val="auto"/>
        </w:rPr>
        <w:t>Large accelerated filer [  ] Accelerated filer [X]</w:t>
      </w:r>
      <w:r>
        <w:rPr>
          <w:sz w:val="20"/>
          <w:szCs w:val="20"/>
          <w:color w:val="auto"/>
        </w:rPr>
        <w:tab/>
      </w:r>
      <w:r>
        <w:rPr>
          <w:rFonts w:ascii="Arial" w:cs="Arial" w:eastAsia="Arial" w:hAnsi="Arial"/>
          <w:sz w:val="18"/>
          <w:szCs w:val="18"/>
          <w:color w:val="auto"/>
        </w:rPr>
        <w:t>Non-accelerated filer [  ] Smaller reporting company</w:t>
      </w:r>
      <w:r>
        <w:rPr>
          <w:sz w:val="20"/>
          <w:szCs w:val="20"/>
          <w:color w:val="auto"/>
        </w:rPr>
        <w:tab/>
      </w:r>
      <w:r>
        <w:rPr>
          <w:rFonts w:ascii="Arial" w:cs="Arial" w:eastAsia="Arial" w:hAnsi="Arial"/>
          <w:sz w:val="17"/>
          <w:szCs w:val="17"/>
          <w:color w:val="auto"/>
        </w:rPr>
        <w:t>Emerging growth company [  ]</w:t>
      </w:r>
    </w:p>
    <w:p>
      <w:pPr>
        <w:spacing w:after="0" w:line="23" w:lineRule="exact"/>
        <w:rPr>
          <w:sz w:val="24"/>
          <w:szCs w:val="24"/>
          <w:color w:val="auto"/>
        </w:rPr>
      </w:pPr>
    </w:p>
    <w:p>
      <w:pPr>
        <w:ind w:left="5960"/>
        <w:spacing w:after="0"/>
        <w:rPr>
          <w:sz w:val="20"/>
          <w:szCs w:val="20"/>
          <w:color w:val="auto"/>
        </w:rPr>
      </w:pPr>
      <w:r>
        <w:rPr>
          <w:rFonts w:ascii="Arial" w:cs="Arial" w:eastAsia="Arial" w:hAnsi="Arial"/>
          <w:sz w:val="18"/>
          <w:szCs w:val="18"/>
          <w:color w:val="auto"/>
        </w:rPr>
        <w:t>[X]</w:t>
      </w:r>
    </w:p>
    <w:p>
      <w:pPr>
        <w:spacing w:after="0" w:line="238"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Yes [  ]  No [X]</w:t>
      </w:r>
    </w:p>
    <w:p>
      <w:pPr>
        <w:spacing w:after="0" w:line="200" w:lineRule="exact"/>
        <w:rPr>
          <w:sz w:val="24"/>
          <w:szCs w:val="24"/>
          <w:color w:val="auto"/>
        </w:rPr>
      </w:pP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As of October 31, 2018, the registrant had 55,477,235 common shares, no par value, outstanding.</w:t>
      </w:r>
    </w:p>
    <w:p>
      <w:pPr>
        <w:sectPr>
          <w:pgSz w:w="11900" w:h="16838" w:orient="portrait"/>
          <w:cols w:equalWidth="0" w:num="1">
            <w:col w:w="11420"/>
          </w:cols>
          <w:pgMar w:left="240" w:top="922" w:right="239" w:bottom="1440" w:gutter="0" w:footer="0" w:header="0"/>
        </w:sect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922"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ARBUTUS BIOPHARMA CORP.</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80" w:type="dxa"/>
            <w:vAlign w:val="bottom"/>
            <w:gridSpan w:val="5"/>
          </w:tcPr>
          <w:p>
            <w:pPr>
              <w:ind w:left="680"/>
              <w:spacing w:after="0"/>
              <w:rPr>
                <w:sz w:val="20"/>
                <w:szCs w:val="20"/>
                <w:color w:val="auto"/>
              </w:rPr>
            </w:pPr>
            <w:r>
              <w:rPr>
                <w:rFonts w:ascii="Arial" w:cs="Arial" w:eastAsia="Arial" w:hAnsi="Arial"/>
                <w:sz w:val="18"/>
                <w:szCs w:val="18"/>
                <w:b w:val="1"/>
                <w:bCs w:val="1"/>
                <w:color w:val="auto"/>
                <w:w w:val="88"/>
              </w:rPr>
              <w:t>Page</w:t>
            </w:r>
          </w:p>
        </w:tc>
      </w:tr>
      <w:tr>
        <w:trPr>
          <w:trHeight w:val="318"/>
        </w:trPr>
        <w:tc>
          <w:tcPr>
            <w:tcW w:w="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1034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108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50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8460" w:type="dxa"/>
            <w:vAlign w:val="bottom"/>
            <w:gridSpan w:val="15"/>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1080" w:type="dxa"/>
            <w:vAlign w:val="bottom"/>
            <w:gridSpan w:val="5"/>
          </w:tcPr>
          <w:p>
            <w:pPr>
              <w:jc w:val="right"/>
              <w:ind w:righ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8460" w:type="dxa"/>
            <w:vAlign w:val="bottom"/>
            <w:gridSpan w:val="15"/>
            <w:shd w:val="clear" w:color="auto" w:fill="CCEEFF"/>
          </w:tcPr>
          <w:p>
            <w:pPr>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w:t>
              </w:r>
            </w:hyperlink>
          </w:p>
        </w:tc>
        <w:tc>
          <w:tcPr>
            <w:tcW w:w="108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18</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40" w:type="dxa"/>
            <w:vAlign w:val="bottom"/>
            <w:tcBorders>
              <w:top w:val="single" w:sz="8" w:color="CCEEFF"/>
              <w:bottom w:val="single" w:sz="8" w:color="CCEEFF"/>
            </w:tcBorders>
            <w:shd w:val="clear" w:color="auto" w:fill="CCEEFF"/>
          </w:tcPr>
          <w:p>
            <w:pPr>
              <w:ind w:left="500"/>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2.</w:t>
              </w:r>
            </w:hyperlink>
          </w:p>
        </w:tc>
        <w:tc>
          <w:tcPr>
            <w:tcW w:w="1100" w:type="dxa"/>
            <w:vAlign w:val="bottom"/>
            <w:tcBorders>
              <w:top w:val="single" w:sz="8" w:color="0000EE"/>
              <w:bottom w:val="single" w:sz="8" w:color="0000EE"/>
            </w:tcBorders>
            <w:gridSpan w:val="4"/>
            <w:shd w:val="clear" w:color="auto" w:fill="CCEEFF"/>
          </w:tcPr>
          <w:p>
            <w:pPr>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OPERATIONS</w:t>
              </w:r>
            </w:hyperlink>
          </w:p>
        </w:tc>
        <w:tc>
          <w:tcPr>
            <w:tcW w:w="6660" w:type="dxa"/>
            <w:vAlign w:val="bottom"/>
            <w:tcBorders>
              <w:top w:val="single" w:sz="8" w:color="0000EE"/>
              <w:bottom w:val="single" w:sz="8" w:color="CCEEFF"/>
            </w:tcBorders>
            <w:gridSpan w:val="10"/>
            <w:shd w:val="clear" w:color="auto" w:fill="CCEEFF"/>
          </w:tcPr>
          <w:p>
            <w:pPr>
              <w:spacing w:after="0"/>
              <w:rPr>
                <w:sz w:val="21"/>
                <w:szCs w:val="21"/>
                <w:color w:val="auto"/>
              </w:rPr>
            </w:pPr>
          </w:p>
        </w:tc>
        <w:tc>
          <w:tcPr>
            <w:tcW w:w="7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0000EE"/>
              <w:bottom w:val="single" w:sz="8" w:color="CCEEFF"/>
            </w:tcBorders>
            <w:shd w:val="clear" w:color="auto" w:fill="CCEEFF"/>
          </w:tcPr>
          <w:p>
            <w:pPr>
              <w:spacing w:after="0"/>
              <w:rPr>
                <w:sz w:val="21"/>
                <w:szCs w:val="21"/>
                <w:color w:val="auto"/>
              </w:rPr>
            </w:pPr>
          </w:p>
        </w:tc>
        <w:tc>
          <w:tcPr>
            <w:tcW w:w="100" w:type="dxa"/>
            <w:vAlign w:val="bottom"/>
            <w:tcBorders>
              <w:top w:val="single" w:sz="8" w:color="0000EE"/>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480"/>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ITEM 3.</w:t>
              </w:r>
            </w:hyperlink>
          </w:p>
        </w:tc>
        <w:tc>
          <w:tcPr>
            <w:tcW w:w="8460" w:type="dxa"/>
            <w:vAlign w:val="bottom"/>
            <w:gridSpan w:val="15"/>
          </w:tcPr>
          <w:p>
            <w:pPr>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1080" w:type="dxa"/>
            <w:vAlign w:val="bottom"/>
            <w:gridSpan w:val="5"/>
          </w:tcPr>
          <w:p>
            <w:pPr>
              <w:jc w:val="right"/>
              <w:ind w:right="20"/>
              <w:spacing w:after="0" w:line="202" w:lineRule="exact"/>
              <w:rPr>
                <w:rFonts w:ascii="Arial" w:cs="Arial" w:eastAsia="Arial" w:hAnsi="Arial"/>
                <w:sz w:val="18"/>
                <w:szCs w:val="18"/>
                <w:color w:val="0000EE"/>
              </w:rPr>
            </w:pPr>
            <w:hyperlink w:anchor="page33">
              <w:r>
                <w:rPr>
                  <w:rFonts w:ascii="Arial" w:cs="Arial" w:eastAsia="Arial" w:hAnsi="Arial"/>
                  <w:sz w:val="18"/>
                  <w:szCs w:val="18"/>
                  <w:color w:val="0000EE"/>
                </w:rPr>
                <w:t>29</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7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840" w:type="dxa"/>
            <w:vAlign w:val="bottom"/>
            <w:shd w:val="clear" w:color="auto" w:fill="CCEEFF"/>
          </w:tcPr>
          <w:p>
            <w:pPr>
              <w:ind w:left="480"/>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ITEM 4.</w:t>
              </w:r>
            </w:hyperlink>
          </w:p>
        </w:tc>
        <w:tc>
          <w:tcPr>
            <w:tcW w:w="2600" w:type="dxa"/>
            <w:vAlign w:val="bottom"/>
            <w:gridSpan w:val="9"/>
            <w:shd w:val="clear" w:color="auto" w:fill="CCEEFF"/>
          </w:tcPr>
          <w:p>
            <w:pPr>
              <w:spacing w:after="0" w:line="202" w:lineRule="exact"/>
              <w:rPr>
                <w:rFonts w:ascii="Arial" w:cs="Arial" w:eastAsia="Arial" w:hAnsi="Arial"/>
                <w:sz w:val="18"/>
                <w:szCs w:val="18"/>
                <w:color w:val="0000EE"/>
                <w:w w:val="93"/>
              </w:rPr>
            </w:pPr>
            <w:hyperlink w:anchor="page34">
              <w:r>
                <w:rPr>
                  <w:rFonts w:ascii="Arial" w:cs="Arial" w:eastAsia="Arial" w:hAnsi="Arial"/>
                  <w:sz w:val="18"/>
                  <w:szCs w:val="18"/>
                  <w:color w:val="0000EE"/>
                  <w:w w:val="93"/>
                </w:rPr>
                <w:t>CONTROLS AND PROCEDURES</w:t>
              </w:r>
            </w:hyperlink>
          </w:p>
        </w:tc>
        <w:tc>
          <w:tcPr>
            <w:tcW w:w="5860" w:type="dxa"/>
            <w:vAlign w:val="bottom"/>
            <w:gridSpan w:val="6"/>
            <w:shd w:val="clear" w:color="auto" w:fill="CCEEFF"/>
          </w:tcPr>
          <w:p>
            <w:pPr>
              <w:spacing w:after="0"/>
              <w:rPr>
                <w:sz w:val="21"/>
                <w:szCs w:val="21"/>
                <w:color w:val="auto"/>
              </w:rPr>
            </w:pPr>
          </w:p>
        </w:tc>
        <w:tc>
          <w:tcPr>
            <w:tcW w:w="108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30</w:t>
              </w:r>
            </w:hyperlink>
          </w:p>
        </w:tc>
      </w:tr>
      <w:tr>
        <w:trPr>
          <w:trHeight w:val="270"/>
        </w:trPr>
        <w:tc>
          <w:tcPr>
            <w:tcW w:w="4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c>
          <w:tcPr>
            <w:tcW w:w="72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6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56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7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620" w:type="dxa"/>
            <w:vAlign w:val="bottom"/>
            <w:tcBorders>
              <w:top w:val="single" w:sz="8" w:color="CCEEFF"/>
            </w:tcBorders>
          </w:tcPr>
          <w:p>
            <w:pPr>
              <w:spacing w:after="0"/>
              <w:rPr>
                <w:sz w:val="23"/>
                <w:szCs w:val="23"/>
                <w:color w:val="auto"/>
              </w:rPr>
            </w:pPr>
          </w:p>
        </w:tc>
        <w:tc>
          <w:tcPr>
            <w:tcW w:w="700" w:type="dxa"/>
            <w:vAlign w:val="bottom"/>
            <w:tcBorders>
              <w:top w:val="single" w:sz="8" w:color="CCEEFF"/>
            </w:tcBorders>
          </w:tcPr>
          <w:p>
            <w:pPr>
              <w:spacing w:after="0"/>
              <w:rPr>
                <w:sz w:val="23"/>
                <w:szCs w:val="23"/>
                <w:color w:val="auto"/>
              </w:rPr>
            </w:pPr>
          </w:p>
        </w:tc>
        <w:tc>
          <w:tcPr>
            <w:tcW w:w="68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1034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PART II. OTHER INFORMATION</w:t>
              </w:r>
            </w:hyperlink>
          </w:p>
        </w:tc>
        <w:tc>
          <w:tcPr>
            <w:tcW w:w="108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31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48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ITEM 1.</w:t>
              </w:r>
            </w:hyperlink>
          </w:p>
        </w:tc>
        <w:tc>
          <w:tcPr>
            <w:tcW w:w="8460" w:type="dxa"/>
            <w:vAlign w:val="bottom"/>
            <w:gridSpan w:val="15"/>
          </w:tcPr>
          <w:p>
            <w:pPr>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1080" w:type="dxa"/>
            <w:vAlign w:val="bottom"/>
            <w:gridSpan w:val="5"/>
          </w:tcPr>
          <w:p>
            <w:pPr>
              <w:jc w:val="right"/>
              <w:ind w:right="2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31</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840" w:type="dxa"/>
            <w:vAlign w:val="bottom"/>
            <w:shd w:val="clear" w:color="auto" w:fill="CCEEFF"/>
          </w:tcPr>
          <w:p>
            <w:pPr>
              <w:ind w:left="50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ITEM 1A.</w:t>
              </w:r>
            </w:hyperlink>
          </w:p>
        </w:tc>
        <w:tc>
          <w:tcPr>
            <w:tcW w:w="8460" w:type="dxa"/>
            <w:vAlign w:val="bottom"/>
            <w:gridSpan w:val="15"/>
            <w:shd w:val="clear" w:color="auto" w:fill="CCEEFF"/>
          </w:tcPr>
          <w:p>
            <w:pPr>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108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31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50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ITEM 2.</w:t>
              </w:r>
            </w:hyperlink>
          </w:p>
        </w:tc>
        <w:tc>
          <w:tcPr>
            <w:tcW w:w="8460" w:type="dxa"/>
            <w:vAlign w:val="bottom"/>
            <w:gridSpan w:val="15"/>
          </w:tcPr>
          <w:p>
            <w:pPr>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UNREGISTERED SALES OF EQUITY SECURITIES AND USE OF PROCEEDS</w:t>
              </w:r>
            </w:hyperlink>
          </w:p>
        </w:tc>
        <w:tc>
          <w:tcPr>
            <w:tcW w:w="1080" w:type="dxa"/>
            <w:vAlign w:val="bottom"/>
            <w:gridSpan w:val="5"/>
          </w:tcPr>
          <w:p>
            <w:pPr>
              <w:jc w:val="right"/>
              <w:ind w:right="2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31</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7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840" w:type="dxa"/>
            <w:vAlign w:val="bottom"/>
            <w:shd w:val="clear" w:color="auto" w:fill="CCEEFF"/>
          </w:tcPr>
          <w:p>
            <w:pPr>
              <w:ind w:left="48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ITEM 3.</w:t>
              </w:r>
            </w:hyperlink>
          </w:p>
        </w:tc>
        <w:tc>
          <w:tcPr>
            <w:tcW w:w="3180" w:type="dxa"/>
            <w:vAlign w:val="bottom"/>
            <w:gridSpan w:val="10"/>
            <w:shd w:val="clear" w:color="auto" w:fill="CCEEFF"/>
          </w:tcPr>
          <w:p>
            <w:pPr>
              <w:spacing w:after="0" w:line="202" w:lineRule="exact"/>
              <w:rPr>
                <w:rFonts w:ascii="Arial" w:cs="Arial" w:eastAsia="Arial" w:hAnsi="Arial"/>
                <w:sz w:val="18"/>
                <w:szCs w:val="18"/>
                <w:color w:val="0000EE"/>
                <w:w w:val="93"/>
              </w:rPr>
            </w:pPr>
            <w:hyperlink w:anchor="page35">
              <w:r>
                <w:rPr>
                  <w:rFonts w:ascii="Arial" w:cs="Arial" w:eastAsia="Arial" w:hAnsi="Arial"/>
                  <w:sz w:val="18"/>
                  <w:szCs w:val="18"/>
                  <w:color w:val="0000EE"/>
                  <w:w w:val="93"/>
                </w:rPr>
                <w:t>DEFAULTS UPON SENIOR SECURITIES</w:t>
              </w:r>
            </w:hyperlink>
          </w:p>
        </w:tc>
        <w:tc>
          <w:tcPr>
            <w:tcW w:w="5280" w:type="dxa"/>
            <w:vAlign w:val="bottom"/>
            <w:gridSpan w:val="5"/>
            <w:shd w:val="clear" w:color="auto" w:fill="CCEEFF"/>
          </w:tcPr>
          <w:p>
            <w:pPr>
              <w:spacing w:after="0"/>
              <w:rPr>
                <w:sz w:val="17"/>
                <w:szCs w:val="17"/>
                <w:color w:val="auto"/>
              </w:rPr>
            </w:pPr>
          </w:p>
        </w:tc>
        <w:tc>
          <w:tcPr>
            <w:tcW w:w="108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31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48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ITEM 4.</w:t>
              </w:r>
            </w:hyperlink>
          </w:p>
        </w:tc>
        <w:tc>
          <w:tcPr>
            <w:tcW w:w="3180" w:type="dxa"/>
            <w:vAlign w:val="bottom"/>
            <w:gridSpan w:val="10"/>
          </w:tcPr>
          <w:p>
            <w:pPr>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MINE SAFETY DISCLOSURES</w:t>
              </w:r>
            </w:hyperlink>
          </w:p>
        </w:tc>
        <w:tc>
          <w:tcPr>
            <w:tcW w:w="5280" w:type="dxa"/>
            <w:vAlign w:val="bottom"/>
            <w:gridSpan w:val="5"/>
          </w:tcPr>
          <w:p>
            <w:pPr>
              <w:spacing w:after="0"/>
              <w:rPr>
                <w:sz w:val="17"/>
                <w:szCs w:val="17"/>
                <w:color w:val="auto"/>
              </w:rPr>
            </w:pPr>
          </w:p>
        </w:tc>
        <w:tc>
          <w:tcPr>
            <w:tcW w:w="1080" w:type="dxa"/>
            <w:vAlign w:val="bottom"/>
            <w:gridSpan w:val="5"/>
          </w:tcPr>
          <w:p>
            <w:pPr>
              <w:jc w:val="right"/>
              <w:ind w:right="2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31</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840" w:type="dxa"/>
            <w:vAlign w:val="bottom"/>
            <w:shd w:val="clear" w:color="auto" w:fill="CCEEFF"/>
          </w:tcPr>
          <w:p>
            <w:pPr>
              <w:ind w:left="50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ITEM 5.</w:t>
              </w:r>
            </w:hyperlink>
          </w:p>
        </w:tc>
        <w:tc>
          <w:tcPr>
            <w:tcW w:w="1880" w:type="dxa"/>
            <w:vAlign w:val="bottom"/>
            <w:gridSpan w:val="7"/>
            <w:shd w:val="clear" w:color="auto" w:fill="CCEEFF"/>
          </w:tcPr>
          <w:p>
            <w:pPr>
              <w:spacing w:after="0" w:line="202" w:lineRule="exact"/>
              <w:rPr>
                <w:rFonts w:ascii="Arial" w:cs="Arial" w:eastAsia="Arial" w:hAnsi="Arial"/>
                <w:sz w:val="18"/>
                <w:szCs w:val="18"/>
                <w:color w:val="0000EE"/>
                <w:w w:val="95"/>
              </w:rPr>
            </w:pPr>
            <w:hyperlink w:anchor="page35">
              <w:r>
                <w:rPr>
                  <w:rFonts w:ascii="Arial" w:cs="Arial" w:eastAsia="Arial" w:hAnsi="Arial"/>
                  <w:sz w:val="18"/>
                  <w:szCs w:val="18"/>
                  <w:color w:val="0000EE"/>
                  <w:w w:val="95"/>
                </w:rPr>
                <w:t>OTHER INFORMATION</w:t>
              </w:r>
            </w:hyperlink>
          </w:p>
        </w:tc>
        <w:tc>
          <w:tcPr>
            <w:tcW w:w="6580" w:type="dxa"/>
            <w:vAlign w:val="bottom"/>
            <w:gridSpan w:val="8"/>
            <w:shd w:val="clear" w:color="auto" w:fill="CCEEFF"/>
          </w:tcPr>
          <w:p>
            <w:pPr>
              <w:spacing w:after="0"/>
              <w:rPr>
                <w:sz w:val="17"/>
                <w:szCs w:val="17"/>
                <w:color w:val="auto"/>
              </w:rPr>
            </w:pPr>
          </w:p>
        </w:tc>
        <w:tc>
          <w:tcPr>
            <w:tcW w:w="1080" w:type="dxa"/>
            <w:vAlign w:val="bottom"/>
            <w:gridSpan w:val="5"/>
            <w:shd w:val="clear" w:color="auto" w:fill="CCEEFF"/>
          </w:tcPr>
          <w:p>
            <w:pPr>
              <w:jc w:val="right"/>
              <w:ind w:right="2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31</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50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ITEM 6.</w:t>
              </w:r>
            </w:hyperlink>
          </w:p>
        </w:tc>
        <w:tc>
          <w:tcPr>
            <w:tcW w:w="820" w:type="dxa"/>
            <w:vAlign w:val="bottom"/>
            <w:gridSpan w:val="2"/>
          </w:tcPr>
          <w:p>
            <w:pPr>
              <w:spacing w:after="0" w:line="202" w:lineRule="exact"/>
              <w:rPr>
                <w:rFonts w:ascii="Arial" w:cs="Arial" w:eastAsia="Arial" w:hAnsi="Arial"/>
                <w:sz w:val="18"/>
                <w:szCs w:val="18"/>
                <w:color w:val="0000EE"/>
                <w:w w:val="97"/>
              </w:rPr>
            </w:pPr>
            <w:hyperlink w:anchor="page35">
              <w:r>
                <w:rPr>
                  <w:rFonts w:ascii="Arial" w:cs="Arial" w:eastAsia="Arial" w:hAnsi="Arial"/>
                  <w:sz w:val="18"/>
                  <w:szCs w:val="18"/>
                  <w:color w:val="0000EE"/>
                  <w:w w:val="97"/>
                </w:rPr>
                <w:t>EXHIBITS</w:t>
              </w:r>
            </w:hyperlink>
          </w:p>
        </w:tc>
        <w:tc>
          <w:tcPr>
            <w:tcW w:w="1060" w:type="dxa"/>
            <w:vAlign w:val="bottom"/>
            <w:gridSpan w:val="5"/>
          </w:tcPr>
          <w:p>
            <w:pPr>
              <w:spacing w:after="0"/>
              <w:rPr>
                <w:sz w:val="17"/>
                <w:szCs w:val="17"/>
                <w:color w:val="auto"/>
              </w:rPr>
            </w:pPr>
          </w:p>
        </w:tc>
        <w:tc>
          <w:tcPr>
            <w:tcW w:w="6580" w:type="dxa"/>
            <w:vAlign w:val="bottom"/>
            <w:gridSpan w:val="8"/>
          </w:tcPr>
          <w:p>
            <w:pPr>
              <w:spacing w:after="0"/>
              <w:rPr>
                <w:sz w:val="17"/>
                <w:szCs w:val="17"/>
                <w:color w:val="auto"/>
              </w:rPr>
            </w:pPr>
          </w:p>
        </w:tc>
        <w:tc>
          <w:tcPr>
            <w:tcW w:w="1080" w:type="dxa"/>
            <w:vAlign w:val="bottom"/>
            <w:gridSpan w:val="5"/>
          </w:tcPr>
          <w:p>
            <w:pPr>
              <w:jc w:val="right"/>
              <w:ind w:right="2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31</w:t>
              </w:r>
            </w:hyperlink>
          </w:p>
        </w:tc>
      </w:tr>
      <w:tr>
        <w:trPr>
          <w:trHeight w:val="939"/>
        </w:trPr>
        <w:tc>
          <w:tcPr>
            <w:tcW w:w="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20" w:type="dxa"/>
            <w:vAlign w:val="bottom"/>
            <w:tcBorders>
              <w:top w:val="single" w:sz="8" w:color="0000EE"/>
            </w:tcBorders>
            <w:gridSpan w:val="2"/>
          </w:tcPr>
          <w:p>
            <w:pPr>
              <w:spacing w:after="0"/>
              <w:rPr>
                <w:sz w:val="24"/>
                <w:szCs w:val="24"/>
                <w:color w:val="auto"/>
              </w:rPr>
            </w:pPr>
          </w:p>
        </w:tc>
        <w:tc>
          <w:tcPr>
            <w:tcW w:w="5240" w:type="dxa"/>
            <w:vAlign w:val="bottom"/>
            <w:gridSpan w:val="10"/>
          </w:tcPr>
          <w:p>
            <w:pPr>
              <w:jc w:val="right"/>
              <w:ind w:right="21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823" w:right="239" w:bottom="1440" w:gutter="0" w:footer="0" w:header="0"/>
        </w:sectPr>
      </w:pPr>
    </w:p>
    <w:bookmarkStart w:id="2" w:name="page3"/>
    <w:bookmarkEnd w:id="2"/>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ARBUTUS BIOPHARMA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(Expressed in thousands of U.S. dollars, except share and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560" w:type="dxa"/>
            <w:vAlign w:val="bottom"/>
          </w:tcPr>
          <w:p>
            <w:pPr>
              <w:spacing w:after="0"/>
              <w:rPr>
                <w:sz w:val="20"/>
                <w:szCs w:val="20"/>
                <w:color w:val="auto"/>
              </w:rPr>
            </w:pPr>
            <w:r>
              <w:rPr>
                <w:rFonts w:ascii="Arial" w:cs="Arial" w:eastAsia="Arial" w:hAnsi="Arial"/>
                <w:sz w:val="16"/>
                <w:szCs w:val="16"/>
                <w:color w:val="auto"/>
              </w:rPr>
              <w:t>(Prepared in accordance with US GAAP)</w:t>
            </w:r>
          </w:p>
        </w:tc>
        <w:tc>
          <w:tcPr>
            <w:tcW w:w="17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6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60" w:type="dxa"/>
            <w:vAlign w:val="bottom"/>
          </w:tcPr>
          <w:p>
            <w:pPr>
              <w:jc w:val="right"/>
              <w:ind w:right="270"/>
              <w:spacing w:after="0"/>
              <w:rPr>
                <w:sz w:val="20"/>
                <w:szCs w:val="20"/>
                <w:color w:val="auto"/>
              </w:rPr>
            </w:pPr>
            <w:r>
              <w:rPr>
                <w:rFonts w:ascii="Arial" w:cs="Arial" w:eastAsia="Arial" w:hAnsi="Arial"/>
                <w:sz w:val="18"/>
                <w:szCs w:val="18"/>
                <w:b w:val="1"/>
                <w:bCs w:val="1"/>
                <w:color w:val="auto"/>
                <w:w w:val="95"/>
              </w:rPr>
              <w:t>September 30,</w:t>
            </w:r>
          </w:p>
        </w:tc>
        <w:tc>
          <w:tcPr>
            <w:tcW w:w="240" w:type="dxa"/>
            <w:vAlign w:val="bottom"/>
          </w:tcPr>
          <w:p>
            <w:pPr>
              <w:spacing w:after="0"/>
              <w:rPr>
                <w:sz w:val="24"/>
                <w:szCs w:val="24"/>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70"/>
        </w:trPr>
        <w:tc>
          <w:tcPr>
            <w:tcW w:w="65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56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3"/>
                <w:szCs w:val="23"/>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65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56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7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7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60" w:type="dxa"/>
            <w:vAlign w:val="bottom"/>
          </w:tcPr>
          <w:p>
            <w:pPr>
              <w:ind w:left="80"/>
              <w:spacing w:after="0"/>
              <w:rPr>
                <w:sz w:val="20"/>
                <w:szCs w:val="20"/>
                <w:color w:val="auto"/>
              </w:rPr>
            </w:pPr>
            <w:r>
              <w:rPr>
                <w:rFonts w:ascii="Arial" w:cs="Arial" w:eastAsia="Arial" w:hAnsi="Arial"/>
                <w:sz w:val="18"/>
                <w:szCs w:val="18"/>
                <w:color w:val="auto"/>
              </w:rPr>
              <w:t>Cash and cash equivalents (note 2)</w:t>
            </w:r>
          </w:p>
        </w:tc>
        <w:tc>
          <w:tcPr>
            <w:tcW w:w="17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560" w:type="dxa"/>
            <w:vAlign w:val="bottom"/>
          </w:tcPr>
          <w:p>
            <w:pPr>
              <w:jc w:val="right"/>
              <w:ind w:right="50"/>
              <w:spacing w:after="0"/>
              <w:rPr>
                <w:sz w:val="20"/>
                <w:szCs w:val="20"/>
                <w:color w:val="auto"/>
              </w:rPr>
            </w:pPr>
            <w:r>
              <w:rPr>
                <w:rFonts w:ascii="Arial" w:cs="Arial" w:eastAsia="Arial" w:hAnsi="Arial"/>
                <w:sz w:val="18"/>
                <w:szCs w:val="18"/>
                <w:b w:val="1"/>
                <w:bCs w:val="1"/>
                <w:color w:val="auto"/>
              </w:rPr>
              <w:t>21,933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54,292</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Short-term investments (note 2)</w:t>
            </w:r>
          </w:p>
        </w:tc>
        <w:tc>
          <w:tcPr>
            <w:tcW w:w="17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120,085</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72,060</w:t>
            </w:r>
          </w:p>
        </w:tc>
        <w:tc>
          <w:tcPr>
            <w:tcW w:w="0" w:type="dxa"/>
            <w:vAlign w:val="bottom"/>
          </w:tcPr>
          <w:p>
            <w:pPr>
              <w:spacing w:after="0"/>
              <w:rPr>
                <w:sz w:val="1"/>
                <w:szCs w:val="1"/>
                <w:color w:val="auto"/>
              </w:rPr>
            </w:pPr>
          </w:p>
        </w:tc>
      </w:tr>
      <w:tr>
        <w:trPr>
          <w:trHeight w:val="243"/>
        </w:trPr>
        <w:tc>
          <w:tcPr>
            <w:tcW w:w="6560" w:type="dxa"/>
            <w:vAlign w:val="bottom"/>
          </w:tcPr>
          <w:p>
            <w:pPr>
              <w:ind w:left="80"/>
              <w:spacing w:after="0"/>
              <w:rPr>
                <w:sz w:val="20"/>
                <w:szCs w:val="20"/>
                <w:color w:val="auto"/>
              </w:rPr>
            </w:pPr>
            <w:r>
              <w:rPr>
                <w:rFonts w:ascii="Arial" w:cs="Arial" w:eastAsia="Arial" w:hAnsi="Arial"/>
                <w:sz w:val="18"/>
                <w:szCs w:val="18"/>
                <w:color w:val="auto"/>
              </w:rPr>
              <w:t>Accounts receivable</w:t>
            </w:r>
          </w:p>
        </w:tc>
        <w:tc>
          <w:tcPr>
            <w:tcW w:w="1760" w:type="dxa"/>
            <w:vAlign w:val="bottom"/>
          </w:tcPr>
          <w:p>
            <w:pPr>
              <w:spacing w:after="0"/>
              <w:rPr>
                <w:sz w:val="21"/>
                <w:szCs w:val="21"/>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b w:val="1"/>
                <w:bCs w:val="1"/>
                <w:color w:val="auto"/>
              </w:rPr>
              <w:t>538</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Accrued revenue</w:t>
            </w:r>
          </w:p>
        </w:tc>
        <w:tc>
          <w:tcPr>
            <w:tcW w:w="17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6560" w:type="dxa"/>
            <w:vAlign w:val="bottom"/>
          </w:tcPr>
          <w:p>
            <w:pPr>
              <w:ind w:left="80"/>
              <w:spacing w:after="0"/>
              <w:rPr>
                <w:sz w:val="20"/>
                <w:szCs w:val="20"/>
                <w:color w:val="auto"/>
              </w:rPr>
            </w:pPr>
            <w:r>
              <w:rPr>
                <w:rFonts w:ascii="Arial" w:cs="Arial" w:eastAsia="Arial" w:hAnsi="Arial"/>
                <w:sz w:val="18"/>
                <w:szCs w:val="18"/>
                <w:color w:val="auto"/>
              </w:rPr>
              <w:t>Investment tax credits receivable</w:t>
            </w:r>
          </w:p>
        </w:tc>
        <w:tc>
          <w:tcPr>
            <w:tcW w:w="1760" w:type="dxa"/>
            <w:vAlign w:val="bottom"/>
          </w:tcPr>
          <w:p>
            <w:pPr>
              <w:spacing w:after="0"/>
              <w:rPr>
                <w:sz w:val="21"/>
                <w:szCs w:val="21"/>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b w:val="1"/>
                <w:bCs w:val="1"/>
                <w:color w:val="auto"/>
              </w:rPr>
              <w:t>342</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Prepaid expenses and other assets</w:t>
            </w:r>
          </w:p>
        </w:tc>
        <w:tc>
          <w:tcPr>
            <w:tcW w:w="17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1,127</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2,144</w:t>
            </w:r>
          </w:p>
        </w:tc>
        <w:tc>
          <w:tcPr>
            <w:tcW w:w="0" w:type="dxa"/>
            <w:vAlign w:val="bottom"/>
          </w:tcPr>
          <w:p>
            <w:pPr>
              <w:spacing w:after="0"/>
              <w:rPr>
                <w:sz w:val="1"/>
                <w:szCs w:val="1"/>
                <w:color w:val="auto"/>
              </w:rPr>
            </w:pPr>
          </w:p>
        </w:tc>
      </w:tr>
      <w:tr>
        <w:trPr>
          <w:trHeight w:val="237"/>
        </w:trPr>
        <w:tc>
          <w:tcPr>
            <w:tcW w:w="65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current assets</w:t>
            </w:r>
          </w:p>
        </w:tc>
        <w:tc>
          <w:tcPr>
            <w:tcW w:w="17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144,025</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129,366</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investment (note 2)</w:t>
            </w:r>
          </w:p>
        </w:tc>
        <w:tc>
          <w:tcPr>
            <w:tcW w:w="17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12,601</w:t>
            </w:r>
          </w:p>
        </w:tc>
        <w:tc>
          <w:tcPr>
            <w:tcW w:w="0" w:type="dxa"/>
            <w:vAlign w:val="bottom"/>
          </w:tcPr>
          <w:p>
            <w:pPr>
              <w:spacing w:after="0"/>
              <w:rPr>
                <w:sz w:val="1"/>
                <w:szCs w:val="1"/>
                <w:color w:val="auto"/>
              </w:rPr>
            </w:pP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Investment in Genevant (note 3)</w:t>
            </w:r>
          </w:p>
        </w:tc>
        <w:tc>
          <w:tcPr>
            <w:tcW w:w="1760" w:type="dxa"/>
            <w:vAlign w:val="bottom"/>
          </w:tcPr>
          <w:p>
            <w:pPr>
              <w:spacing w:after="0"/>
              <w:rPr>
                <w:sz w:val="21"/>
                <w:szCs w:val="21"/>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b w:val="1"/>
                <w:bCs w:val="1"/>
                <w:color w:val="auto"/>
              </w:rPr>
              <w:t>24,665</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17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16,813</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24,854</w:t>
            </w:r>
          </w:p>
        </w:tc>
        <w:tc>
          <w:tcPr>
            <w:tcW w:w="0" w:type="dxa"/>
            <w:vAlign w:val="bottom"/>
          </w:tcPr>
          <w:p>
            <w:pPr>
              <w:spacing w:after="0"/>
              <w:rPr>
                <w:sz w:val="1"/>
                <w:szCs w:val="1"/>
                <w:color w:val="auto"/>
              </w:rPr>
            </w:pP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17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(6,392)</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(12,671)</w:t>
            </w:r>
          </w:p>
        </w:tc>
        <w:tc>
          <w:tcPr>
            <w:tcW w:w="0" w:type="dxa"/>
            <w:vAlign w:val="bottom"/>
          </w:tcPr>
          <w:p>
            <w:pPr>
              <w:spacing w:after="0"/>
              <w:rPr>
                <w:sz w:val="1"/>
                <w:szCs w:val="1"/>
                <w:color w:val="auto"/>
              </w:rPr>
            </w:pPr>
          </w:p>
        </w:tc>
      </w:tr>
      <w:tr>
        <w:trPr>
          <w:trHeight w:val="27"/>
        </w:trPr>
        <w:tc>
          <w:tcPr>
            <w:tcW w:w="65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 of accumulated depreciation</w:t>
            </w:r>
          </w:p>
        </w:tc>
        <w:tc>
          <w:tcPr>
            <w:tcW w:w="17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10,421</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12,183</w:t>
            </w:r>
          </w:p>
        </w:tc>
        <w:tc>
          <w:tcPr>
            <w:tcW w:w="0" w:type="dxa"/>
            <w:vAlign w:val="bottom"/>
          </w:tcPr>
          <w:p>
            <w:pPr>
              <w:spacing w:after="0"/>
              <w:rPr>
                <w:sz w:val="1"/>
                <w:szCs w:val="1"/>
                <w:color w:val="auto"/>
              </w:rPr>
            </w:pP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Intangible assets (note 4)</w:t>
            </w:r>
          </w:p>
        </w:tc>
        <w:tc>
          <w:tcPr>
            <w:tcW w:w="1760" w:type="dxa"/>
            <w:vAlign w:val="bottom"/>
          </w:tcPr>
          <w:p>
            <w:pPr>
              <w:spacing w:after="0"/>
              <w:rPr>
                <w:sz w:val="21"/>
                <w:szCs w:val="21"/>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b w:val="1"/>
                <w:bCs w:val="1"/>
                <w:color w:val="auto"/>
              </w:rPr>
              <w:t>43,836</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58,647</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(note 4)</w:t>
            </w:r>
          </w:p>
        </w:tc>
        <w:tc>
          <w:tcPr>
            <w:tcW w:w="17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22,471</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24,364</w:t>
            </w:r>
          </w:p>
        </w:tc>
        <w:tc>
          <w:tcPr>
            <w:tcW w:w="0" w:type="dxa"/>
            <w:vAlign w:val="bottom"/>
          </w:tcPr>
          <w:p>
            <w:pPr>
              <w:spacing w:after="0"/>
              <w:rPr>
                <w:sz w:val="1"/>
                <w:szCs w:val="1"/>
                <w:color w:val="auto"/>
              </w:rPr>
            </w:pPr>
          </w:p>
        </w:tc>
      </w:tr>
      <w:tr>
        <w:trPr>
          <w:trHeight w:val="237"/>
        </w:trPr>
        <w:tc>
          <w:tcPr>
            <w:tcW w:w="65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245,418</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237,161</w:t>
            </w:r>
          </w:p>
        </w:tc>
        <w:tc>
          <w:tcPr>
            <w:tcW w:w="0" w:type="dxa"/>
            <w:vAlign w:val="bottom"/>
          </w:tcPr>
          <w:p>
            <w:pPr>
              <w:spacing w:after="0"/>
              <w:rPr>
                <w:sz w:val="1"/>
                <w:szCs w:val="1"/>
                <w:color w:val="auto"/>
              </w:rPr>
            </w:pPr>
          </w:p>
        </w:tc>
      </w:tr>
      <w:tr>
        <w:trPr>
          <w:trHeight w:val="27"/>
        </w:trPr>
        <w:tc>
          <w:tcPr>
            <w:tcW w:w="65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7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7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Accounts payable and accrued liabilities (note 7)</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8,511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10,646</w:t>
            </w:r>
          </w:p>
        </w:tc>
        <w:tc>
          <w:tcPr>
            <w:tcW w:w="0" w:type="dxa"/>
            <w:vAlign w:val="bottom"/>
          </w:tcPr>
          <w:p>
            <w:pPr>
              <w:spacing w:after="0"/>
              <w:rPr>
                <w:sz w:val="1"/>
                <w:szCs w:val="1"/>
                <w:color w:val="auto"/>
              </w:rPr>
            </w:pPr>
          </w:p>
        </w:tc>
      </w:tr>
      <w:tr>
        <w:trPr>
          <w:trHeight w:val="243"/>
        </w:trPr>
        <w:tc>
          <w:tcPr>
            <w:tcW w:w="6560" w:type="dxa"/>
            <w:vAlign w:val="bottom"/>
          </w:tcPr>
          <w:p>
            <w:pPr>
              <w:ind w:left="80"/>
              <w:spacing w:after="0"/>
              <w:rPr>
                <w:sz w:val="20"/>
                <w:szCs w:val="20"/>
                <w:color w:val="auto"/>
              </w:rPr>
            </w:pPr>
            <w:r>
              <w:rPr>
                <w:rFonts w:ascii="Arial" w:cs="Arial" w:eastAsia="Arial" w:hAnsi="Arial"/>
                <w:sz w:val="18"/>
                <w:szCs w:val="18"/>
                <w:color w:val="auto"/>
              </w:rPr>
              <w:t>Deferred revenue (note 5)</w:t>
            </w:r>
          </w:p>
        </w:tc>
        <w:tc>
          <w:tcPr>
            <w:tcW w:w="1760" w:type="dxa"/>
            <w:vAlign w:val="bottom"/>
          </w:tcPr>
          <w:p>
            <w:pPr>
              <w:spacing w:after="0"/>
              <w:rPr>
                <w:sz w:val="21"/>
                <w:szCs w:val="21"/>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b w:val="1"/>
                <w:bCs w:val="1"/>
                <w:color w:val="auto"/>
              </w:rPr>
              <w:t>649</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2,742</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Liability-classified options (note 2)</w:t>
            </w:r>
          </w:p>
        </w:tc>
        <w:tc>
          <w:tcPr>
            <w:tcW w:w="17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2,738</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43"/>
        </w:trPr>
        <w:tc>
          <w:tcPr>
            <w:tcW w:w="6560" w:type="dxa"/>
            <w:vAlign w:val="bottom"/>
          </w:tcPr>
          <w:p>
            <w:pPr>
              <w:ind w:left="80"/>
              <w:spacing w:after="0"/>
              <w:rPr>
                <w:sz w:val="20"/>
                <w:szCs w:val="20"/>
                <w:color w:val="auto"/>
              </w:rPr>
            </w:pPr>
            <w:r>
              <w:rPr>
                <w:rFonts w:ascii="Arial" w:cs="Arial" w:eastAsia="Arial" w:hAnsi="Arial"/>
                <w:sz w:val="18"/>
                <w:szCs w:val="18"/>
                <w:color w:val="auto"/>
              </w:rPr>
              <w:t>Site consolidation accrual (note 9)</w:t>
            </w:r>
          </w:p>
        </w:tc>
        <w:tc>
          <w:tcPr>
            <w:tcW w:w="1760" w:type="dxa"/>
            <w:vAlign w:val="bottom"/>
          </w:tcPr>
          <w:p>
            <w:pPr>
              <w:spacing w:after="0"/>
              <w:rPr>
                <w:sz w:val="21"/>
                <w:szCs w:val="21"/>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b w:val="1"/>
                <w:bCs w:val="1"/>
                <w:color w:val="auto"/>
              </w:rPr>
              <w:t>770</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7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12,668</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14,627</w:t>
            </w:r>
          </w:p>
        </w:tc>
        <w:tc>
          <w:tcPr>
            <w:tcW w:w="0" w:type="dxa"/>
            <w:vAlign w:val="bottom"/>
          </w:tcPr>
          <w:p>
            <w:pPr>
              <w:spacing w:after="0"/>
              <w:rPr>
                <w:sz w:val="1"/>
                <w:szCs w:val="1"/>
                <w:color w:val="auto"/>
              </w:rPr>
            </w:pP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Deferred lease incentives, net of current portion</w:t>
            </w:r>
          </w:p>
        </w:tc>
        <w:tc>
          <w:tcPr>
            <w:tcW w:w="1760" w:type="dxa"/>
            <w:vAlign w:val="bottom"/>
          </w:tcPr>
          <w:p>
            <w:pPr>
              <w:spacing w:after="0"/>
              <w:rPr>
                <w:sz w:val="21"/>
                <w:szCs w:val="21"/>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b w:val="1"/>
                <w:bCs w:val="1"/>
                <w:color w:val="auto"/>
              </w:rPr>
              <w:t>656</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 payable (note 8)</w:t>
            </w:r>
          </w:p>
        </w:tc>
        <w:tc>
          <w:tcPr>
            <w:tcW w:w="17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12,001</w:t>
            </w:r>
          </w:p>
        </w:tc>
        <w:tc>
          <w:tcPr>
            <w:tcW w:w="0" w:type="dxa"/>
            <w:vAlign w:val="bottom"/>
          </w:tcPr>
          <w:p>
            <w:pPr>
              <w:spacing w:after="0"/>
              <w:rPr>
                <w:sz w:val="1"/>
                <w:szCs w:val="1"/>
                <w:color w:val="auto"/>
              </w:rPr>
            </w:pP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Contingent consideration (notes 2 and 10)</w:t>
            </w:r>
          </w:p>
        </w:tc>
        <w:tc>
          <w:tcPr>
            <w:tcW w:w="1760" w:type="dxa"/>
            <w:vAlign w:val="bottom"/>
          </w:tcPr>
          <w:p>
            <w:pPr>
              <w:spacing w:after="0"/>
              <w:rPr>
                <w:sz w:val="21"/>
                <w:szCs w:val="21"/>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b w:val="1"/>
                <w:bCs w:val="1"/>
                <w:color w:val="auto"/>
              </w:rPr>
              <w:t>4,161</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10,424</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 (note 4)</w:t>
            </w:r>
          </w:p>
        </w:tc>
        <w:tc>
          <w:tcPr>
            <w:tcW w:w="17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12,661</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16,943</w:t>
            </w:r>
          </w:p>
        </w:tc>
        <w:tc>
          <w:tcPr>
            <w:tcW w:w="0" w:type="dxa"/>
            <w:vAlign w:val="bottom"/>
          </w:tcPr>
          <w:p>
            <w:pPr>
              <w:spacing w:after="0"/>
              <w:rPr>
                <w:sz w:val="1"/>
                <w:szCs w:val="1"/>
                <w:color w:val="auto"/>
              </w:rPr>
            </w:pPr>
          </w:p>
        </w:tc>
      </w:tr>
      <w:tr>
        <w:trPr>
          <w:trHeight w:val="237"/>
        </w:trPr>
        <w:tc>
          <w:tcPr>
            <w:tcW w:w="65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w:t>
            </w:r>
          </w:p>
        </w:tc>
        <w:tc>
          <w:tcPr>
            <w:tcW w:w="17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30,146</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54,688</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17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60" w:type="dxa"/>
            <w:vAlign w:val="bottom"/>
          </w:tcPr>
          <w:p>
            <w:pPr>
              <w:ind w:left="180"/>
              <w:spacing w:after="0"/>
              <w:rPr>
                <w:sz w:val="20"/>
                <w:szCs w:val="20"/>
                <w:color w:val="auto"/>
              </w:rPr>
            </w:pPr>
            <w:r>
              <w:rPr>
                <w:rFonts w:ascii="Arial" w:cs="Arial" w:eastAsia="Arial" w:hAnsi="Arial"/>
                <w:sz w:val="18"/>
                <w:szCs w:val="18"/>
                <w:color w:val="auto"/>
              </w:rPr>
              <w:t>Preferred shares (note 6)</w:t>
            </w:r>
          </w:p>
        </w:tc>
        <w:tc>
          <w:tcPr>
            <w:tcW w:w="17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Authorized - 1,164,000 with no par value</w:t>
            </w:r>
          </w:p>
        </w:tc>
        <w:tc>
          <w:tcPr>
            <w:tcW w:w="17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60" w:type="dxa"/>
            <w:vAlign w:val="bottom"/>
          </w:tcPr>
          <w:p>
            <w:pPr>
              <w:ind w:left="200"/>
              <w:spacing w:after="0"/>
              <w:rPr>
                <w:sz w:val="20"/>
                <w:szCs w:val="20"/>
                <w:color w:val="auto"/>
              </w:rPr>
            </w:pPr>
            <w:r>
              <w:rPr>
                <w:rFonts w:ascii="Arial" w:cs="Arial" w:eastAsia="Arial" w:hAnsi="Arial"/>
                <w:sz w:val="18"/>
                <w:szCs w:val="18"/>
                <w:color w:val="auto"/>
              </w:rPr>
              <w:t>Issued and outstanding: 1,164,000 (December 31, 2017 - 500,000)</w:t>
            </w:r>
          </w:p>
        </w:tc>
        <w:tc>
          <w:tcPr>
            <w:tcW w:w="1760" w:type="dxa"/>
            <w:vAlign w:val="bottom"/>
          </w:tcPr>
          <w:p>
            <w:pPr>
              <w:spacing w:after="0"/>
              <w:rPr>
                <w:sz w:val="21"/>
                <w:szCs w:val="21"/>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b w:val="1"/>
                <w:bCs w:val="1"/>
                <w:color w:val="auto"/>
              </w:rPr>
              <w:t>123,489</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49,780</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shares</w:t>
            </w:r>
          </w:p>
        </w:tc>
        <w:tc>
          <w:tcPr>
            <w:tcW w:w="17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60" w:type="dxa"/>
            <w:vAlign w:val="bottom"/>
          </w:tcPr>
          <w:p>
            <w:pPr>
              <w:ind w:left="280"/>
              <w:spacing w:after="0"/>
              <w:rPr>
                <w:sz w:val="20"/>
                <w:szCs w:val="20"/>
                <w:color w:val="auto"/>
              </w:rPr>
            </w:pPr>
            <w:r>
              <w:rPr>
                <w:rFonts w:ascii="Arial" w:cs="Arial" w:eastAsia="Arial" w:hAnsi="Arial"/>
                <w:sz w:val="18"/>
                <w:szCs w:val="18"/>
                <w:color w:val="auto"/>
              </w:rPr>
              <w:t>Authorized - unlimited number with no par value</w:t>
            </w:r>
          </w:p>
        </w:tc>
        <w:tc>
          <w:tcPr>
            <w:tcW w:w="17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Issued and outstanding: 55,472,319</w:t>
            </w:r>
          </w:p>
        </w:tc>
        <w:tc>
          <w:tcPr>
            <w:tcW w:w="1760" w:type="dxa"/>
            <w:vAlign w:val="bottom"/>
            <w:shd w:val="clear" w:color="auto" w:fill="CCEEFF"/>
          </w:tcPr>
          <w:p>
            <w:pPr>
              <w:spacing w:after="0"/>
              <w:rPr>
                <w:sz w:val="19"/>
                <w:szCs w:val="19"/>
                <w:color w:val="auto"/>
              </w:rPr>
            </w:pPr>
          </w:p>
        </w:tc>
        <w:tc>
          <w:tcPr>
            <w:tcW w:w="15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878,805</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5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(December 31, 2017 - 55,060,662)</w:t>
            </w:r>
          </w:p>
        </w:tc>
        <w:tc>
          <w:tcPr>
            <w:tcW w:w="17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vMerge w:val="continue"/>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876,108</w:t>
            </w:r>
          </w:p>
        </w:tc>
        <w:tc>
          <w:tcPr>
            <w:tcW w:w="0" w:type="dxa"/>
            <w:vAlign w:val="bottom"/>
          </w:tcPr>
          <w:p>
            <w:pPr>
              <w:spacing w:after="0"/>
              <w:rPr>
                <w:sz w:val="1"/>
                <w:szCs w:val="1"/>
                <w:color w:val="auto"/>
              </w:rPr>
            </w:pPr>
          </w:p>
        </w:tc>
      </w:tr>
      <w:tr>
        <w:trPr>
          <w:trHeight w:val="243"/>
        </w:trPr>
        <w:tc>
          <w:tcPr>
            <w:tcW w:w="6560" w:type="dxa"/>
            <w:vAlign w:val="bottom"/>
          </w:tcPr>
          <w:p>
            <w:pPr>
              <w:ind w:left="80"/>
              <w:spacing w:after="0"/>
              <w:rPr>
                <w:sz w:val="20"/>
                <w:szCs w:val="20"/>
                <w:color w:val="auto"/>
              </w:rPr>
            </w:pPr>
            <w:r>
              <w:rPr>
                <w:rFonts w:ascii="Arial" w:cs="Arial" w:eastAsia="Arial" w:hAnsi="Arial"/>
                <w:sz w:val="18"/>
                <w:szCs w:val="18"/>
                <w:color w:val="auto"/>
              </w:rPr>
              <w:t>Additional paid-in capital</w:t>
            </w:r>
          </w:p>
        </w:tc>
        <w:tc>
          <w:tcPr>
            <w:tcW w:w="1760" w:type="dxa"/>
            <w:vAlign w:val="bottom"/>
          </w:tcPr>
          <w:p>
            <w:pPr>
              <w:spacing w:after="0"/>
              <w:rPr>
                <w:sz w:val="21"/>
                <w:szCs w:val="21"/>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b w:val="1"/>
                <w:bCs w:val="1"/>
                <w:color w:val="auto"/>
              </w:rPr>
              <w:t>45,500</w:t>
            </w: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42,840</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Deficit</w:t>
            </w:r>
          </w:p>
        </w:tc>
        <w:tc>
          <w:tcPr>
            <w:tcW w:w="17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(784,325)</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(738,070)</w:t>
            </w:r>
          </w:p>
        </w:tc>
        <w:tc>
          <w:tcPr>
            <w:tcW w:w="0" w:type="dxa"/>
            <w:vAlign w:val="bottom"/>
          </w:tcPr>
          <w:p>
            <w:pPr>
              <w:spacing w:after="0"/>
              <w:rPr>
                <w:sz w:val="1"/>
                <w:szCs w:val="1"/>
                <w:color w:val="auto"/>
              </w:rPr>
            </w:pPr>
          </w:p>
        </w:tc>
      </w:tr>
      <w:tr>
        <w:trPr>
          <w:trHeight w:val="243"/>
        </w:trPr>
        <w:tc>
          <w:tcPr>
            <w:tcW w:w="6560" w:type="dxa"/>
            <w:vAlign w:val="bottom"/>
          </w:tcPr>
          <w:p>
            <w:pPr>
              <w:ind w:left="80"/>
              <w:spacing w:after="0"/>
              <w:rPr>
                <w:sz w:val="20"/>
                <w:szCs w:val="20"/>
                <w:color w:val="auto"/>
              </w:rPr>
            </w:pPr>
            <w:r>
              <w:rPr>
                <w:rFonts w:ascii="Arial" w:cs="Arial" w:eastAsia="Arial" w:hAnsi="Arial"/>
                <w:sz w:val="18"/>
                <w:szCs w:val="18"/>
                <w:color w:val="auto"/>
              </w:rPr>
              <w:t>Accumulated other comprehensive loss</w:t>
            </w:r>
          </w:p>
        </w:tc>
        <w:tc>
          <w:tcPr>
            <w:tcW w:w="17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(48,197)</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(48,185)</w:t>
            </w:r>
          </w:p>
        </w:tc>
        <w:tc>
          <w:tcPr>
            <w:tcW w:w="0" w:type="dxa"/>
            <w:vAlign w:val="bottom"/>
          </w:tcPr>
          <w:p>
            <w:pPr>
              <w:spacing w:after="0"/>
              <w:rPr>
                <w:sz w:val="1"/>
                <w:szCs w:val="1"/>
                <w:color w:val="auto"/>
              </w:rPr>
            </w:pPr>
          </w:p>
        </w:tc>
      </w:tr>
      <w:tr>
        <w:trPr>
          <w:trHeight w:val="27"/>
        </w:trPr>
        <w:tc>
          <w:tcPr>
            <w:tcW w:w="65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17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215,272</w:t>
            </w: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182,473</w:t>
            </w:r>
          </w:p>
        </w:tc>
        <w:tc>
          <w:tcPr>
            <w:tcW w:w="0" w:type="dxa"/>
            <w:vAlign w:val="bottom"/>
          </w:tcPr>
          <w:p>
            <w:pPr>
              <w:spacing w:after="0"/>
              <w:rPr>
                <w:sz w:val="1"/>
                <w:szCs w:val="1"/>
                <w:color w:val="auto"/>
              </w:rPr>
            </w:pPr>
          </w:p>
        </w:tc>
      </w:tr>
      <w:tr>
        <w:trPr>
          <w:trHeight w:val="237"/>
        </w:trPr>
        <w:tc>
          <w:tcPr>
            <w:tcW w:w="65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245,418</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237,161</w:t>
            </w:r>
          </w:p>
        </w:tc>
        <w:tc>
          <w:tcPr>
            <w:tcW w:w="0" w:type="dxa"/>
            <w:vAlign w:val="bottom"/>
          </w:tcPr>
          <w:p>
            <w:pPr>
              <w:spacing w:after="0"/>
              <w:rPr>
                <w:sz w:val="1"/>
                <w:szCs w:val="1"/>
                <w:color w:val="auto"/>
              </w:rPr>
            </w:pPr>
          </w:p>
        </w:tc>
      </w:tr>
      <w:tr>
        <w:trPr>
          <w:trHeight w:val="34"/>
        </w:trPr>
        <w:tc>
          <w:tcPr>
            <w:tcW w:w="65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Nature of business and future operations (note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Contingencies and commitments (note 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Related party transactions (note 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823" w:right="239" w:bottom="4" w:gutter="0" w:footer="0" w:header="0"/>
        </w:sectPr>
      </w:pPr>
    </w:p>
    <w:bookmarkStart w:id="3" w:name="page4"/>
    <w:bookmarkEnd w:id="3"/>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019"/>
          </w:cols>
          <w:pgMar w:left="1440" w:top="233" w:right="1440"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ARBUTUS BIOPHARMA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(Expressed in thousands of U.S. dollars, except share and per share amounts)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76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20"/>
                <w:szCs w:val="20"/>
                <w:color w:val="auto"/>
              </w:rPr>
            </w:pPr>
          </w:p>
        </w:tc>
        <w:tc>
          <w:tcPr>
            <w:tcW w:w="272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4"/>
              </w:rPr>
              <w:t>2017</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37"/>
        </w:trPr>
        <w:tc>
          <w:tcPr>
            <w:tcW w:w="5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Revenue (note 5)</w:t>
            </w:r>
          </w:p>
        </w:tc>
        <w:tc>
          <w:tcPr>
            <w:tcW w:w="4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1,587</w:t>
            </w:r>
          </w:p>
        </w:tc>
        <w:tc>
          <w:tcPr>
            <w:tcW w:w="1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6,892</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4,267</w:t>
            </w:r>
          </w:p>
        </w:tc>
        <w:tc>
          <w:tcPr>
            <w:tcW w:w="1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8,166</w:t>
            </w:r>
          </w:p>
        </w:tc>
        <w:tc>
          <w:tcPr>
            <w:tcW w:w="0" w:type="dxa"/>
            <w:vAlign w:val="bottom"/>
          </w:tcPr>
          <w:p>
            <w:pPr>
              <w:spacing w:after="0"/>
              <w:rPr>
                <w:sz w:val="1"/>
                <w:szCs w:val="1"/>
                <w:color w:val="auto"/>
              </w:rPr>
            </w:pPr>
          </w:p>
        </w:tc>
      </w:tr>
      <w:tr>
        <w:trPr>
          <w:trHeight w:val="27"/>
        </w:trPr>
        <w:tc>
          <w:tcPr>
            <w:tcW w:w="5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4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development, collaborations and contracts</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16,566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15,537</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46,871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44,854</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4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2,631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3,659</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10,075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12,586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of property and equipment</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1,677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Site consolidation (note 9)</w:t>
            </w:r>
          </w:p>
        </w:tc>
        <w:tc>
          <w:tcPr>
            <w:tcW w:w="4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(492)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3,710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intangible assets (note 4)</w:t>
            </w:r>
          </w:p>
        </w:tc>
        <w:tc>
          <w:tcPr>
            <w:tcW w:w="4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14,811</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14,811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expenses</w:t>
            </w:r>
          </w:p>
        </w:tc>
        <w:tc>
          <w:tcPr>
            <w:tcW w:w="4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34,013</w:t>
            </w:r>
          </w:p>
        </w:tc>
        <w:tc>
          <w:tcPr>
            <w:tcW w:w="1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19,789</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77,144</w:t>
            </w:r>
          </w:p>
        </w:tc>
        <w:tc>
          <w:tcPr>
            <w:tcW w:w="1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58,847</w:t>
            </w:r>
          </w:p>
        </w:tc>
        <w:tc>
          <w:tcPr>
            <w:tcW w:w="0" w:type="dxa"/>
            <w:vAlign w:val="bottom"/>
          </w:tcPr>
          <w:p>
            <w:pPr>
              <w:spacing w:after="0"/>
              <w:rPr>
                <w:sz w:val="1"/>
                <w:szCs w:val="1"/>
                <w:color w:val="auto"/>
              </w:rPr>
            </w:pPr>
          </w:p>
        </w:tc>
      </w:tr>
      <w:tr>
        <w:trPr>
          <w:trHeight w:val="27"/>
        </w:trPr>
        <w:tc>
          <w:tcPr>
            <w:tcW w:w="5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Loss from operations</w:t>
            </w:r>
          </w:p>
        </w:tc>
        <w:tc>
          <w:tcPr>
            <w:tcW w:w="4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(32,426)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(12,897)</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(72,877)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(50,681)</w:t>
            </w:r>
          </w:p>
        </w:tc>
        <w:tc>
          <w:tcPr>
            <w:tcW w:w="0" w:type="dxa"/>
            <w:vAlign w:val="bottom"/>
          </w:tcPr>
          <w:p>
            <w:pPr>
              <w:spacing w:after="0"/>
              <w:rPr>
                <w:sz w:val="1"/>
                <w:szCs w:val="1"/>
                <w:color w:val="auto"/>
              </w:rPr>
            </w:pPr>
          </w:p>
        </w:tc>
      </w:tr>
      <w:tr>
        <w:trPr>
          <w:trHeight w:val="27"/>
        </w:trPr>
        <w:tc>
          <w:tcPr>
            <w:tcW w:w="5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Other income (loss)</w:t>
            </w:r>
          </w:p>
        </w:tc>
        <w:tc>
          <w:tcPr>
            <w:tcW w:w="4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756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2,319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(104)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(loss) gain</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1,233</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Gain on investment (note 3)</w:t>
            </w:r>
          </w:p>
        </w:tc>
        <w:tc>
          <w:tcPr>
            <w:tcW w:w="46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24,884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loss (note 3)</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(2,838)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(2,838)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Increase in fair value of warrant liability</w:t>
            </w:r>
          </w:p>
        </w:tc>
        <w:tc>
          <w:tcPr>
            <w:tcW w:w="46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Decrease (increase) in fair value of contingent consideration (notes 2</w:t>
            </w:r>
          </w:p>
        </w:tc>
        <w:tc>
          <w:tcPr>
            <w:tcW w:w="46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5,608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6,263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10)</w:t>
            </w:r>
          </w:p>
        </w:tc>
        <w:tc>
          <w:tcPr>
            <w:tcW w:w="4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37"/>
        </w:trPr>
        <w:tc>
          <w:tcPr>
            <w:tcW w:w="51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other income</w:t>
            </w:r>
          </w:p>
        </w:tc>
        <w:tc>
          <w:tcPr>
            <w:tcW w:w="4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3,671</w:t>
            </w:r>
          </w:p>
        </w:tc>
        <w:tc>
          <w:tcPr>
            <w:tcW w:w="1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1,297</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29,784</w:t>
            </w:r>
          </w:p>
        </w:tc>
        <w:tc>
          <w:tcPr>
            <w:tcW w:w="1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27"/>
        </w:trPr>
        <w:tc>
          <w:tcPr>
            <w:tcW w:w="5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14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Net (loss) before income taxes</w:t>
            </w:r>
          </w:p>
        </w:tc>
        <w:tc>
          <w:tcPr>
            <w:tcW w:w="4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(28,755)</w:t>
            </w:r>
          </w:p>
        </w:tc>
        <w:tc>
          <w:tcPr>
            <w:tcW w:w="12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(11,600)</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(43,093)</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(48,482)</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Income tax benefit (note 4)</w:t>
            </w:r>
          </w:p>
        </w:tc>
        <w:tc>
          <w:tcPr>
            <w:tcW w:w="4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4,282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4,282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(24,473)</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(11,600)</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(38,811)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(48,482)</w:t>
            </w:r>
          </w:p>
        </w:tc>
        <w:tc>
          <w:tcPr>
            <w:tcW w:w="0" w:type="dxa"/>
            <w:vAlign w:val="bottom"/>
          </w:tcPr>
          <w:p>
            <w:pPr>
              <w:spacing w:after="0"/>
              <w:rPr>
                <w:sz w:val="1"/>
                <w:szCs w:val="1"/>
                <w:color w:val="auto"/>
              </w:rPr>
            </w:pPr>
          </w:p>
        </w:tc>
      </w:tr>
      <w:tr>
        <w:trPr>
          <w:trHeight w:val="237"/>
        </w:trPr>
        <w:tc>
          <w:tcPr>
            <w:tcW w:w="5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Items applicable to preferred shares:</w:t>
            </w:r>
          </w:p>
        </w:tc>
        <w:tc>
          <w:tcPr>
            <w:tcW w:w="4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Accrual of coupon on convertible preferred shares</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(7,444)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attributable to common shares</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(27,040)</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(11,600)</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(46,255)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(48,482)</w:t>
            </w:r>
          </w:p>
        </w:tc>
        <w:tc>
          <w:tcPr>
            <w:tcW w:w="0" w:type="dxa"/>
            <w:vAlign w:val="bottom"/>
          </w:tcPr>
          <w:p>
            <w:pPr>
              <w:spacing w:after="0"/>
              <w:rPr>
                <w:sz w:val="1"/>
                <w:szCs w:val="1"/>
                <w:color w:val="auto"/>
              </w:rPr>
            </w:pPr>
          </w:p>
        </w:tc>
      </w:tr>
      <w:tr>
        <w:trPr>
          <w:trHeight w:val="318"/>
        </w:trPr>
        <w:tc>
          <w:tcPr>
            <w:tcW w:w="5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Net (loss) attributable to common shareholders, per share (note 2)</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Basic and diluted</w:t>
            </w:r>
          </w:p>
        </w:tc>
        <w:tc>
          <w:tcPr>
            <w:tcW w:w="4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(0.49)</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(0.21)</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(0.84)</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common shares</w:t>
            </w:r>
          </w:p>
        </w:tc>
        <w:tc>
          <w:tcPr>
            <w:tcW w:w="4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Basic and diluted</w:t>
            </w:r>
          </w:p>
        </w:tc>
        <w:tc>
          <w:tcPr>
            <w:tcW w:w="4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55,421,504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54,877,103</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55,241,284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54,612,081</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801"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801"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10"/>
        </w:trPr>
        <w:tc>
          <w:tcPr>
            <w:tcW w:w="5420" w:type="dxa"/>
            <w:vAlign w:val="bottom"/>
            <w:gridSpan w:val="2"/>
          </w:tcPr>
          <w:p>
            <w:pPr>
              <w:spacing w:after="0"/>
              <w:rPr>
                <w:sz w:val="20"/>
                <w:szCs w:val="20"/>
                <w:color w:val="auto"/>
              </w:rPr>
            </w:pPr>
            <w:r>
              <w:rPr>
                <w:rFonts w:ascii="Arial" w:cs="Arial" w:eastAsia="Arial" w:hAnsi="Arial"/>
                <w:sz w:val="16"/>
                <w:szCs w:val="16"/>
                <w:b w:val="1"/>
                <w:bCs w:val="1"/>
                <w:color w:val="auto"/>
              </w:rPr>
              <w:t>ARBUTUS BIOPHARMA CORPORATION</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8"/>
        </w:trPr>
        <w:tc>
          <w:tcPr>
            <w:tcW w:w="542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Statements of Comprehensive Loss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420" w:type="dxa"/>
            <w:vAlign w:val="bottom"/>
            <w:gridSpan w:val="2"/>
          </w:tcPr>
          <w:p>
            <w:pPr>
              <w:spacing w:after="0"/>
              <w:rPr>
                <w:sz w:val="20"/>
                <w:szCs w:val="20"/>
                <w:color w:val="auto"/>
              </w:rPr>
            </w:pPr>
            <w:r>
              <w:rPr>
                <w:rFonts w:ascii="Arial" w:cs="Arial" w:eastAsia="Arial" w:hAnsi="Arial"/>
                <w:sz w:val="16"/>
                <w:szCs w:val="16"/>
                <w:color w:val="auto"/>
              </w:rPr>
              <w:t>(Unaudited)</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5420" w:type="dxa"/>
            <w:vAlign w:val="bottom"/>
            <w:gridSpan w:val="2"/>
          </w:tcPr>
          <w:p>
            <w:pPr>
              <w:spacing w:after="0"/>
              <w:rPr>
                <w:sz w:val="20"/>
                <w:szCs w:val="20"/>
                <w:color w:val="auto"/>
              </w:rPr>
            </w:pPr>
            <w:r>
              <w:rPr>
                <w:rFonts w:ascii="Arial" w:cs="Arial" w:eastAsia="Arial" w:hAnsi="Arial"/>
                <w:sz w:val="16"/>
                <w:szCs w:val="16"/>
                <w:color w:val="auto"/>
                <w:w w:val="97"/>
              </w:rPr>
              <w:t>(Expressed in thousands of U.S. dollars, except share and per share amounts)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1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Three months ended</w:t>
            </w:r>
          </w:p>
        </w:tc>
        <w:tc>
          <w:tcPr>
            <w:tcW w:w="220" w:type="dxa"/>
            <w:vAlign w:val="bottom"/>
          </w:tcPr>
          <w:p>
            <w:pPr>
              <w:spacing w:after="0"/>
              <w:rPr>
                <w:sz w:val="24"/>
                <w:szCs w:val="24"/>
                <w:color w:val="auto"/>
              </w:rPr>
            </w:pPr>
          </w:p>
        </w:tc>
        <w:tc>
          <w:tcPr>
            <w:tcW w:w="212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3"/>
                <w:szCs w:val="23"/>
                <w:color w:val="auto"/>
              </w:rPr>
            </w:pPr>
          </w:p>
        </w:tc>
        <w:tc>
          <w:tcPr>
            <w:tcW w:w="212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spacing w:after="0"/>
              <w:rPr>
                <w:sz w:val="21"/>
                <w:szCs w:val="21"/>
                <w:color w:val="auto"/>
              </w:rPr>
            </w:pPr>
          </w:p>
        </w:tc>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(24,473)</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(38,811)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(48,482)</w:t>
            </w: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160" w:type="dxa"/>
            <w:vAlign w:val="bottom"/>
          </w:tcPr>
          <w:p>
            <w:pPr>
              <w:spacing w:after="0"/>
              <w:rPr>
                <w:sz w:val="19"/>
                <w:szCs w:val="19"/>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Share of other comprehensive loss of equity method</w:t>
            </w:r>
          </w:p>
        </w:tc>
        <w:tc>
          <w:tcPr>
            <w:tcW w:w="18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(note 3)</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vMerge w:val="continue"/>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vMerge w:val="continue"/>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Comprehensive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(24,485)</w:t>
            </w:r>
          </w:p>
        </w:tc>
        <w:tc>
          <w:tcPr>
            <w:tcW w:w="16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(11,600)</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(38,823)</w:t>
            </w:r>
          </w:p>
        </w:tc>
        <w:tc>
          <w:tcPr>
            <w:tcW w:w="2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(48,482)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11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65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80"/>
          </w:cols>
          <w:pgMar w:left="240" w:top="801" w:right="137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ARBUTUS BIOPHARMA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 of Stockholders’ Equity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(Expressed in thousands of U.S. dollars, except share and per share amounts)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154940</wp:posOffset>
            </wp:positionV>
            <wp:extent cx="57886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88660" cy="8890"/>
                    </a:xfrm>
                    <a:prstGeom prst="rect">
                      <a:avLst/>
                    </a:prstGeom>
                    <a:noFill/>
                  </pic:spPr>
                </pic:pic>
              </a:graphicData>
            </a:graphic>
          </wp:anchor>
        </w:drawing>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224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w w:val="92"/>
              </w:rPr>
              <w:t>Convertible Preferred Shares</w:t>
            </w:r>
          </w:p>
        </w:tc>
        <w:tc>
          <w:tcPr>
            <w:tcW w:w="234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rPr>
              <w:t>Common Shares</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Accumulated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ind w:right="19"/>
              <w:spacing w:after="0"/>
              <w:rPr>
                <w:sz w:val="20"/>
                <w:szCs w:val="20"/>
                <w:color w:val="auto"/>
              </w:rPr>
            </w:pPr>
            <w:r>
              <w:rPr>
                <w:rFonts w:ascii="Arial" w:cs="Arial" w:eastAsia="Arial" w:hAnsi="Arial"/>
                <w:sz w:val="16"/>
                <w:szCs w:val="16"/>
                <w:b w:val="1"/>
                <w:bCs w:val="1"/>
                <w:color w:val="auto"/>
                <w:w w:val="94"/>
              </w:rPr>
              <w:t>Additional</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other</w:t>
            </w:r>
          </w:p>
        </w:tc>
        <w:tc>
          <w:tcPr>
            <w:tcW w:w="240" w:type="dxa"/>
            <w:vAlign w:val="bottom"/>
          </w:tcPr>
          <w:p>
            <w:pPr>
              <w:spacing w:after="0"/>
              <w:rPr>
                <w:sz w:val="17"/>
                <w:szCs w:val="17"/>
                <w:color w:val="auto"/>
              </w:rPr>
            </w:pPr>
          </w:p>
        </w:tc>
        <w:tc>
          <w:tcPr>
            <w:tcW w:w="900" w:type="dxa"/>
            <w:vAlign w:val="bottom"/>
          </w:tcPr>
          <w:p>
            <w:pPr>
              <w:ind w:left="1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b w:val="1"/>
                <w:bCs w:val="1"/>
                <w:color w:val="auto"/>
              </w:rPr>
              <w:t>Number</w:t>
            </w:r>
          </w:p>
        </w:tc>
        <w:tc>
          <w:tcPr>
            <w:tcW w:w="240" w:type="dxa"/>
            <w:vAlign w:val="bottom"/>
          </w:tcPr>
          <w:p>
            <w:pPr>
              <w:spacing w:after="0"/>
              <w:rPr>
                <w:sz w:val="17"/>
                <w:szCs w:val="17"/>
                <w:color w:val="auto"/>
              </w:rPr>
            </w:pPr>
          </w:p>
        </w:tc>
        <w:tc>
          <w:tcPr>
            <w:tcW w:w="880" w:type="dxa"/>
            <w:vAlign w:val="bottom"/>
            <w:tcBorders>
              <w:right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Share</w:t>
            </w:r>
          </w:p>
        </w:tc>
        <w:tc>
          <w:tcPr>
            <w:tcW w:w="1200" w:type="dxa"/>
            <w:vAlign w:val="bottom"/>
          </w:tcPr>
          <w:p>
            <w:pPr>
              <w:jc w:val="right"/>
              <w:ind w:right="219"/>
              <w:spacing w:after="0"/>
              <w:rPr>
                <w:sz w:val="20"/>
                <w:szCs w:val="20"/>
                <w:color w:val="auto"/>
              </w:rPr>
            </w:pPr>
            <w:r>
              <w:rPr>
                <w:rFonts w:ascii="Arial" w:cs="Arial" w:eastAsia="Arial" w:hAnsi="Arial"/>
                <w:sz w:val="16"/>
                <w:szCs w:val="16"/>
                <w:b w:val="1"/>
                <w:bCs w:val="1"/>
                <w:color w:val="auto"/>
              </w:rPr>
              <w:t>Number</w:t>
            </w:r>
          </w:p>
        </w:tc>
        <w:tc>
          <w:tcPr>
            <w:tcW w:w="260" w:type="dxa"/>
            <w:vAlign w:val="bottom"/>
          </w:tcPr>
          <w:p>
            <w:pPr>
              <w:spacing w:after="0"/>
              <w:rPr>
                <w:sz w:val="17"/>
                <w:szCs w:val="17"/>
                <w:color w:val="auto"/>
              </w:rPr>
            </w:pPr>
          </w:p>
        </w:tc>
        <w:tc>
          <w:tcPr>
            <w:tcW w:w="880" w:type="dxa"/>
            <w:vAlign w:val="bottom"/>
          </w:tcPr>
          <w:p>
            <w:pPr>
              <w:jc w:val="right"/>
              <w:ind w:right="239"/>
              <w:spacing w:after="0"/>
              <w:rPr>
                <w:sz w:val="20"/>
                <w:szCs w:val="20"/>
                <w:color w:val="auto"/>
              </w:rPr>
            </w:pPr>
            <w:r>
              <w:rPr>
                <w:rFonts w:ascii="Arial" w:cs="Arial" w:eastAsia="Arial" w:hAnsi="Arial"/>
                <w:sz w:val="16"/>
                <w:szCs w:val="16"/>
                <w:b w:val="1"/>
                <w:bCs w:val="1"/>
                <w:color w:val="auto"/>
              </w:rPr>
              <w:t>Share</w:t>
            </w:r>
          </w:p>
        </w:tc>
        <w:tc>
          <w:tcPr>
            <w:tcW w:w="160" w:type="dxa"/>
            <w:vAlign w:val="bottom"/>
          </w:tcPr>
          <w:p>
            <w:pPr>
              <w:spacing w:after="0"/>
              <w:rPr>
                <w:sz w:val="17"/>
                <w:szCs w:val="17"/>
                <w:color w:val="auto"/>
              </w:rPr>
            </w:pPr>
          </w:p>
        </w:tc>
        <w:tc>
          <w:tcPr>
            <w:tcW w:w="880" w:type="dxa"/>
            <w:vAlign w:val="bottom"/>
          </w:tcPr>
          <w:p>
            <w:pPr>
              <w:jc w:val="center"/>
              <w:ind w:right="19"/>
              <w:spacing w:after="0"/>
              <w:rPr>
                <w:sz w:val="20"/>
                <w:szCs w:val="20"/>
                <w:color w:val="auto"/>
              </w:rPr>
            </w:pPr>
            <w:r>
              <w:rPr>
                <w:rFonts w:ascii="Arial" w:cs="Arial" w:eastAsia="Arial" w:hAnsi="Arial"/>
                <w:sz w:val="16"/>
                <w:szCs w:val="16"/>
                <w:b w:val="1"/>
                <w:bCs w:val="1"/>
                <w:color w:val="auto"/>
                <w:w w:val="95"/>
              </w:rPr>
              <w:t>paid-in</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comprehen-</w:t>
            </w:r>
          </w:p>
        </w:tc>
        <w:tc>
          <w:tcPr>
            <w:tcW w:w="114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w w:val="94"/>
              </w:rPr>
              <w:t>stockholders'</w:t>
            </w: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b w:val="1"/>
                <w:bCs w:val="1"/>
                <w:color w:val="auto"/>
              </w:rPr>
              <w:t>of shares</w:t>
            </w:r>
          </w:p>
        </w:tc>
        <w:tc>
          <w:tcPr>
            <w:tcW w:w="240" w:type="dxa"/>
            <w:vAlign w:val="bottom"/>
          </w:tcPr>
          <w:p>
            <w:pPr>
              <w:spacing w:after="0"/>
              <w:rPr>
                <w:sz w:val="18"/>
                <w:szCs w:val="18"/>
                <w:color w:val="auto"/>
              </w:rPr>
            </w:pPr>
          </w:p>
        </w:tc>
        <w:tc>
          <w:tcPr>
            <w:tcW w:w="880" w:type="dxa"/>
            <w:vAlign w:val="bottom"/>
            <w:tcBorders>
              <w:right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capital</w:t>
            </w:r>
          </w:p>
        </w:tc>
        <w:tc>
          <w:tcPr>
            <w:tcW w:w="1200" w:type="dxa"/>
            <w:vAlign w:val="bottom"/>
          </w:tcPr>
          <w:p>
            <w:pPr>
              <w:jc w:val="right"/>
              <w:ind w:right="199"/>
              <w:spacing w:after="0"/>
              <w:rPr>
                <w:sz w:val="20"/>
                <w:szCs w:val="20"/>
                <w:color w:val="auto"/>
              </w:rPr>
            </w:pPr>
            <w:r>
              <w:rPr>
                <w:rFonts w:ascii="Arial" w:cs="Arial" w:eastAsia="Arial" w:hAnsi="Arial"/>
                <w:sz w:val="16"/>
                <w:szCs w:val="16"/>
                <w:b w:val="1"/>
                <w:bCs w:val="1"/>
                <w:color w:val="auto"/>
              </w:rPr>
              <w:t>of shares</w:t>
            </w:r>
          </w:p>
        </w:tc>
        <w:tc>
          <w:tcPr>
            <w:tcW w:w="260" w:type="dxa"/>
            <w:vAlign w:val="bottom"/>
          </w:tcPr>
          <w:p>
            <w:pPr>
              <w:spacing w:after="0"/>
              <w:rPr>
                <w:sz w:val="18"/>
                <w:szCs w:val="18"/>
                <w:color w:val="auto"/>
              </w:rPr>
            </w:pPr>
          </w:p>
        </w:tc>
        <w:tc>
          <w:tcPr>
            <w:tcW w:w="880" w:type="dxa"/>
            <w:vAlign w:val="bottom"/>
          </w:tcPr>
          <w:p>
            <w:pPr>
              <w:jc w:val="right"/>
              <w:ind w:right="219"/>
              <w:spacing w:after="0"/>
              <w:rPr>
                <w:sz w:val="20"/>
                <w:szCs w:val="20"/>
                <w:color w:val="auto"/>
              </w:rPr>
            </w:pPr>
            <w:r>
              <w:rPr>
                <w:rFonts w:ascii="Arial" w:cs="Arial" w:eastAsia="Arial" w:hAnsi="Arial"/>
                <w:sz w:val="16"/>
                <w:szCs w:val="16"/>
                <w:b w:val="1"/>
                <w:bCs w:val="1"/>
                <w:color w:val="auto"/>
              </w:rPr>
              <w:t>capital</w:t>
            </w:r>
          </w:p>
        </w:tc>
        <w:tc>
          <w:tcPr>
            <w:tcW w:w="160" w:type="dxa"/>
            <w:vAlign w:val="bottom"/>
          </w:tcPr>
          <w:p>
            <w:pPr>
              <w:spacing w:after="0"/>
              <w:rPr>
                <w:sz w:val="18"/>
                <w:szCs w:val="18"/>
                <w:color w:val="auto"/>
              </w:rPr>
            </w:pPr>
          </w:p>
        </w:tc>
        <w:tc>
          <w:tcPr>
            <w:tcW w:w="88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capital</w:t>
            </w:r>
          </w:p>
        </w:tc>
        <w:tc>
          <w:tcPr>
            <w:tcW w:w="240" w:type="dxa"/>
            <w:vAlign w:val="bottom"/>
          </w:tcPr>
          <w:p>
            <w:pPr>
              <w:spacing w:after="0"/>
              <w:rPr>
                <w:sz w:val="18"/>
                <w:szCs w:val="18"/>
                <w:color w:val="auto"/>
              </w:rPr>
            </w:pPr>
          </w:p>
        </w:tc>
        <w:tc>
          <w:tcPr>
            <w:tcW w:w="880" w:type="dxa"/>
            <w:vAlign w:val="bottom"/>
          </w:tcPr>
          <w:p>
            <w:pPr>
              <w:jc w:val="right"/>
              <w:ind w:right="239"/>
              <w:spacing w:after="0"/>
              <w:rPr>
                <w:sz w:val="20"/>
                <w:szCs w:val="20"/>
                <w:color w:val="auto"/>
              </w:rPr>
            </w:pPr>
            <w:r>
              <w:rPr>
                <w:rFonts w:ascii="Arial" w:cs="Arial" w:eastAsia="Arial" w:hAnsi="Arial"/>
                <w:sz w:val="16"/>
                <w:szCs w:val="16"/>
                <w:b w:val="1"/>
                <w:bCs w:val="1"/>
                <w:color w:val="auto"/>
              </w:rPr>
              <w:t>Deficit</w:t>
            </w:r>
          </w:p>
        </w:tc>
        <w:tc>
          <w:tcPr>
            <w:tcW w:w="160" w:type="dxa"/>
            <w:vAlign w:val="bottom"/>
          </w:tcPr>
          <w:p>
            <w:pPr>
              <w:spacing w:after="0"/>
              <w:rPr>
                <w:sz w:val="18"/>
                <w:szCs w:val="18"/>
                <w:color w:val="auto"/>
              </w:rPr>
            </w:pPr>
          </w:p>
        </w:tc>
        <w:tc>
          <w:tcPr>
            <w:tcW w:w="1080" w:type="dxa"/>
            <w:vAlign w:val="bottom"/>
          </w:tcPr>
          <w:p>
            <w:pPr>
              <w:jc w:val="center"/>
              <w:ind w:right="39"/>
              <w:spacing w:after="0"/>
              <w:rPr>
                <w:sz w:val="20"/>
                <w:szCs w:val="20"/>
                <w:color w:val="auto"/>
              </w:rPr>
            </w:pPr>
            <w:r>
              <w:rPr>
                <w:rFonts w:ascii="Arial" w:cs="Arial" w:eastAsia="Arial" w:hAnsi="Arial"/>
                <w:sz w:val="16"/>
                <w:szCs w:val="16"/>
                <w:b w:val="1"/>
                <w:bCs w:val="1"/>
                <w:color w:val="auto"/>
                <w:w w:val="82"/>
              </w:rPr>
              <w:t>sive loss</w:t>
            </w:r>
          </w:p>
        </w:tc>
        <w:tc>
          <w:tcPr>
            <w:tcW w:w="240" w:type="dxa"/>
            <w:vAlign w:val="bottom"/>
          </w:tcPr>
          <w:p>
            <w:pPr>
              <w:spacing w:after="0"/>
              <w:rPr>
                <w:sz w:val="18"/>
                <w:szCs w:val="18"/>
                <w:color w:val="auto"/>
              </w:rPr>
            </w:pPr>
          </w:p>
        </w:tc>
        <w:tc>
          <w:tcPr>
            <w:tcW w:w="900" w:type="dxa"/>
            <w:vAlign w:val="bottom"/>
          </w:tcPr>
          <w:p>
            <w:pPr>
              <w:ind w:left="120"/>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2017</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500,000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49,780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55,060,662</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876,108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42,840</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(738,070)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(48,185)</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182,473</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w w:val="93"/>
              </w:rPr>
              <w:t>Issuance of Preferred Shares, net</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of issuance cost of $135</w:t>
            </w:r>
          </w:p>
        </w:tc>
        <w:tc>
          <w:tcPr>
            <w:tcW w:w="1120" w:type="dxa"/>
            <w:vAlign w:val="bottom"/>
          </w:tcPr>
          <w:p>
            <w:pPr>
              <w:jc w:val="right"/>
              <w:spacing w:after="0"/>
              <w:rPr>
                <w:sz w:val="20"/>
                <w:szCs w:val="20"/>
                <w:color w:val="auto"/>
              </w:rPr>
            </w:pPr>
            <w:r>
              <w:rPr>
                <w:rFonts w:ascii="Arial" w:cs="Arial" w:eastAsia="Arial" w:hAnsi="Arial"/>
                <w:sz w:val="16"/>
                <w:szCs w:val="16"/>
                <w:color w:val="auto"/>
              </w:rPr>
              <w:t>664,000</w:t>
            </w:r>
          </w:p>
        </w:tc>
        <w:tc>
          <w:tcPr>
            <w:tcW w:w="240" w:type="dxa"/>
            <w:vAlign w:val="bottom"/>
          </w:tcPr>
          <w:p>
            <w:pPr>
              <w:spacing w:after="0"/>
              <w:rPr>
                <w:sz w:val="17"/>
                <w:szCs w:val="17"/>
                <w:color w:val="auto"/>
              </w:rPr>
            </w:pPr>
          </w:p>
        </w:tc>
        <w:tc>
          <w:tcPr>
            <w:tcW w:w="88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66,265</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66,265</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Accretion of coupon on Preferred</w:t>
            </w: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w:t>
            </w:r>
          </w:p>
        </w:tc>
        <w:tc>
          <w:tcPr>
            <w:tcW w:w="1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2,336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(2,336)</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230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8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1,510</w:t>
            </w:r>
          </w:p>
        </w:tc>
        <w:tc>
          <w:tcPr>
            <w:tcW w:w="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1,510</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Certain fair value adjustments to</w:t>
            </w: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liability stock option awards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(504)</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rPr>
              <w:t>Issuance of common shares</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pursuant to exercise of options</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26,541</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180</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w:t>
            </w: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(17,429)</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(17,429)</w:t>
            </w:r>
          </w:p>
        </w:tc>
        <w:tc>
          <w:tcPr>
            <w:tcW w:w="0" w:type="dxa"/>
            <w:vAlign w:val="bottom"/>
          </w:tcPr>
          <w:p>
            <w:pPr>
              <w:spacing w:after="0"/>
              <w:rPr>
                <w:sz w:val="1"/>
                <w:szCs w:val="1"/>
                <w:color w:val="auto"/>
              </w:rPr>
            </w:pPr>
          </w:p>
        </w:tc>
      </w:tr>
      <w:tr>
        <w:trPr>
          <w:trHeight w:val="217"/>
        </w:trPr>
        <w:tc>
          <w:tcPr>
            <w:tcW w:w="2300" w:type="dxa"/>
            <w:vAlign w:val="bottom"/>
          </w:tcPr>
          <w:p>
            <w:pPr>
              <w:ind w:left="40"/>
              <w:spacing w:after="0"/>
              <w:rPr>
                <w:sz w:val="20"/>
                <w:szCs w:val="20"/>
                <w:color w:val="auto"/>
              </w:rPr>
            </w:pPr>
            <w:r>
              <w:rPr>
                <w:rFonts w:ascii="Arial" w:cs="Arial" w:eastAsia="Arial" w:hAnsi="Arial"/>
                <w:sz w:val="16"/>
                <w:szCs w:val="16"/>
                <w:b w:val="1"/>
                <w:bCs w:val="1"/>
                <w:color w:val="auto"/>
              </w:rPr>
              <w:t>Balance, March 31, 2018</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1,164,000</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right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118,381</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55,087,203</w:t>
            </w:r>
          </w:p>
        </w:tc>
        <w:tc>
          <w:tcPr>
            <w:tcW w:w="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876,288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43,769</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(757,835)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(48,185)</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232,418</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Accretion of coupon on Preferred</w:t>
            </w: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2,541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(2,541)</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230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8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1,862</w:t>
            </w:r>
          </w:p>
        </w:tc>
        <w:tc>
          <w:tcPr>
            <w:tcW w:w="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1,862</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Certain fair value adjustments to</w:t>
            </w: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liability stock option awards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rPr>
              <w:t>Issuance of common shares</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pursuant to exercise of options</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238,059</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1,903</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(1,168)</w:t>
            </w: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735</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Net loss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3,091</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3,091</w:t>
            </w:r>
          </w:p>
        </w:tc>
        <w:tc>
          <w:tcPr>
            <w:tcW w:w="0" w:type="dxa"/>
            <w:vAlign w:val="bottom"/>
          </w:tcPr>
          <w:p>
            <w:pPr>
              <w:spacing w:after="0"/>
              <w:rPr>
                <w:sz w:val="1"/>
                <w:szCs w:val="1"/>
                <w:color w:val="auto"/>
              </w:rPr>
            </w:pPr>
          </w:p>
        </w:tc>
      </w:tr>
      <w:tr>
        <w:trPr>
          <w:trHeight w:val="217"/>
        </w:trPr>
        <w:tc>
          <w:tcPr>
            <w:tcW w:w="2300" w:type="dxa"/>
            <w:vAlign w:val="bottom"/>
          </w:tcPr>
          <w:p>
            <w:pPr>
              <w:ind w:left="80"/>
              <w:spacing w:after="0"/>
              <w:rPr>
                <w:sz w:val="20"/>
                <w:szCs w:val="20"/>
                <w:color w:val="auto"/>
              </w:rPr>
            </w:pPr>
            <w:r>
              <w:rPr>
                <w:rFonts w:ascii="Arial" w:cs="Arial" w:eastAsia="Arial" w:hAnsi="Arial"/>
                <w:sz w:val="16"/>
                <w:szCs w:val="16"/>
                <w:b w:val="1"/>
                <w:bCs w:val="1"/>
                <w:color w:val="auto"/>
              </w:rPr>
              <w:t>Balance, June 30, 2018</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1,164,000</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right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120,922</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55,325,250</w:t>
            </w:r>
          </w:p>
        </w:tc>
        <w:tc>
          <w:tcPr>
            <w:tcW w:w="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878,191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44,429</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(757,285)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(48,185)</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238,072</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Accretion of coupon on Preferred</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w:t>
            </w:r>
          </w:p>
        </w:tc>
        <w:tc>
          <w:tcPr>
            <w:tcW w:w="1120" w:type="dxa"/>
            <w:vAlign w:val="bottom"/>
            <w:tcBorders>
              <w:bottom w:val="single" w:sz="8" w:color="CCEEFF"/>
            </w:tcBorders>
            <w:vMerge w:val="continue"/>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2,567</w:t>
            </w:r>
          </w:p>
        </w:tc>
        <w:tc>
          <w:tcPr>
            <w:tcW w:w="1200" w:type="dxa"/>
            <w:vAlign w:val="bottom"/>
            <w:tcBorders>
              <w:bottom w:val="single" w:sz="8" w:color="CCEEFF"/>
            </w:tcBorders>
            <w:vMerge w:val="continue"/>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(2,567)</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230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c>
          <w:tcPr>
            <w:tcW w:w="88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1,658</w:t>
            </w:r>
          </w:p>
        </w:tc>
        <w:tc>
          <w:tcPr>
            <w:tcW w:w="24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1,658</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Certain fair value adjustments to</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spacing w:after="0"/>
              <w:rPr>
                <w:sz w:val="19"/>
                <w:szCs w:val="19"/>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liability stock option awards</w:t>
            </w:r>
          </w:p>
        </w:tc>
        <w:tc>
          <w:tcPr>
            <w:tcW w:w="1120" w:type="dxa"/>
            <w:vAlign w:val="bottom"/>
            <w:tcBorders>
              <w:bottom w:val="single" w:sz="8" w:color="CCEEFF"/>
            </w:tcBorders>
            <w:vMerge w:val="continue"/>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vMerge w:val="continue"/>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220"/>
        </w:trPr>
        <w:tc>
          <w:tcPr>
            <w:tcW w:w="2300" w:type="dxa"/>
            <w:vAlign w:val="bottom"/>
          </w:tcPr>
          <w:p>
            <w:pPr>
              <w:ind w:left="40"/>
              <w:spacing w:after="0"/>
              <w:rPr>
                <w:sz w:val="20"/>
                <w:szCs w:val="20"/>
                <w:color w:val="auto"/>
              </w:rPr>
            </w:pPr>
            <w:r>
              <w:rPr>
                <w:rFonts w:ascii="Arial" w:cs="Arial" w:eastAsia="Arial" w:hAnsi="Arial"/>
                <w:sz w:val="16"/>
                <w:szCs w:val="16"/>
                <w:color w:val="auto"/>
              </w:rPr>
              <w:t>Issuance of common shares</w:t>
            </w:r>
          </w:p>
        </w:tc>
        <w:tc>
          <w:tcPr>
            <w:tcW w:w="1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300" w:type="dxa"/>
            <w:vAlign w:val="bottom"/>
          </w:tcPr>
          <w:p>
            <w:pPr>
              <w:ind w:left="40"/>
              <w:spacing w:after="0"/>
              <w:rPr>
                <w:sz w:val="20"/>
                <w:szCs w:val="20"/>
                <w:color w:val="auto"/>
              </w:rPr>
            </w:pPr>
            <w:r>
              <w:rPr>
                <w:rFonts w:ascii="Arial" w:cs="Arial" w:eastAsia="Arial" w:hAnsi="Arial"/>
                <w:sz w:val="16"/>
                <w:szCs w:val="16"/>
                <w:color w:val="auto"/>
              </w:rPr>
              <w:t>pursuant to exercise of options</w:t>
            </w:r>
          </w:p>
        </w:tc>
        <w:tc>
          <w:tcPr>
            <w:tcW w:w="11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147,069</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614</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(180)</w:t>
            </w: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33"/>
        </w:trPr>
        <w:tc>
          <w:tcPr>
            <w:tcW w:w="2300" w:type="dxa"/>
            <w:vAlign w:val="bottom"/>
            <w:vMerge w:val="restart"/>
          </w:tcPr>
          <w:p>
            <w:pPr>
              <w:ind w:left="40"/>
              <w:spacing w:after="0"/>
              <w:rPr>
                <w:sz w:val="20"/>
                <w:szCs w:val="20"/>
                <w:color w:val="auto"/>
              </w:rPr>
            </w:pPr>
            <w:r>
              <w:rPr>
                <w:rFonts w:ascii="Arial" w:cs="Arial" w:eastAsia="Arial" w:hAnsi="Arial"/>
                <w:sz w:val="16"/>
                <w:szCs w:val="16"/>
                <w:color w:val="auto"/>
              </w:rPr>
              <w:t>Other comprehensive income</w:t>
            </w: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vMerge w:val="continue"/>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tcBorders>
              <w:right w:val="single" w:sz="8" w:color="auto"/>
            </w:tcBorders>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300" w:type="dxa"/>
            <w:vAlign w:val="bottom"/>
          </w:tcPr>
          <w:p>
            <w:pPr>
              <w:ind w:left="40"/>
              <w:spacing w:after="0"/>
              <w:rPr>
                <w:sz w:val="20"/>
                <w:szCs w:val="20"/>
                <w:color w:val="auto"/>
              </w:rPr>
            </w:pPr>
            <w:r>
              <w:rPr>
                <w:rFonts w:ascii="Arial" w:cs="Arial" w:eastAsia="Arial" w:hAnsi="Arial"/>
                <w:sz w:val="16"/>
                <w:szCs w:val="16"/>
                <w:color w:val="auto"/>
              </w:rPr>
              <w:t>(loss) - currency translation</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300" w:type="dxa"/>
            <w:vAlign w:val="bottom"/>
          </w:tcPr>
          <w:p>
            <w:pPr>
              <w:ind w:left="40"/>
              <w:spacing w:after="0"/>
              <w:rPr>
                <w:sz w:val="20"/>
                <w:szCs w:val="20"/>
                <w:color w:val="auto"/>
              </w:rPr>
            </w:pPr>
            <w:r>
              <w:rPr>
                <w:rFonts w:ascii="Arial" w:cs="Arial" w:eastAsia="Arial" w:hAnsi="Arial"/>
                <w:sz w:val="16"/>
                <w:szCs w:val="16"/>
                <w:color w:val="auto"/>
              </w:rPr>
              <w:t>adjustment</w:t>
            </w:r>
          </w:p>
        </w:tc>
        <w:tc>
          <w:tcPr>
            <w:tcW w:w="1120" w:type="dxa"/>
            <w:vAlign w:val="bottom"/>
            <w:tcBorders>
              <w:bottom w:val="single" w:sz="8" w:color="CCEEFF"/>
            </w:tcBorders>
            <w:vMerge w:val="continue"/>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vMerge w:val="continue"/>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4"/>
        </w:trPr>
        <w:tc>
          <w:tcPr>
            <w:tcW w:w="2300" w:type="dxa"/>
            <w:vAlign w:val="bottom"/>
          </w:tcPr>
          <w:p>
            <w:pPr>
              <w:ind w:left="40"/>
              <w:spacing w:after="0"/>
              <w:rPr>
                <w:sz w:val="20"/>
                <w:szCs w:val="20"/>
                <w:color w:val="auto"/>
              </w:rPr>
            </w:pPr>
            <w:r>
              <w:rPr>
                <w:rFonts w:ascii="Arial" w:cs="Arial" w:eastAsia="Arial" w:hAnsi="Arial"/>
                <w:sz w:val="16"/>
                <w:szCs w:val="16"/>
                <w:color w:val="auto"/>
              </w:rPr>
              <w:t>Net loss</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c>
          <w:tcPr>
            <w:tcW w:w="88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(24,473)</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(24,473)</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w w:val="98"/>
              </w:rPr>
              <w:t>Balance, September 30, 2018</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1,164,000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123,489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55,472,319</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878,805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45,500</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(784,325)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(48,197)</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215,272</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25"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ARBUTUS BIOPHARMA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Cash Flow</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(Expressed in thousands of U.S. dollars)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29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740" w:type="dxa"/>
            <w:vAlign w:val="bottom"/>
            <w:gridSpan w:val="3"/>
          </w:tcPr>
          <w:p>
            <w:pPr>
              <w:jc w:val="center"/>
              <w:ind w:right="238"/>
              <w:spacing w:after="0"/>
              <w:rPr>
                <w:sz w:val="20"/>
                <w:szCs w:val="20"/>
                <w:color w:val="auto"/>
              </w:rPr>
            </w:pPr>
            <w:r>
              <w:rPr>
                <w:rFonts w:ascii="Arial" w:cs="Arial" w:eastAsia="Arial" w:hAnsi="Arial"/>
                <w:sz w:val="16"/>
                <w:szCs w:val="16"/>
                <w:b w:val="1"/>
                <w:bCs w:val="1"/>
                <w:color w:val="auto"/>
                <w:w w:val="90"/>
              </w:rPr>
              <w:t>Three months ended</w:t>
            </w:r>
          </w:p>
        </w:tc>
        <w:tc>
          <w:tcPr>
            <w:tcW w:w="360" w:type="dxa"/>
            <w:vAlign w:val="bottom"/>
          </w:tcPr>
          <w:p>
            <w:pPr>
              <w:spacing w:after="0"/>
              <w:rPr>
                <w:sz w:val="18"/>
                <w:szCs w:val="18"/>
                <w:color w:val="auto"/>
              </w:rPr>
            </w:pPr>
          </w:p>
        </w:tc>
        <w:tc>
          <w:tcPr>
            <w:tcW w:w="2700" w:type="dxa"/>
            <w:vAlign w:val="bottom"/>
            <w:gridSpan w:val="3"/>
          </w:tcPr>
          <w:p>
            <w:pPr>
              <w:jc w:val="center"/>
              <w:ind w:right="238"/>
              <w:spacing w:after="0"/>
              <w:rPr>
                <w:sz w:val="20"/>
                <w:szCs w:val="20"/>
                <w:color w:val="auto"/>
              </w:rPr>
            </w:pPr>
            <w:r>
              <w:rPr>
                <w:rFonts w:ascii="Arial" w:cs="Arial" w:eastAsia="Arial" w:hAnsi="Arial"/>
                <w:sz w:val="16"/>
                <w:szCs w:val="16"/>
                <w:b w:val="1"/>
                <w:bCs w:val="1"/>
                <w:color w:val="auto"/>
                <w:w w:val="90"/>
              </w:rPr>
              <w:t>Nine months ended</w:t>
            </w:r>
          </w:p>
        </w:tc>
        <w:tc>
          <w:tcPr>
            <w:tcW w:w="0" w:type="dxa"/>
            <w:vAlign w:val="bottom"/>
          </w:tcPr>
          <w:p>
            <w:pPr>
              <w:spacing w:after="0"/>
              <w:rPr>
                <w:sz w:val="1"/>
                <w:szCs w:val="1"/>
                <w:color w:val="auto"/>
              </w:rPr>
            </w:pPr>
          </w:p>
        </w:tc>
      </w:tr>
      <w:tr>
        <w:trPr>
          <w:trHeight w:val="257"/>
        </w:trPr>
        <w:tc>
          <w:tcPr>
            <w:tcW w:w="5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780" w:type="dxa"/>
            <w:vAlign w:val="bottom"/>
            <w:gridSpan w:val="2"/>
          </w:tcPr>
          <w:p>
            <w:pPr>
              <w:jc w:val="center"/>
              <w:ind w:left="559"/>
              <w:spacing w:after="0"/>
              <w:rPr>
                <w:sz w:val="20"/>
                <w:szCs w:val="20"/>
                <w:color w:val="auto"/>
              </w:rPr>
            </w:pPr>
            <w:r>
              <w:rPr>
                <w:rFonts w:ascii="Arial" w:cs="Arial" w:eastAsia="Arial" w:hAnsi="Arial"/>
                <w:sz w:val="16"/>
                <w:szCs w:val="16"/>
                <w:b w:val="1"/>
                <w:bCs w:val="1"/>
                <w:color w:val="auto"/>
                <w:w w:val="89"/>
              </w:rPr>
              <w:t>September 30,</w:t>
            </w:r>
          </w:p>
        </w:tc>
        <w:tc>
          <w:tcPr>
            <w:tcW w:w="9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40" w:type="dxa"/>
            <w:vAlign w:val="bottom"/>
            <w:gridSpan w:val="2"/>
          </w:tcPr>
          <w:p>
            <w:pPr>
              <w:jc w:val="center"/>
              <w:ind w:left="559"/>
              <w:spacing w:after="0"/>
              <w:rPr>
                <w:sz w:val="20"/>
                <w:szCs w:val="20"/>
                <w:color w:val="auto"/>
              </w:rPr>
            </w:pPr>
            <w:r>
              <w:rPr>
                <w:rFonts w:ascii="Arial" w:cs="Arial" w:eastAsia="Arial" w:hAnsi="Arial"/>
                <w:sz w:val="16"/>
                <w:szCs w:val="16"/>
                <w:b w:val="1"/>
                <w:bCs w:val="1"/>
                <w:color w:val="auto"/>
                <w:w w:val="89"/>
              </w:rPr>
              <w:t>September 30,</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5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600" w:type="dxa"/>
            <w:vAlign w:val="bottom"/>
          </w:tcPr>
          <w:p>
            <w:pPr>
              <w:spacing w:after="0"/>
              <w:rPr>
                <w:sz w:val="18"/>
                <w:szCs w:val="18"/>
                <w:color w:val="auto"/>
              </w:rPr>
            </w:pPr>
          </w:p>
        </w:tc>
        <w:tc>
          <w:tcPr>
            <w:tcW w:w="960" w:type="dxa"/>
            <w:vAlign w:val="bottom"/>
          </w:tcPr>
          <w:p>
            <w:pPr>
              <w:jc w:val="right"/>
              <w:ind w:right="478"/>
              <w:spacing w:after="0"/>
              <w:rPr>
                <w:sz w:val="20"/>
                <w:szCs w:val="20"/>
                <w:color w:val="auto"/>
              </w:rPr>
            </w:pPr>
            <w:r>
              <w:rPr>
                <w:rFonts w:ascii="Arial" w:cs="Arial" w:eastAsia="Arial" w:hAnsi="Arial"/>
                <w:sz w:val="16"/>
                <w:szCs w:val="16"/>
                <w:color w:val="auto"/>
              </w:rPr>
              <w:t>2017</w:t>
            </w:r>
          </w:p>
        </w:tc>
        <w:tc>
          <w:tcPr>
            <w:tcW w:w="360" w:type="dxa"/>
            <w:vAlign w:val="bottom"/>
          </w:tcPr>
          <w:p>
            <w:pPr>
              <w:spacing w:after="0"/>
              <w:rPr>
                <w:sz w:val="18"/>
                <w:szCs w:val="18"/>
                <w:color w:val="auto"/>
              </w:rPr>
            </w:pPr>
          </w:p>
        </w:tc>
        <w:tc>
          <w:tcPr>
            <w:tcW w:w="116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580" w:type="dxa"/>
            <w:vAlign w:val="bottom"/>
          </w:tcPr>
          <w:p>
            <w:pPr>
              <w:spacing w:after="0"/>
              <w:rPr>
                <w:sz w:val="18"/>
                <w:szCs w:val="18"/>
                <w:color w:val="auto"/>
              </w:rPr>
            </w:pPr>
          </w:p>
        </w:tc>
        <w:tc>
          <w:tcPr>
            <w:tcW w:w="960" w:type="dxa"/>
            <w:vAlign w:val="bottom"/>
          </w:tcPr>
          <w:p>
            <w:pPr>
              <w:jc w:val="right"/>
              <w:ind w:right="498"/>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47"/>
        </w:trPr>
        <w:tc>
          <w:tcPr>
            <w:tcW w:w="5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4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Net (loss) for the period</w:t>
            </w:r>
          </w:p>
        </w:tc>
        <w:tc>
          <w:tcPr>
            <w:tcW w:w="48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rPr>
              <w:t>(24,473)</w:t>
            </w:r>
          </w:p>
        </w:tc>
        <w:tc>
          <w:tcPr>
            <w:tcW w:w="600" w:type="dxa"/>
            <w:vAlign w:val="bottom"/>
          </w:tcPr>
          <w:p>
            <w:pPr>
              <w:ind w:left="1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(11,600)</w:t>
            </w:r>
          </w:p>
        </w:tc>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(38,811)</w:t>
            </w:r>
          </w:p>
        </w:tc>
        <w:tc>
          <w:tcPr>
            <w:tcW w:w="580" w:type="dxa"/>
            <w:vAlign w:val="bottom"/>
          </w:tcPr>
          <w:p>
            <w:pPr>
              <w:ind w:lef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(48,482)</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Items not involving cash:</w:t>
            </w:r>
          </w:p>
        </w:tc>
        <w:tc>
          <w:tcPr>
            <w:tcW w:w="4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80"/>
              <w:spacing w:after="0"/>
              <w:rPr>
                <w:sz w:val="20"/>
                <w:szCs w:val="20"/>
                <w:color w:val="auto"/>
              </w:rPr>
            </w:pPr>
            <w:r>
              <w:rPr>
                <w:rFonts w:ascii="Arial" w:cs="Arial" w:eastAsia="Arial" w:hAnsi="Arial"/>
                <w:sz w:val="16"/>
                <w:szCs w:val="16"/>
                <w:color w:val="auto"/>
              </w:rPr>
              <w:t>Deferred income tax benefit</w:t>
            </w:r>
          </w:p>
        </w:tc>
        <w:tc>
          <w:tcPr>
            <w:tcW w:w="4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rPr>
              <w:t>(4,282)</w:t>
            </w:r>
          </w:p>
        </w:tc>
        <w:tc>
          <w:tcPr>
            <w:tcW w:w="600" w:type="dxa"/>
            <w:vAlign w:val="bottom"/>
          </w:tcPr>
          <w:p>
            <w:pPr>
              <w:spacing w:after="0"/>
              <w:rPr>
                <w:sz w:val="20"/>
                <w:szCs w:val="20"/>
                <w:color w:val="auto"/>
              </w:rPr>
            </w:pPr>
          </w:p>
        </w:tc>
        <w:tc>
          <w:tcPr>
            <w:tcW w:w="9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(4,282)</w:t>
            </w:r>
          </w:p>
        </w:tc>
        <w:tc>
          <w:tcPr>
            <w:tcW w:w="580" w:type="dxa"/>
            <w:vAlign w:val="bottom"/>
          </w:tcPr>
          <w:p>
            <w:pPr>
              <w:spacing w:after="0"/>
              <w:rPr>
                <w:sz w:val="20"/>
                <w:szCs w:val="20"/>
                <w:color w:val="auto"/>
              </w:rPr>
            </w:pPr>
          </w:p>
        </w:tc>
        <w:tc>
          <w:tcPr>
            <w:tcW w:w="96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Depreciation of property and equipment</w:t>
            </w:r>
          </w:p>
        </w:tc>
        <w:tc>
          <w:tcPr>
            <w:tcW w:w="4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497</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593</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1,677</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1,407</w:t>
            </w:r>
          </w:p>
        </w:tc>
        <w:tc>
          <w:tcPr>
            <w:tcW w:w="0" w:type="dxa"/>
            <w:vAlign w:val="bottom"/>
          </w:tcPr>
          <w:p>
            <w:pPr>
              <w:spacing w:after="0"/>
              <w:rPr>
                <w:sz w:val="1"/>
                <w:szCs w:val="1"/>
                <w:color w:val="auto"/>
              </w:rPr>
            </w:pPr>
          </w:p>
        </w:tc>
      </w:tr>
      <w:tr>
        <w:trPr>
          <w:trHeight w:val="237"/>
        </w:trPr>
        <w:tc>
          <w:tcPr>
            <w:tcW w:w="5120" w:type="dxa"/>
            <w:vAlign w:val="bottom"/>
          </w:tcPr>
          <w:p>
            <w:pPr>
              <w:ind w:left="80"/>
              <w:spacing w:after="0"/>
              <w:rPr>
                <w:sz w:val="20"/>
                <w:szCs w:val="20"/>
                <w:color w:val="auto"/>
              </w:rPr>
            </w:pPr>
            <w:r>
              <w:rPr>
                <w:rFonts w:ascii="Arial" w:cs="Arial" w:eastAsia="Arial" w:hAnsi="Arial"/>
                <w:sz w:val="16"/>
                <w:szCs w:val="16"/>
                <w:color w:val="auto"/>
              </w:rPr>
              <w:t>Gain on sale of property and equipment</w:t>
            </w:r>
          </w:p>
        </w:tc>
        <w:tc>
          <w:tcPr>
            <w:tcW w:w="4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rPr>
              <w:t>(26)</w:t>
            </w:r>
          </w:p>
        </w:tc>
        <w:tc>
          <w:tcPr>
            <w:tcW w:w="600" w:type="dxa"/>
            <w:vAlign w:val="bottom"/>
          </w:tcPr>
          <w:p>
            <w:pPr>
              <w:spacing w:after="0"/>
              <w:rPr>
                <w:sz w:val="20"/>
                <w:szCs w:val="20"/>
                <w:color w:val="auto"/>
              </w:rPr>
            </w:pPr>
          </w:p>
        </w:tc>
        <w:tc>
          <w:tcPr>
            <w:tcW w:w="9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(26)</w:t>
            </w:r>
          </w:p>
        </w:tc>
        <w:tc>
          <w:tcPr>
            <w:tcW w:w="580" w:type="dxa"/>
            <w:vAlign w:val="bottom"/>
          </w:tcPr>
          <w:p>
            <w:pPr>
              <w:spacing w:after="0"/>
              <w:rPr>
                <w:sz w:val="20"/>
                <w:szCs w:val="20"/>
                <w:color w:val="auto"/>
              </w:rPr>
            </w:pPr>
          </w:p>
        </w:tc>
        <w:tc>
          <w:tcPr>
            <w:tcW w:w="96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120" w:type="dxa"/>
            <w:vAlign w:val="bottom"/>
            <w:shd w:val="clear" w:color="auto" w:fill="CCEEFF"/>
          </w:tcPr>
          <w:p>
            <w:pPr>
              <w:ind w:left="80"/>
              <w:spacing w:after="0"/>
              <w:rPr>
                <w:sz w:val="20"/>
                <w:szCs w:val="20"/>
                <w:color w:val="auto"/>
              </w:rPr>
            </w:pPr>
            <w:r>
              <w:rPr>
                <w:rFonts w:ascii="Arial" w:cs="Arial" w:eastAsia="Arial" w:hAnsi="Arial"/>
                <w:sz w:val="16"/>
                <w:szCs w:val="16"/>
                <w:color w:val="auto"/>
                <w:w w:val="98"/>
              </w:rPr>
              <w:t>Stock-based compensation - research, development, collaborations and</w:t>
            </w:r>
          </w:p>
        </w:tc>
        <w:tc>
          <w:tcPr>
            <w:tcW w:w="48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1,301</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3,952</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 expenses</w:t>
            </w:r>
          </w:p>
        </w:tc>
        <w:tc>
          <w:tcPr>
            <w:tcW w:w="4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vMerge w:val="continue"/>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2,468</w:t>
            </w:r>
          </w:p>
        </w:tc>
        <w:tc>
          <w:tcPr>
            <w:tcW w:w="3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vMerge w:val="continue"/>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8,145</w:t>
            </w:r>
          </w:p>
        </w:tc>
        <w:tc>
          <w:tcPr>
            <w:tcW w:w="0" w:type="dxa"/>
            <w:vAlign w:val="bottom"/>
          </w:tcPr>
          <w:p>
            <w:pPr>
              <w:spacing w:after="0"/>
              <w:rPr>
                <w:sz w:val="1"/>
                <w:szCs w:val="1"/>
                <w:color w:val="auto"/>
              </w:rPr>
            </w:pPr>
          </w:p>
        </w:tc>
      </w:tr>
      <w:tr>
        <w:trPr>
          <w:trHeight w:val="220"/>
        </w:trPr>
        <w:tc>
          <w:tcPr>
            <w:tcW w:w="5120" w:type="dxa"/>
            <w:vAlign w:val="bottom"/>
          </w:tcPr>
          <w:p>
            <w:pPr>
              <w:ind w:left="80"/>
              <w:spacing w:after="0"/>
              <w:rPr>
                <w:sz w:val="20"/>
                <w:szCs w:val="20"/>
                <w:color w:val="auto"/>
              </w:rPr>
            </w:pPr>
            <w:r>
              <w:rPr>
                <w:rFonts w:ascii="Arial" w:cs="Arial" w:eastAsia="Arial" w:hAnsi="Arial"/>
                <w:sz w:val="16"/>
                <w:szCs w:val="16"/>
                <w:color w:val="auto"/>
              </w:rPr>
              <w:t>Stock-based compensation - general and administrative</w:t>
            </w:r>
          </w:p>
        </w:tc>
        <w:tc>
          <w:tcPr>
            <w:tcW w:w="480" w:type="dxa"/>
            <w:vAlign w:val="bottom"/>
          </w:tcPr>
          <w:p>
            <w:pPr>
              <w:spacing w:after="0"/>
              <w:rPr>
                <w:sz w:val="19"/>
                <w:szCs w:val="19"/>
                <w:color w:val="auto"/>
              </w:rPr>
            </w:pPr>
          </w:p>
        </w:tc>
        <w:tc>
          <w:tcPr>
            <w:tcW w:w="118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527</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1,493</w:t>
            </w: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120" w:type="dxa"/>
            <w:vAlign w:val="bottom"/>
          </w:tcPr>
          <w:p>
            <w:pPr>
              <w:ind w:left="40"/>
              <w:spacing w:after="0"/>
              <w:rPr>
                <w:sz w:val="20"/>
                <w:szCs w:val="20"/>
                <w:color w:val="auto"/>
              </w:rPr>
            </w:pPr>
            <w:r>
              <w:rPr>
                <w:rFonts w:ascii="Arial" w:cs="Arial" w:eastAsia="Arial" w:hAnsi="Arial"/>
                <w:sz w:val="16"/>
                <w:szCs w:val="16"/>
                <w:color w:val="auto"/>
              </w:rPr>
              <w:t>expenses</w:t>
            </w:r>
          </w:p>
        </w:tc>
        <w:tc>
          <w:tcPr>
            <w:tcW w:w="48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jc w:val="right"/>
              <w:ind w:right="18"/>
              <w:spacing w:after="0"/>
              <w:rPr>
                <w:sz w:val="20"/>
                <w:szCs w:val="20"/>
                <w:color w:val="auto"/>
              </w:rPr>
            </w:pPr>
            <w:r>
              <w:rPr>
                <w:rFonts w:ascii="Arial" w:cs="Arial" w:eastAsia="Arial" w:hAnsi="Arial"/>
                <w:sz w:val="16"/>
                <w:szCs w:val="16"/>
                <w:color w:val="auto"/>
              </w:rPr>
              <w:t>1,511</w:t>
            </w: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jc w:val="right"/>
              <w:ind w:right="38"/>
              <w:spacing w:after="0"/>
              <w:rPr>
                <w:sz w:val="20"/>
                <w:szCs w:val="20"/>
                <w:color w:val="auto"/>
              </w:rPr>
            </w:pPr>
            <w:r>
              <w:rPr>
                <w:rFonts w:ascii="Arial" w:cs="Arial" w:eastAsia="Arial" w:hAnsi="Arial"/>
                <w:sz w:val="16"/>
                <w:szCs w:val="16"/>
                <w:color w:val="auto"/>
              </w:rPr>
              <w:t>5,440</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Unrealized foreign exchange (gains) losses</w:t>
            </w:r>
          </w:p>
        </w:tc>
        <w:tc>
          <w:tcPr>
            <w:tcW w:w="4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(131)</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(1,328)</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795</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(2,578)</w:t>
            </w:r>
          </w:p>
        </w:tc>
        <w:tc>
          <w:tcPr>
            <w:tcW w:w="0" w:type="dxa"/>
            <w:vAlign w:val="bottom"/>
          </w:tcPr>
          <w:p>
            <w:pPr>
              <w:spacing w:after="0"/>
              <w:rPr>
                <w:sz w:val="1"/>
                <w:szCs w:val="1"/>
                <w:color w:val="auto"/>
              </w:rPr>
            </w:pPr>
          </w:p>
        </w:tc>
      </w:tr>
      <w:tr>
        <w:trPr>
          <w:trHeight w:val="237"/>
        </w:trPr>
        <w:tc>
          <w:tcPr>
            <w:tcW w:w="5120" w:type="dxa"/>
            <w:vAlign w:val="bottom"/>
          </w:tcPr>
          <w:p>
            <w:pPr>
              <w:ind w:left="80"/>
              <w:spacing w:after="0"/>
              <w:rPr>
                <w:sz w:val="20"/>
                <w:szCs w:val="20"/>
                <w:color w:val="auto"/>
              </w:rPr>
            </w:pPr>
            <w:r>
              <w:rPr>
                <w:rFonts w:ascii="Arial" w:cs="Arial" w:eastAsia="Arial" w:hAnsi="Arial"/>
                <w:sz w:val="16"/>
                <w:szCs w:val="16"/>
                <w:color w:val="auto"/>
              </w:rPr>
              <w:t>Change in fair value of warrant liability</w:t>
            </w:r>
          </w:p>
        </w:tc>
        <w:tc>
          <w:tcPr>
            <w:tcW w:w="48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spacing w:after="0"/>
              <w:rPr>
                <w:sz w:val="20"/>
                <w:szCs w:val="20"/>
                <w:color w:val="auto"/>
              </w:rPr>
            </w:pPr>
          </w:p>
        </w:tc>
        <w:tc>
          <w:tcPr>
            <w:tcW w:w="9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spacing w:after="0"/>
              <w:rPr>
                <w:sz w:val="20"/>
                <w:szCs w:val="20"/>
                <w:color w:val="auto"/>
              </w:rPr>
            </w:pPr>
          </w:p>
        </w:tc>
        <w:tc>
          <w:tcPr>
            <w:tcW w:w="960" w:type="dxa"/>
            <w:vAlign w:val="bottom"/>
          </w:tcPr>
          <w:p>
            <w:pPr>
              <w:jc w:val="right"/>
              <w:ind w:right="38"/>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Change in fair value of contingent consideration</w:t>
            </w:r>
          </w:p>
        </w:tc>
        <w:tc>
          <w:tcPr>
            <w:tcW w:w="4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(5,608)</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197</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(6,263)</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1,146</w:t>
            </w:r>
          </w:p>
        </w:tc>
        <w:tc>
          <w:tcPr>
            <w:tcW w:w="0" w:type="dxa"/>
            <w:vAlign w:val="bottom"/>
          </w:tcPr>
          <w:p>
            <w:pPr>
              <w:spacing w:after="0"/>
              <w:rPr>
                <w:sz w:val="1"/>
                <w:szCs w:val="1"/>
                <w:color w:val="auto"/>
              </w:rPr>
            </w:pPr>
          </w:p>
        </w:tc>
      </w:tr>
      <w:tr>
        <w:trPr>
          <w:trHeight w:val="237"/>
        </w:trPr>
        <w:tc>
          <w:tcPr>
            <w:tcW w:w="5120" w:type="dxa"/>
            <w:vAlign w:val="bottom"/>
          </w:tcPr>
          <w:p>
            <w:pPr>
              <w:ind w:left="80"/>
              <w:spacing w:after="0"/>
              <w:rPr>
                <w:sz w:val="20"/>
                <w:szCs w:val="20"/>
                <w:color w:val="auto"/>
              </w:rPr>
            </w:pPr>
            <w:r>
              <w:rPr>
                <w:rFonts w:ascii="Arial" w:cs="Arial" w:eastAsia="Arial" w:hAnsi="Arial"/>
                <w:sz w:val="16"/>
                <w:szCs w:val="16"/>
                <w:color w:val="auto"/>
              </w:rPr>
              <w:t>Impairment of intangible assets</w:t>
            </w:r>
          </w:p>
        </w:tc>
        <w:tc>
          <w:tcPr>
            <w:tcW w:w="48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b w:val="1"/>
                <w:bCs w:val="1"/>
                <w:color w:val="auto"/>
              </w:rPr>
              <w:t>14,811</w:t>
            </w:r>
          </w:p>
        </w:tc>
        <w:tc>
          <w:tcPr>
            <w:tcW w:w="600" w:type="dxa"/>
            <w:vAlign w:val="bottom"/>
          </w:tcPr>
          <w:p>
            <w:pPr>
              <w:spacing w:after="0"/>
              <w:rPr>
                <w:sz w:val="20"/>
                <w:szCs w:val="20"/>
                <w:color w:val="auto"/>
              </w:rPr>
            </w:pPr>
          </w:p>
        </w:tc>
        <w:tc>
          <w:tcPr>
            <w:tcW w:w="9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b w:val="1"/>
                <w:bCs w:val="1"/>
                <w:color w:val="auto"/>
              </w:rPr>
              <w:t>14,811</w:t>
            </w:r>
          </w:p>
        </w:tc>
        <w:tc>
          <w:tcPr>
            <w:tcW w:w="580" w:type="dxa"/>
            <w:vAlign w:val="bottom"/>
          </w:tcPr>
          <w:p>
            <w:pPr>
              <w:spacing w:after="0"/>
              <w:rPr>
                <w:sz w:val="20"/>
                <w:szCs w:val="20"/>
                <w:color w:val="auto"/>
              </w:rPr>
            </w:pPr>
          </w:p>
        </w:tc>
        <w:tc>
          <w:tcPr>
            <w:tcW w:w="96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Site consolidation non-cash portion</w:t>
            </w:r>
          </w:p>
        </w:tc>
        <w:tc>
          <w:tcPr>
            <w:tcW w:w="4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396</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120" w:type="dxa"/>
            <w:vAlign w:val="bottom"/>
          </w:tcPr>
          <w:p>
            <w:pPr>
              <w:ind w:left="80"/>
              <w:spacing w:after="0"/>
              <w:rPr>
                <w:sz w:val="20"/>
                <w:szCs w:val="20"/>
                <w:color w:val="auto"/>
              </w:rPr>
            </w:pPr>
            <w:r>
              <w:rPr>
                <w:rFonts w:ascii="Arial" w:cs="Arial" w:eastAsia="Arial" w:hAnsi="Arial"/>
                <w:sz w:val="16"/>
                <w:szCs w:val="16"/>
                <w:color w:val="auto"/>
              </w:rPr>
              <w:t>Gain on equity investment</w:t>
            </w:r>
          </w:p>
        </w:tc>
        <w:tc>
          <w:tcPr>
            <w:tcW w:w="48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spacing w:after="0"/>
              <w:rPr>
                <w:sz w:val="20"/>
                <w:szCs w:val="20"/>
                <w:color w:val="auto"/>
              </w:rPr>
            </w:pPr>
          </w:p>
        </w:tc>
        <w:tc>
          <w:tcPr>
            <w:tcW w:w="9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(24,884)</w:t>
            </w:r>
          </w:p>
        </w:tc>
        <w:tc>
          <w:tcPr>
            <w:tcW w:w="580" w:type="dxa"/>
            <w:vAlign w:val="bottom"/>
          </w:tcPr>
          <w:p>
            <w:pPr>
              <w:spacing w:after="0"/>
              <w:rPr>
                <w:sz w:val="20"/>
                <w:szCs w:val="20"/>
                <w:color w:val="auto"/>
              </w:rPr>
            </w:pPr>
          </w:p>
        </w:tc>
        <w:tc>
          <w:tcPr>
            <w:tcW w:w="96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Equity investment loss</w:t>
            </w:r>
          </w:p>
        </w:tc>
        <w:tc>
          <w:tcPr>
            <w:tcW w:w="4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2,838</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2,838</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5120" w:type="dxa"/>
            <w:vAlign w:val="bottom"/>
          </w:tcPr>
          <w:p>
            <w:pPr>
              <w:ind w:left="40"/>
              <w:spacing w:after="0"/>
              <w:rPr>
                <w:sz w:val="20"/>
                <w:szCs w:val="20"/>
                <w:color w:val="auto"/>
              </w:rPr>
            </w:pPr>
            <w:r>
              <w:rPr>
                <w:rFonts w:ascii="Arial" w:cs="Arial" w:eastAsia="Arial" w:hAnsi="Arial"/>
                <w:sz w:val="16"/>
                <w:szCs w:val="16"/>
                <w:color w:val="auto"/>
              </w:rPr>
              <w:t>Net change in non-cash operating items:</w:t>
            </w: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Accounts receivable</w:t>
            </w:r>
          </w:p>
        </w:tc>
        <w:tc>
          <w:tcPr>
            <w:tcW w:w="4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784</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196</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(136)</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Accrued revenue</w:t>
            </w:r>
          </w:p>
        </w:tc>
        <w:tc>
          <w:tcPr>
            <w:tcW w:w="48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spacing w:after="0"/>
              <w:rPr>
                <w:sz w:val="20"/>
                <w:szCs w:val="20"/>
                <w:color w:val="auto"/>
              </w:rPr>
            </w:pPr>
          </w:p>
        </w:tc>
        <w:tc>
          <w:tcPr>
            <w:tcW w:w="9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b w:val="1"/>
                <w:bCs w:val="1"/>
                <w:color w:val="auto"/>
              </w:rPr>
              <w:t>128</w:t>
            </w:r>
          </w:p>
        </w:tc>
        <w:tc>
          <w:tcPr>
            <w:tcW w:w="580" w:type="dxa"/>
            <w:vAlign w:val="bottom"/>
          </w:tcPr>
          <w:p>
            <w:pPr>
              <w:spacing w:after="0"/>
              <w:rPr>
                <w:sz w:val="20"/>
                <w:szCs w:val="20"/>
                <w:color w:val="auto"/>
              </w:rPr>
            </w:pPr>
          </w:p>
        </w:tc>
        <w:tc>
          <w:tcPr>
            <w:tcW w:w="96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Deferred lease incentives</w:t>
            </w:r>
          </w:p>
        </w:tc>
        <w:tc>
          <w:tcPr>
            <w:tcW w:w="4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744</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237"/>
        </w:trPr>
        <w:tc>
          <w:tcPr>
            <w:tcW w:w="5120" w:type="dxa"/>
            <w:vAlign w:val="bottom"/>
          </w:tcPr>
          <w:p>
            <w:pPr>
              <w:ind w:left="80"/>
              <w:spacing w:after="0"/>
              <w:rPr>
                <w:sz w:val="20"/>
                <w:szCs w:val="20"/>
                <w:color w:val="auto"/>
              </w:rPr>
            </w:pPr>
            <w:r>
              <w:rPr>
                <w:rFonts w:ascii="Arial" w:cs="Arial" w:eastAsia="Arial" w:hAnsi="Arial"/>
                <w:sz w:val="16"/>
                <w:szCs w:val="16"/>
                <w:color w:val="auto"/>
              </w:rPr>
              <w:t>Investment tax credits receivable</w:t>
            </w:r>
          </w:p>
        </w:tc>
        <w:tc>
          <w:tcPr>
            <w:tcW w:w="48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spacing w:after="0"/>
              <w:rPr>
                <w:sz w:val="20"/>
                <w:szCs w:val="20"/>
                <w:color w:val="auto"/>
              </w:rPr>
            </w:pPr>
          </w:p>
        </w:tc>
        <w:tc>
          <w:tcPr>
            <w:tcW w:w="9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(2)</w:t>
            </w:r>
          </w:p>
        </w:tc>
        <w:tc>
          <w:tcPr>
            <w:tcW w:w="580" w:type="dxa"/>
            <w:vAlign w:val="bottom"/>
          </w:tcPr>
          <w:p>
            <w:pPr>
              <w:spacing w:after="0"/>
              <w:rPr>
                <w:sz w:val="20"/>
                <w:szCs w:val="20"/>
                <w:color w:val="auto"/>
              </w:rPr>
            </w:pPr>
          </w:p>
        </w:tc>
        <w:tc>
          <w:tcPr>
            <w:tcW w:w="960" w:type="dxa"/>
            <w:vAlign w:val="bottom"/>
          </w:tcPr>
          <w:p>
            <w:pPr>
              <w:jc w:val="right"/>
              <w:ind w:right="38"/>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Prepaid expenses and other assets</w:t>
            </w:r>
          </w:p>
        </w:tc>
        <w:tc>
          <w:tcPr>
            <w:tcW w:w="4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109</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83</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1,017</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37"/>
        </w:trPr>
        <w:tc>
          <w:tcPr>
            <w:tcW w:w="5120" w:type="dxa"/>
            <w:vAlign w:val="bottom"/>
          </w:tcPr>
          <w:p>
            <w:pPr>
              <w:ind w:left="60"/>
              <w:spacing w:after="0"/>
              <w:rPr>
                <w:sz w:val="20"/>
                <w:szCs w:val="20"/>
                <w:color w:val="auto"/>
              </w:rPr>
            </w:pPr>
            <w:r>
              <w:rPr>
                <w:rFonts w:ascii="Arial" w:cs="Arial" w:eastAsia="Arial" w:hAnsi="Arial"/>
                <w:sz w:val="16"/>
                <w:szCs w:val="16"/>
                <w:color w:val="auto"/>
              </w:rPr>
              <w:t>Accounts payable and accrued liabilities</w:t>
            </w:r>
          </w:p>
        </w:tc>
        <w:tc>
          <w:tcPr>
            <w:tcW w:w="48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b w:val="1"/>
                <w:bCs w:val="1"/>
                <w:color w:val="auto"/>
              </w:rPr>
              <w:t>1,094</w:t>
            </w: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(1,805)</w:t>
            </w:r>
          </w:p>
        </w:tc>
        <w:tc>
          <w:tcPr>
            <w:tcW w:w="3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(2,171)</w:t>
            </w:r>
          </w:p>
        </w:tc>
        <w:tc>
          <w:tcPr>
            <w:tcW w:w="5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(3,513)</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Deferred revenue</w:t>
            </w:r>
          </w:p>
        </w:tc>
        <w:tc>
          <w:tcPr>
            <w:tcW w:w="4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(325)</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(6,739)</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(2,093)</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120" w:type="dxa"/>
            <w:vAlign w:val="bottom"/>
          </w:tcPr>
          <w:p>
            <w:pPr>
              <w:ind w:left="80"/>
              <w:spacing w:after="0"/>
              <w:rPr>
                <w:sz w:val="20"/>
                <w:szCs w:val="20"/>
                <w:color w:val="auto"/>
              </w:rPr>
            </w:pPr>
            <w:r>
              <w:rPr>
                <w:rFonts w:ascii="Arial" w:cs="Arial" w:eastAsia="Arial" w:hAnsi="Arial"/>
                <w:sz w:val="16"/>
                <w:szCs w:val="16"/>
                <w:color w:val="auto"/>
              </w:rPr>
              <w:t>Site consolidation accrual</w:t>
            </w:r>
          </w:p>
        </w:tc>
        <w:tc>
          <w:tcPr>
            <w:tcW w:w="4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rPr>
              <w:t>(320)</w:t>
            </w:r>
          </w:p>
        </w:tc>
        <w:tc>
          <w:tcPr>
            <w:tcW w:w="600" w:type="dxa"/>
            <w:vAlign w:val="bottom"/>
          </w:tcPr>
          <w:p>
            <w:pPr>
              <w:spacing w:after="0"/>
              <w:rPr>
                <w:sz w:val="20"/>
                <w:szCs w:val="20"/>
                <w:color w:val="auto"/>
              </w:rPr>
            </w:pPr>
          </w:p>
        </w:tc>
        <w:tc>
          <w:tcPr>
            <w:tcW w:w="9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b w:val="1"/>
                <w:bCs w:val="1"/>
                <w:color w:val="auto"/>
              </w:rPr>
              <w:t>770</w:t>
            </w:r>
          </w:p>
        </w:tc>
        <w:tc>
          <w:tcPr>
            <w:tcW w:w="580" w:type="dxa"/>
            <w:vAlign w:val="bottom"/>
          </w:tcPr>
          <w:p>
            <w:pPr>
              <w:spacing w:after="0"/>
              <w:rPr>
                <w:sz w:val="20"/>
                <w:szCs w:val="20"/>
                <w:color w:val="auto"/>
              </w:rPr>
            </w:pPr>
          </w:p>
        </w:tc>
        <w:tc>
          <w:tcPr>
            <w:tcW w:w="96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used in operating activities</w:t>
            </w:r>
          </w:p>
        </w:tc>
        <w:tc>
          <w:tcPr>
            <w:tcW w:w="4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(13,204)</w:t>
            </w:r>
          </w:p>
        </w:tc>
        <w:tc>
          <w:tcPr>
            <w:tcW w:w="6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(15,680)</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(50,791)</w:t>
            </w:r>
          </w:p>
        </w:tc>
        <w:tc>
          <w:tcPr>
            <w:tcW w:w="5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(38,298)</w:t>
            </w:r>
          </w:p>
        </w:tc>
        <w:tc>
          <w:tcPr>
            <w:tcW w:w="0" w:type="dxa"/>
            <w:vAlign w:val="bottom"/>
          </w:tcPr>
          <w:p>
            <w:pPr>
              <w:spacing w:after="0"/>
              <w:rPr>
                <w:sz w:val="1"/>
                <w:szCs w:val="1"/>
                <w:color w:val="auto"/>
              </w:rPr>
            </w:pPr>
          </w:p>
        </w:tc>
      </w:tr>
      <w:tr>
        <w:trPr>
          <w:trHeight w:val="217"/>
        </w:trPr>
        <w:tc>
          <w:tcPr>
            <w:tcW w:w="51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4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5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Disposition (acquisition) of short and long-term investments, net</w:t>
            </w:r>
          </w:p>
        </w:tc>
        <w:tc>
          <w:tcPr>
            <w:tcW w:w="4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24,590</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5,843</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(48,025)</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34,192</w:t>
            </w:r>
          </w:p>
        </w:tc>
        <w:tc>
          <w:tcPr>
            <w:tcW w:w="0" w:type="dxa"/>
            <w:vAlign w:val="bottom"/>
          </w:tcPr>
          <w:p>
            <w:pPr>
              <w:spacing w:after="0"/>
              <w:rPr>
                <w:sz w:val="1"/>
                <w:szCs w:val="1"/>
                <w:color w:val="auto"/>
              </w:rPr>
            </w:pPr>
          </w:p>
        </w:tc>
      </w:tr>
      <w:tr>
        <w:trPr>
          <w:trHeight w:val="243"/>
        </w:trPr>
        <w:tc>
          <w:tcPr>
            <w:tcW w:w="5120" w:type="dxa"/>
            <w:vAlign w:val="bottom"/>
          </w:tcPr>
          <w:p>
            <w:pPr>
              <w:ind w:left="80"/>
              <w:spacing w:after="0"/>
              <w:rPr>
                <w:sz w:val="20"/>
                <w:szCs w:val="20"/>
                <w:color w:val="auto"/>
              </w:rPr>
            </w:pPr>
            <w:r>
              <w:rPr>
                <w:rFonts w:ascii="Arial" w:cs="Arial" w:eastAsia="Arial" w:hAnsi="Arial"/>
                <w:sz w:val="16"/>
                <w:szCs w:val="16"/>
                <w:color w:val="auto"/>
              </w:rPr>
              <w:t>Proceeds from sale of property and equipment</w:t>
            </w:r>
          </w:p>
        </w:tc>
        <w:tc>
          <w:tcPr>
            <w:tcW w:w="480" w:type="dxa"/>
            <w:vAlign w:val="bottom"/>
          </w:tcPr>
          <w:p>
            <w:pPr>
              <w:spacing w:after="0"/>
              <w:rPr>
                <w:sz w:val="21"/>
                <w:szCs w:val="21"/>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b w:val="1"/>
                <w:bCs w:val="1"/>
                <w:color w:val="auto"/>
              </w:rPr>
              <w:t>25</w:t>
            </w:r>
          </w:p>
        </w:tc>
        <w:tc>
          <w:tcPr>
            <w:tcW w:w="60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b w:val="1"/>
                <w:bCs w:val="1"/>
                <w:color w:val="auto"/>
              </w:rPr>
              <w:t>25</w:t>
            </w:r>
          </w:p>
        </w:tc>
        <w:tc>
          <w:tcPr>
            <w:tcW w:w="580" w:type="dxa"/>
            <w:vAlign w:val="bottom"/>
          </w:tcPr>
          <w:p>
            <w:pPr>
              <w:spacing w:after="0"/>
              <w:rPr>
                <w:sz w:val="21"/>
                <w:szCs w:val="21"/>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Acquisition of property and equipment</w:t>
            </w:r>
          </w:p>
        </w:tc>
        <w:tc>
          <w:tcPr>
            <w:tcW w:w="4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(237)</w:t>
            </w: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(911)</w:t>
            </w:r>
          </w:p>
        </w:tc>
        <w:tc>
          <w:tcPr>
            <w:tcW w:w="5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(7,076)</w:t>
            </w:r>
          </w:p>
        </w:tc>
        <w:tc>
          <w:tcPr>
            <w:tcW w:w="0" w:type="dxa"/>
            <w:vAlign w:val="bottom"/>
          </w:tcPr>
          <w:p>
            <w:pPr>
              <w:spacing w:after="0"/>
              <w:rPr>
                <w:sz w:val="1"/>
                <w:szCs w:val="1"/>
                <w:color w:val="auto"/>
              </w:rPr>
            </w:pPr>
          </w:p>
        </w:tc>
      </w:tr>
      <w:tr>
        <w:trPr>
          <w:trHeight w:val="231"/>
        </w:trPr>
        <w:tc>
          <w:tcPr>
            <w:tcW w:w="51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4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24,378</w:t>
            </w:r>
          </w:p>
        </w:tc>
        <w:tc>
          <w:tcPr>
            <w:tcW w:w="6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5,305</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(48,911)</w:t>
            </w:r>
          </w:p>
        </w:tc>
        <w:tc>
          <w:tcPr>
            <w:tcW w:w="5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27,116</w:t>
            </w:r>
          </w:p>
        </w:tc>
        <w:tc>
          <w:tcPr>
            <w:tcW w:w="0" w:type="dxa"/>
            <w:vAlign w:val="bottom"/>
          </w:tcPr>
          <w:p>
            <w:pPr>
              <w:spacing w:after="0"/>
              <w:rPr>
                <w:sz w:val="1"/>
                <w:szCs w:val="1"/>
                <w:color w:val="auto"/>
              </w:rPr>
            </w:pPr>
          </w:p>
        </w:tc>
      </w:tr>
      <w:tr>
        <w:trPr>
          <w:trHeight w:val="33"/>
        </w:trPr>
        <w:tc>
          <w:tcPr>
            <w:tcW w:w="5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4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80"/>
              <w:spacing w:after="0"/>
              <w:rPr>
                <w:sz w:val="20"/>
                <w:szCs w:val="20"/>
                <w:color w:val="auto"/>
              </w:rPr>
            </w:pPr>
            <w:r>
              <w:rPr>
                <w:rFonts w:ascii="Arial" w:cs="Arial" w:eastAsia="Arial" w:hAnsi="Arial"/>
                <w:sz w:val="16"/>
                <w:szCs w:val="16"/>
                <w:color w:val="auto"/>
              </w:rPr>
              <w:t>Promissory note repayment (note 8)</w:t>
            </w:r>
          </w:p>
        </w:tc>
        <w:tc>
          <w:tcPr>
            <w:tcW w:w="48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spacing w:after="0"/>
              <w:rPr>
                <w:sz w:val="20"/>
                <w:szCs w:val="20"/>
                <w:color w:val="auto"/>
              </w:rPr>
            </w:pPr>
          </w:p>
        </w:tc>
        <w:tc>
          <w:tcPr>
            <w:tcW w:w="9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(12,001)</w:t>
            </w:r>
          </w:p>
        </w:tc>
        <w:tc>
          <w:tcPr>
            <w:tcW w:w="580" w:type="dxa"/>
            <w:vAlign w:val="bottom"/>
          </w:tcPr>
          <w:p>
            <w:pPr>
              <w:spacing w:after="0"/>
              <w:rPr>
                <w:sz w:val="20"/>
                <w:szCs w:val="20"/>
                <w:color w:val="auto"/>
              </w:rPr>
            </w:pPr>
          </w:p>
        </w:tc>
        <w:tc>
          <w:tcPr>
            <w:tcW w:w="96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12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Proceeds from sale of Series A Preferred Shares, net of</w:t>
            </w:r>
          </w:p>
        </w:tc>
        <w:tc>
          <w:tcPr>
            <w:tcW w:w="48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66,265</w:t>
            </w:r>
          </w:p>
        </w:tc>
        <w:tc>
          <w:tcPr>
            <w:tcW w:w="580" w:type="dxa"/>
            <w:vAlign w:val="bottom"/>
            <w:shd w:val="clear" w:color="auto" w:fill="CCEEFF"/>
          </w:tcPr>
          <w:p>
            <w:pPr>
              <w:spacing w:after="0"/>
              <w:rPr>
                <w:sz w:val="19"/>
                <w:szCs w:val="19"/>
                <w:color w:val="auto"/>
              </w:rPr>
            </w:pPr>
          </w:p>
        </w:tc>
        <w:tc>
          <w:tcPr>
            <w:tcW w:w="96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5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issuance costs</w:t>
            </w:r>
          </w:p>
        </w:tc>
        <w:tc>
          <w:tcPr>
            <w:tcW w:w="4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vMerge w:val="continue"/>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vMerge w:val="continue"/>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80"/>
              <w:spacing w:after="0"/>
              <w:rPr>
                <w:sz w:val="20"/>
                <w:szCs w:val="20"/>
                <w:color w:val="auto"/>
              </w:rPr>
            </w:pPr>
            <w:r>
              <w:rPr>
                <w:rFonts w:ascii="Arial" w:cs="Arial" w:eastAsia="Arial" w:hAnsi="Arial"/>
                <w:sz w:val="16"/>
                <w:szCs w:val="16"/>
                <w:color w:val="auto"/>
              </w:rPr>
              <w:t>Issuance of common shares pursuant to exercise of options</w:t>
            </w:r>
          </w:p>
        </w:tc>
        <w:tc>
          <w:tcPr>
            <w:tcW w:w="48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b w:val="1"/>
                <w:bCs w:val="1"/>
                <w:color w:val="auto"/>
              </w:rPr>
              <w:t>435</w:t>
            </w:r>
          </w:p>
        </w:tc>
        <w:tc>
          <w:tcPr>
            <w:tcW w:w="600" w:type="dxa"/>
            <w:vAlign w:val="bottom"/>
          </w:tcPr>
          <w:p>
            <w:pPr>
              <w:spacing w:after="0"/>
              <w:rPr>
                <w:sz w:val="20"/>
                <w:szCs w:val="20"/>
                <w:color w:val="auto"/>
              </w:rPr>
            </w:pPr>
          </w:p>
        </w:tc>
        <w:tc>
          <w:tcPr>
            <w:tcW w:w="960" w:type="dxa"/>
            <w:vAlign w:val="bottom"/>
          </w:tcPr>
          <w:p>
            <w:pPr>
              <w:jc w:val="right"/>
              <w:ind w:right="18"/>
              <w:spacing w:after="0"/>
              <w:rPr>
                <w:sz w:val="20"/>
                <w:szCs w:val="20"/>
                <w:color w:val="auto"/>
              </w:rPr>
            </w:pPr>
            <w:r>
              <w:rPr>
                <w:rFonts w:ascii="Arial" w:cs="Arial" w:eastAsia="Arial" w:hAnsi="Arial"/>
                <w:sz w:val="16"/>
                <w:szCs w:val="16"/>
                <w:color w:val="auto"/>
              </w:rPr>
              <w:t>61</w:t>
            </w:r>
          </w:p>
        </w:tc>
        <w:tc>
          <w:tcPr>
            <w:tcW w:w="3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b w:val="1"/>
                <w:bCs w:val="1"/>
                <w:color w:val="auto"/>
              </w:rPr>
              <w:t>1,273</w:t>
            </w:r>
          </w:p>
        </w:tc>
        <w:tc>
          <w:tcPr>
            <w:tcW w:w="580" w:type="dxa"/>
            <w:vAlign w:val="bottom"/>
          </w:tcPr>
          <w:p>
            <w:pPr>
              <w:spacing w:after="0"/>
              <w:rPr>
                <w:sz w:val="20"/>
                <w:szCs w:val="20"/>
                <w:color w:val="auto"/>
              </w:rPr>
            </w:pPr>
          </w:p>
        </w:tc>
        <w:tc>
          <w:tcPr>
            <w:tcW w:w="960" w:type="dxa"/>
            <w:vAlign w:val="bottom"/>
          </w:tcPr>
          <w:p>
            <w:pPr>
              <w:jc w:val="right"/>
              <w:ind w:right="38"/>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Issuance of common shares pursuant to exercise of warrants</w:t>
            </w:r>
          </w:p>
        </w:tc>
        <w:tc>
          <w:tcPr>
            <w:tcW w:w="4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231"/>
        </w:trPr>
        <w:tc>
          <w:tcPr>
            <w:tcW w:w="51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cash provided by financing activities</w:t>
            </w:r>
          </w:p>
        </w:tc>
        <w:tc>
          <w:tcPr>
            <w:tcW w:w="4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435</w:t>
            </w:r>
          </w:p>
        </w:tc>
        <w:tc>
          <w:tcPr>
            <w:tcW w:w="6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61</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55,537</w:t>
            </w:r>
          </w:p>
        </w:tc>
        <w:tc>
          <w:tcPr>
            <w:tcW w:w="5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33"/>
        </w:trPr>
        <w:tc>
          <w:tcPr>
            <w:tcW w:w="5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4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131</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1,327</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(795)</w:t>
            </w: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2,575</w:t>
            </w: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b w:val="1"/>
                <w:bCs w:val="1"/>
                <w:color w:val="auto"/>
                <w:w w:val="91"/>
              </w:rPr>
              <w:t>Increase (Decrease) in cash, cash equivalents, and restricted investment</w:t>
            </w:r>
          </w:p>
        </w:tc>
        <w:tc>
          <w:tcPr>
            <w:tcW w:w="48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b w:val="1"/>
                <w:bCs w:val="1"/>
                <w:color w:val="auto"/>
              </w:rPr>
              <w:t>11,740</w:t>
            </w: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(8,987)</w:t>
            </w:r>
          </w:p>
        </w:tc>
        <w:tc>
          <w:tcPr>
            <w:tcW w:w="3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(44,960)</w:t>
            </w:r>
          </w:p>
        </w:tc>
        <w:tc>
          <w:tcPr>
            <w:tcW w:w="5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(8,188)</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investment, beginning of period</w:t>
            </w:r>
          </w:p>
        </w:tc>
        <w:tc>
          <w:tcPr>
            <w:tcW w:w="4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10,193</w:t>
            </w: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24,212</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66,893</w:t>
            </w:r>
          </w:p>
        </w:tc>
        <w:tc>
          <w:tcPr>
            <w:tcW w:w="5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23,413</w:t>
            </w:r>
          </w:p>
        </w:tc>
        <w:tc>
          <w:tcPr>
            <w:tcW w:w="0" w:type="dxa"/>
            <w:vAlign w:val="bottom"/>
          </w:tcPr>
          <w:p>
            <w:pPr>
              <w:spacing w:after="0"/>
              <w:rPr>
                <w:sz w:val="1"/>
                <w:szCs w:val="1"/>
                <w:color w:val="auto"/>
              </w:rPr>
            </w:pPr>
          </w:p>
        </w:tc>
      </w:tr>
      <w:tr>
        <w:trPr>
          <w:trHeight w:val="231"/>
        </w:trPr>
        <w:tc>
          <w:tcPr>
            <w:tcW w:w="51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Cash, cash equivalents, and restricted investment, end of period</w:t>
            </w:r>
          </w:p>
        </w:tc>
        <w:tc>
          <w:tcPr>
            <w:tcW w:w="48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21,933</w:t>
            </w:r>
          </w:p>
        </w:tc>
        <w:tc>
          <w:tcPr>
            <w:tcW w:w="60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15,225</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21,933</w:t>
            </w:r>
          </w:p>
        </w:tc>
        <w:tc>
          <w:tcPr>
            <w:tcW w:w="58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15,225</w:t>
            </w:r>
          </w:p>
        </w:tc>
        <w:tc>
          <w:tcPr>
            <w:tcW w:w="0" w:type="dxa"/>
            <w:vAlign w:val="bottom"/>
          </w:tcPr>
          <w:p>
            <w:pPr>
              <w:spacing w:after="0"/>
              <w:rPr>
                <w:sz w:val="1"/>
                <w:szCs w:val="1"/>
                <w:color w:val="auto"/>
              </w:rPr>
            </w:pPr>
          </w:p>
        </w:tc>
      </w:tr>
      <w:tr>
        <w:trPr>
          <w:trHeight w:val="33"/>
        </w:trPr>
        <w:tc>
          <w:tcPr>
            <w:tcW w:w="5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cash flow information</w:t>
            </w:r>
          </w:p>
        </w:tc>
        <w:tc>
          <w:tcPr>
            <w:tcW w:w="4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120" w:type="dxa"/>
            <w:vAlign w:val="bottom"/>
          </w:tcPr>
          <w:p>
            <w:pPr>
              <w:ind w:left="40"/>
              <w:spacing w:after="0"/>
              <w:rPr>
                <w:sz w:val="20"/>
                <w:szCs w:val="20"/>
                <w:color w:val="auto"/>
              </w:rPr>
            </w:pPr>
            <w:r>
              <w:rPr>
                <w:rFonts w:ascii="Arial" w:cs="Arial" w:eastAsia="Arial" w:hAnsi="Arial"/>
                <w:sz w:val="16"/>
                <w:szCs w:val="16"/>
                <w:color w:val="auto"/>
              </w:rPr>
              <w:t>Non-cash transactions:</w:t>
            </w: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tax credit received</w:t>
            </w:r>
          </w:p>
        </w:tc>
        <w:tc>
          <w:tcPr>
            <w:tcW w:w="4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108</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Acquired property and equipment in trade payables</w:t>
            </w:r>
          </w:p>
        </w:tc>
        <w:tc>
          <w:tcPr>
            <w:tcW w:w="48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ind w:left="1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ind w:left="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8"/>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Preferred shares dividends accrued (note 6)</w:t>
            </w:r>
          </w:p>
        </w:tc>
        <w:tc>
          <w:tcPr>
            <w:tcW w:w="4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2,567</w:t>
            </w:r>
          </w:p>
        </w:tc>
        <w:tc>
          <w:tcPr>
            <w:tcW w:w="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b w:val="1"/>
                <w:bCs w:val="1"/>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7,444</w:t>
            </w:r>
          </w:p>
        </w:tc>
        <w:tc>
          <w:tcPr>
            <w:tcW w:w="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6"/>
                <w:szCs w:val="16"/>
                <w:color w:val="auto"/>
              </w:rPr>
              <w:t>Investment in Genevant (note 3)</w:t>
            </w:r>
          </w:p>
        </w:tc>
        <w:tc>
          <w:tcPr>
            <w:tcW w:w="48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ind w:left="1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59"/>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b w:val="1"/>
                <w:bCs w:val="1"/>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b w:val="1"/>
                <w:bCs w:val="1"/>
                <w:color w:val="auto"/>
              </w:rPr>
              <w:t>24,665</w:t>
            </w:r>
          </w:p>
        </w:tc>
        <w:tc>
          <w:tcPr>
            <w:tcW w:w="580" w:type="dxa"/>
            <w:vAlign w:val="bottom"/>
          </w:tcPr>
          <w:p>
            <w:pPr>
              <w:ind w:left="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00"/>
          </w:cols>
          <w:pgMar w:left="240" w:top="801" w:right="259" w:bottom="0" w:gutter="0" w:footer="0" w:header="0"/>
        </w:sectPr>
      </w:pPr>
    </w:p>
    <w:bookmarkStart w:id="8" w:name="page9"/>
    <w:bookmarkEnd w:id="8"/>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019"/>
          </w:cols>
          <w:pgMar w:left="1440" w:top="476" w:right="1440"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ARBUTUS BIOPHARMA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(Tabular amounts in thousands of US Dollars, except share and per share amounts)</w:t>
      </w:r>
    </w:p>
    <w:p>
      <w:pPr>
        <w:spacing w:after="0" w:line="315"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future operations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Arbutus Biopharma Corporation (the “Company” or “Arbutus”) is a biopharmaceutical business dedicated to discovering, developing, and commercializing a cure for patients suffering from chronic hepatitis B infection, a disease of the liver caused by the hepatitis B virus (“HBV”). To pursue its strategy of developing a curative combination regimen, the Company has assembled a pipeline of multiple drug candidates with differing and complementary mechanisms of action targeting HBV.</w:t>
      </w:r>
    </w:p>
    <w:p>
      <w:pPr>
        <w:spacing w:after="0" w:line="18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success of the Company is dependent on obtaining the necessary regulatory approvals to bring its products to market and achieving profitable operations. The Company's research and development activities and commercialization of its products are dependent on its ability to successfully complete these activities and to obtain adequate financing through a combination of financing activities and operations. It is not possible to predict either the outcome of the Company's existing or future research and development programs or the Company’s ability to continue to fund these programs in the future.</w:t>
      </w:r>
    </w:p>
    <w:p>
      <w:pPr>
        <w:spacing w:after="0" w:line="366"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These unaudited condensed consolidated financial statements have been prepared in accordance with U.S. generally accepted accounting principles (“U.S. GAAP”) for interim financial statements and accordingly, do not include all disclosures required for annual financial statements. These statements should be read in conjunction with the Company’s audited consolidated financial statements and notes thereto for the year ended December 31, 2017 included in the Company’s Annual Report on Form 10-K for the year ended December 31, 2017. These unaudited condensed consolidated financial statements reflect, in the opinion of management, all adjustments and reclassifications necessary to fairly present the financial position, results of operations and cash flows as of September 30, 2018 and for all other periods presented. The results of operations for the three and nine months ended September 30, 2018 and September 30, 2017, respectively, are not necessarily indicative of the results for the full year. These unaudited condensed consolidated financial statements follow the same significant accounting policies as those described in the notes to the audited consolidated financial statements of the Company for the year ended December 31, 2017, except as described below under Recent Accounting Pronouncements.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color w:val="auto"/>
        </w:rPr>
        <w:t>These unaudited condensed consolidated financial statements include the accounts of the Company and its two wholly-owned subsidiaries, Arbutus Biopharma Inc. ("Arbutus Inc.") and Protiva Biotherapeutics Inc. ("Protiva"). On January 1, 2018, Protiva was amalgamated with the Company. All intercompany transactions and balances have been eliminated in consolidation.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or loss per share</w:t>
      </w:r>
    </w:p>
    <w:p>
      <w:pPr>
        <w:spacing w:after="0" w:line="225"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The Company follows the two-class method when computing net loss attributable to common shareholders per share as the Company has issued Series A participating convertible preferred shares (the "Preferred Shares" (as further described in note 6) that meet the definition of participating securities. The Preferred Shares entitle the holders to participate in dividends but do not require the holders to participate in losses of the Company. Accordingly, if the Company reports a net loss attributable to common shareholders net losses are not allocated to holders of the Preferred Shares.</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688" w:right="299" w:bottom="1440" w:gutter="0" w:footer="0" w:header="0"/>
        </w:sectPr>
      </w:pPr>
    </w:p>
    <w:bookmarkStart w:id="10" w:name="page11"/>
    <w:bookmarkEnd w:id="10"/>
    <w:p>
      <w:pPr>
        <w:ind w:right="60"/>
        <w:spacing w:after="0" w:line="302" w:lineRule="auto"/>
        <w:rPr>
          <w:sz w:val="20"/>
          <w:szCs w:val="20"/>
          <w:color w:val="auto"/>
        </w:rPr>
      </w:pPr>
      <w:r>
        <w:rPr>
          <w:rFonts w:ascii="Arial" w:cs="Arial" w:eastAsia="Arial" w:hAnsi="Arial"/>
          <w:sz w:val="16"/>
          <w:szCs w:val="16"/>
          <w:color w:val="auto"/>
        </w:rPr>
        <w:t>Loss per share is calculated based on the weighted average number of common shares outstanding. Diluted loss per share does not differ from basic loss per share since the effect of the Company’s stock options, liability-classified stock option awards, and warrants are anti-dilutive. During the nine months ended September 30, 2018, potential common shares of 24,211,817, (nine months ended September 30, 2017 – 5,339,714), consisting of the as-if converted number of Preferred shares, warrants and stock options, were excluded from the calculation of loss per common share because their inclusion would be anti-dilutive.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out the computation of basic and diluted net income (loss) attributable to shareholders per share:</w:t>
      </w:r>
    </w:p>
    <w:p>
      <w:pPr>
        <w:spacing w:after="0" w:line="138" w:lineRule="exact"/>
        <w:rPr>
          <w:sz w:val="20"/>
          <w:szCs w:val="20"/>
          <w:color w:val="auto"/>
        </w:rPr>
      </w:pPr>
    </w:p>
    <w:tbl>
      <w:tblPr>
        <w:tblLayout w:type="fixed"/>
        <w:tblInd w:w="240" w:type="dxa"/>
        <w:tblCellMar>
          <w:top w:w="0" w:type="dxa"/>
          <w:left w:w="0" w:type="dxa"/>
          <w:bottom w:w="0" w:type="dxa"/>
          <w:right w:w="0" w:type="dxa"/>
        </w:tblCellMar>
      </w:tblPr>
      <w:tr>
        <w:trPr>
          <w:trHeight w:val="238"/>
        </w:trPr>
        <w:tc>
          <w:tcPr>
            <w:tcW w:w="5040" w:type="dxa"/>
            <w:vAlign w:val="bottom"/>
            <w:tcBorders>
              <w:top w:val="single" w:sz="8" w:color="auto"/>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44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2520" w:type="dxa"/>
            <w:vAlign w:val="bottom"/>
            <w:tcBorders>
              <w:top w:val="single" w:sz="8" w:color="auto"/>
            </w:tcBorders>
            <w:gridSpan w:val="3"/>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89"/>
              </w:rPr>
              <w:t>Nine months ended September</w:t>
            </w:r>
          </w:p>
        </w:tc>
      </w:tr>
      <w:tr>
        <w:trPr>
          <w:trHeight w:val="241"/>
        </w:trPr>
        <w:tc>
          <w:tcPr>
            <w:tcW w:w="50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860" w:type="dxa"/>
            <w:vAlign w:val="bottom"/>
            <w:tcBorders>
              <w:bottom w:val="single" w:sz="8" w:color="CCEEFF"/>
            </w:tcBorders>
            <w:gridSpan w:val="3"/>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89"/>
              </w:rPr>
              <w:t>Three months ended September 30,</w:t>
            </w: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w:t>
            </w: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60" w:type="dxa"/>
            <w:vAlign w:val="bottom"/>
            <w:gridSpan w:val="3"/>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1080" w:type="dxa"/>
            <w:vAlign w:val="bottom"/>
          </w:tcPr>
          <w:p>
            <w:pPr>
              <w:spacing w:after="0"/>
              <w:rPr>
                <w:sz w:val="21"/>
                <w:szCs w:val="21"/>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5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Common</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4"/>
              </w:rPr>
              <w:t>Preferred</w:t>
            </w:r>
          </w:p>
        </w:tc>
      </w:tr>
      <w:tr>
        <w:trPr>
          <w:trHeight w:val="241"/>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Common Shares</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88"/>
              </w:rPr>
              <w:t>Preferred Shares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Shares</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Shares</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Allocation of distributable earnings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2,567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7,444</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Allocation of undistributed loss</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(27,040)</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(46,255)</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5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Allocation of income (loss) attributed to shareholders</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(27,040)</w:t>
            </w:r>
          </w:p>
        </w:tc>
        <w:tc>
          <w:tcPr>
            <w:tcW w:w="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2,567</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(46,255)</w:t>
            </w:r>
          </w:p>
        </w:tc>
        <w:tc>
          <w:tcPr>
            <w:tcW w:w="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7,444</w:t>
            </w:r>
          </w:p>
        </w:tc>
      </w:tr>
      <w:tr>
        <w:trPr>
          <w:trHeight w:val="27"/>
        </w:trPr>
        <w:tc>
          <w:tcPr>
            <w:tcW w:w="5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Weighted average number of shares - basic and diluted</w:t>
            </w:r>
          </w:p>
        </w:tc>
        <w:tc>
          <w:tcPr>
            <w:tcW w:w="3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55,421,504</w:t>
            </w:r>
          </w:p>
        </w:tc>
        <w:tc>
          <w:tcPr>
            <w:tcW w:w="12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1,164,000</w:t>
            </w:r>
          </w:p>
        </w:tc>
        <w:tc>
          <w:tcPr>
            <w:tcW w:w="22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55,241,284</w:t>
            </w:r>
          </w:p>
        </w:tc>
        <w:tc>
          <w:tcPr>
            <w:tcW w:w="2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1,134,813</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Basic and diluted net income (loss) attributable to shareholders per</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6.56</w:t>
            </w:r>
          </w:p>
        </w:tc>
      </w:tr>
      <w:tr>
        <w:trPr>
          <w:trHeight w:val="27"/>
        </w:trPr>
        <w:tc>
          <w:tcPr>
            <w:tcW w:w="50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measures certain financial instruments and other items at fair value.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To determine the fair value, the Company uses the fair value hierarchy for inputs used in measuring fair value that maximizes the use of observable inputs and minimizes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 factors market participants would use to value an asset or liability. The three levels of inputs that may be used to measure fair value are as follows:</w:t>
      </w:r>
    </w:p>
    <w:p>
      <w:pPr>
        <w:spacing w:after="0" w:line="188" w:lineRule="exact"/>
        <w:rPr>
          <w:sz w:val="20"/>
          <w:szCs w:val="20"/>
          <w:color w:val="auto"/>
        </w:rPr>
      </w:pPr>
    </w:p>
    <w:p>
      <w:pPr>
        <w:ind w:left="980" w:hanging="486"/>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inputs are quoted market prices for identical instruments available in active markets.</w:t>
      </w:r>
    </w:p>
    <w:p>
      <w:pPr>
        <w:spacing w:after="0" w:line="23" w:lineRule="exact"/>
        <w:rPr>
          <w:rFonts w:ascii="Arial" w:cs="Arial" w:eastAsia="Arial" w:hAnsi="Arial"/>
          <w:sz w:val="18"/>
          <w:szCs w:val="18"/>
          <w:color w:val="auto"/>
        </w:rPr>
      </w:pPr>
    </w:p>
    <w:p>
      <w:pPr>
        <w:ind w:left="980" w:hanging="486"/>
        <w:spacing w:after="0" w:line="250"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w:t>
      </w:r>
    </w:p>
    <w:p>
      <w:pPr>
        <w:spacing w:after="0" w:line="1" w:lineRule="exact"/>
        <w:rPr>
          <w:rFonts w:ascii="Arial" w:cs="Arial" w:eastAsia="Arial" w:hAnsi="Arial"/>
          <w:sz w:val="18"/>
          <w:szCs w:val="18"/>
          <w:color w:val="auto"/>
        </w:rPr>
      </w:pPr>
    </w:p>
    <w:p>
      <w:pPr>
        <w:ind w:left="980" w:right="40" w:hanging="486"/>
        <w:spacing w:after="0" w:line="261"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 or liability and will reflect management’s assumptions about market assumptions that would be used to price the asset or liability.</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800" w:right="259" w:bottom="1440" w:gutter="0" w:footer="0" w:header="0"/>
        </w:sectPr>
      </w:pPr>
    </w:p>
    <w:bookmarkStart w:id="11" w:name="page12"/>
    <w:bookmarkEnd w:id="11"/>
    <w:p>
      <w:pPr>
        <w:ind w:right="140"/>
        <w:spacing w:after="0" w:line="277" w:lineRule="auto"/>
        <w:rPr>
          <w:sz w:val="20"/>
          <w:szCs w:val="20"/>
          <w:color w:val="auto"/>
        </w:rPr>
      </w:pPr>
      <w:r>
        <w:rPr>
          <w:rFonts w:ascii="Arial" w:cs="Arial" w:eastAsia="Arial" w:hAnsi="Arial"/>
          <w:sz w:val="18"/>
          <w:szCs w:val="18"/>
          <w:color w:val="auto"/>
        </w:rPr>
        <w:t>The following table presents information about the Company’s assets and liabilities that are measured at fair value on a recurring basis, and indicates the fair value hierarchy of the valuation techniques used to determine such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Level 1</w:t>
            </w:r>
          </w:p>
        </w:tc>
        <w:tc>
          <w:tcPr>
            <w:tcW w:w="5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Level 2</w:t>
            </w:r>
          </w:p>
        </w:tc>
        <w:tc>
          <w:tcPr>
            <w:tcW w:w="56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Level 3</w:t>
            </w:r>
          </w:p>
        </w:tc>
        <w:tc>
          <w:tcPr>
            <w:tcW w:w="30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w w:val="96"/>
              </w:rPr>
              <w:t>September 30,</w:t>
            </w:r>
          </w:p>
        </w:tc>
      </w:tr>
      <w:tr>
        <w:trPr>
          <w:trHeight w:val="230"/>
        </w:trPr>
        <w:tc>
          <w:tcPr>
            <w:tcW w:w="35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2018</w:t>
            </w:r>
          </w:p>
        </w:tc>
      </w:tr>
      <w:tr>
        <w:trPr>
          <w:trHeight w:val="27"/>
        </w:trPr>
        <w:tc>
          <w:tcPr>
            <w:tcW w:w="35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0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21,933</w:t>
            </w:r>
          </w:p>
        </w:tc>
        <w:tc>
          <w:tcPr>
            <w:tcW w:w="5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21,933</w:t>
            </w:r>
          </w:p>
        </w:tc>
      </w:tr>
      <w:tr>
        <w:trPr>
          <w:trHeight w:val="27"/>
        </w:trPr>
        <w:tc>
          <w:tcPr>
            <w:tcW w:w="3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20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120,085</w:t>
            </w:r>
          </w:p>
        </w:tc>
        <w:tc>
          <w:tcPr>
            <w:tcW w:w="5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120,085</w:t>
            </w:r>
          </w:p>
        </w:tc>
      </w:tr>
      <w:tr>
        <w:trPr>
          <w:trHeight w:val="237"/>
        </w:trPr>
        <w:tc>
          <w:tcPr>
            <w:tcW w:w="35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0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142,018</w:t>
            </w:r>
          </w:p>
        </w:tc>
        <w:tc>
          <w:tcPr>
            <w:tcW w:w="5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142,018</w:t>
            </w:r>
          </w:p>
        </w:tc>
      </w:tr>
      <w:tr>
        <w:trPr>
          <w:trHeight w:val="27"/>
        </w:trPr>
        <w:tc>
          <w:tcPr>
            <w:tcW w:w="35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Liability-classified options</w:t>
            </w:r>
          </w:p>
        </w:tc>
        <w:tc>
          <w:tcPr>
            <w:tcW w:w="204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2,738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2,738</w:t>
            </w:r>
          </w:p>
        </w:tc>
      </w:tr>
      <w:tr>
        <w:trPr>
          <w:trHeight w:val="27"/>
        </w:trPr>
        <w:tc>
          <w:tcPr>
            <w:tcW w:w="3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20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4,161</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4,161</w:t>
            </w:r>
          </w:p>
        </w:tc>
      </w:tr>
      <w:tr>
        <w:trPr>
          <w:trHeight w:val="237"/>
        </w:trPr>
        <w:tc>
          <w:tcPr>
            <w:tcW w:w="35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0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6,899</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6,899</w:t>
            </w:r>
          </w:p>
        </w:tc>
      </w:tr>
      <w:tr>
        <w:trPr>
          <w:trHeight w:val="27"/>
        </w:trPr>
        <w:tc>
          <w:tcPr>
            <w:tcW w:w="35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345"/>
        </w:trPr>
        <w:tc>
          <w:tcPr>
            <w:tcW w:w="35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2"/>
        </w:trPr>
        <w:tc>
          <w:tcPr>
            <w:tcW w:w="35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Level 1</w:t>
            </w:r>
          </w:p>
        </w:tc>
        <w:tc>
          <w:tcPr>
            <w:tcW w:w="5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Level 2</w:t>
            </w:r>
          </w:p>
        </w:tc>
        <w:tc>
          <w:tcPr>
            <w:tcW w:w="5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Level 3</w:t>
            </w:r>
          </w:p>
        </w:tc>
        <w:tc>
          <w:tcPr>
            <w:tcW w:w="30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December 31,</w:t>
            </w:r>
          </w:p>
        </w:tc>
      </w:tr>
      <w:tr>
        <w:trPr>
          <w:trHeight w:val="230"/>
        </w:trPr>
        <w:tc>
          <w:tcPr>
            <w:tcW w:w="35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2017</w:t>
            </w:r>
          </w:p>
        </w:tc>
      </w:tr>
      <w:tr>
        <w:trPr>
          <w:trHeight w:val="27"/>
        </w:trPr>
        <w:tc>
          <w:tcPr>
            <w:tcW w:w="35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0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54,292</w:t>
            </w:r>
          </w:p>
        </w:tc>
        <w:tc>
          <w:tcPr>
            <w:tcW w:w="5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54,292</w:t>
            </w:r>
          </w:p>
        </w:tc>
      </w:tr>
      <w:tr>
        <w:trPr>
          <w:trHeight w:val="27"/>
        </w:trPr>
        <w:tc>
          <w:tcPr>
            <w:tcW w:w="3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20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72,060</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72,060</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04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12,601</w:t>
            </w:r>
          </w:p>
        </w:tc>
        <w:tc>
          <w:tcPr>
            <w:tcW w:w="5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12,601</w:t>
            </w:r>
          </w:p>
        </w:tc>
      </w:tr>
      <w:tr>
        <w:trPr>
          <w:trHeight w:val="27"/>
        </w:trPr>
        <w:tc>
          <w:tcPr>
            <w:tcW w:w="35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138,953</w:t>
            </w:r>
          </w:p>
        </w:tc>
        <w:tc>
          <w:tcPr>
            <w:tcW w:w="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138,953</w:t>
            </w:r>
          </w:p>
        </w:tc>
      </w:tr>
      <w:tr>
        <w:trPr>
          <w:trHeight w:val="237"/>
        </w:trPr>
        <w:tc>
          <w:tcPr>
            <w:tcW w:w="35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Liabilities</w:t>
            </w:r>
          </w:p>
        </w:tc>
        <w:tc>
          <w:tcPr>
            <w:tcW w:w="20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7"/>
        </w:trPr>
        <w:tc>
          <w:tcPr>
            <w:tcW w:w="3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Liability-classified options</w:t>
            </w:r>
          </w:p>
        </w:tc>
        <w:tc>
          <w:tcPr>
            <w:tcW w:w="20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1,239</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1,239</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204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10,424</w:t>
            </w:r>
          </w:p>
        </w:tc>
        <w:tc>
          <w:tcPr>
            <w:tcW w:w="3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10,424</w:t>
            </w:r>
          </w:p>
        </w:tc>
      </w:tr>
      <w:tr>
        <w:trPr>
          <w:trHeight w:val="27"/>
        </w:trPr>
        <w:tc>
          <w:tcPr>
            <w:tcW w:w="35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11,663</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11,663</w:t>
            </w:r>
          </w:p>
        </w:tc>
      </w:tr>
      <w:tr>
        <w:trPr>
          <w:trHeight w:val="20"/>
        </w:trPr>
        <w:tc>
          <w:tcPr>
            <w:tcW w:w="358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fair value of the Company’s liability-classified stock option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12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20" w:type="dxa"/>
            <w:vAlign w:val="bottom"/>
            <w:gridSpan w:val="2"/>
          </w:tcPr>
          <w:p>
            <w:pPr>
              <w:ind w:left="140"/>
              <w:spacing w:after="0"/>
              <w:rPr>
                <w:sz w:val="20"/>
                <w:szCs w:val="20"/>
                <w:color w:val="auto"/>
              </w:rPr>
            </w:pPr>
            <w:r>
              <w:rPr>
                <w:rFonts w:ascii="Arial" w:cs="Arial" w:eastAsia="Arial" w:hAnsi="Arial"/>
                <w:sz w:val="18"/>
                <w:szCs w:val="18"/>
                <w:color w:val="auto"/>
              </w:rPr>
              <w:t>Fair value of liability-</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2500" w:type="dxa"/>
            <w:vAlign w:val="bottom"/>
            <w:gridSpan w:val="2"/>
          </w:tcPr>
          <w:p>
            <w:pPr>
              <w:jc w:val="right"/>
              <w:ind w:right="30"/>
              <w:spacing w:after="0"/>
              <w:rPr>
                <w:sz w:val="20"/>
                <w:szCs w:val="20"/>
                <w:color w:val="auto"/>
              </w:rPr>
            </w:pPr>
            <w:r>
              <w:rPr>
                <w:rFonts w:ascii="Arial" w:cs="Arial" w:eastAsia="Arial" w:hAnsi="Arial"/>
                <w:sz w:val="18"/>
                <w:szCs w:val="18"/>
                <w:color w:val="auto"/>
              </w:rPr>
              <w:t>Liability at beginning</w:t>
            </w:r>
          </w:p>
        </w:tc>
        <w:tc>
          <w:tcPr>
            <w:tcW w:w="240" w:type="dxa"/>
            <w:vAlign w:val="bottom"/>
          </w:tcPr>
          <w:p>
            <w:pPr>
              <w:spacing w:after="0"/>
              <w:rPr>
                <w:sz w:val="18"/>
                <w:szCs w:val="18"/>
                <w:color w:val="auto"/>
              </w:rPr>
            </w:pPr>
          </w:p>
        </w:tc>
        <w:tc>
          <w:tcPr>
            <w:tcW w:w="1580" w:type="dxa"/>
            <w:vAlign w:val="bottom"/>
          </w:tcPr>
          <w:p>
            <w:pPr>
              <w:jc w:val="right"/>
              <w:ind w:right="170"/>
              <w:spacing w:after="0"/>
              <w:rPr>
                <w:sz w:val="20"/>
                <w:szCs w:val="20"/>
                <w:color w:val="auto"/>
              </w:rPr>
            </w:pPr>
            <w:r>
              <w:rPr>
                <w:rFonts w:ascii="Arial" w:cs="Arial" w:eastAsia="Arial" w:hAnsi="Arial"/>
                <w:sz w:val="18"/>
                <w:szCs w:val="18"/>
                <w:color w:val="auto"/>
                <w:w w:val="94"/>
              </w:rPr>
              <w:t>classified options</w:t>
            </w:r>
          </w:p>
        </w:tc>
        <w:tc>
          <w:tcPr>
            <w:tcW w:w="200" w:type="dxa"/>
            <w:vAlign w:val="bottom"/>
          </w:tcPr>
          <w:p>
            <w:pPr>
              <w:spacing w:after="0"/>
              <w:rPr>
                <w:sz w:val="18"/>
                <w:szCs w:val="18"/>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w w:val="94"/>
              </w:rPr>
              <w:t>Increase in fair</w:t>
            </w:r>
          </w:p>
        </w:tc>
        <w:tc>
          <w:tcPr>
            <w:tcW w:w="320" w:type="dxa"/>
            <w:vAlign w:val="bottom"/>
          </w:tcPr>
          <w:p>
            <w:pPr>
              <w:spacing w:after="0"/>
              <w:rPr>
                <w:sz w:val="18"/>
                <w:szCs w:val="18"/>
                <w:color w:val="auto"/>
              </w:rPr>
            </w:pP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Liability at end</w:t>
            </w:r>
          </w:p>
        </w:tc>
      </w:tr>
      <w:tr>
        <w:trPr>
          <w:trHeight w:val="230"/>
        </w:trPr>
        <w:tc>
          <w:tcPr>
            <w:tcW w:w="3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00" w:type="dxa"/>
            <w:vAlign w:val="bottom"/>
          </w:tcPr>
          <w:p>
            <w:pPr>
              <w:jc w:val="right"/>
              <w:ind w:right="350"/>
              <w:spacing w:after="0"/>
              <w:rPr>
                <w:sz w:val="20"/>
                <w:szCs w:val="20"/>
                <w:color w:val="auto"/>
              </w:rPr>
            </w:pPr>
            <w:r>
              <w:rPr>
                <w:rFonts w:ascii="Arial" w:cs="Arial" w:eastAsia="Arial" w:hAnsi="Arial"/>
                <w:sz w:val="18"/>
                <w:szCs w:val="18"/>
                <w:color w:val="auto"/>
              </w:rPr>
              <w:t>of the period</w:t>
            </w:r>
          </w:p>
        </w:tc>
        <w:tc>
          <w:tcPr>
            <w:tcW w:w="1820" w:type="dxa"/>
            <w:vAlign w:val="bottom"/>
            <w:gridSpan w:val="2"/>
          </w:tcPr>
          <w:p>
            <w:pPr>
              <w:ind w:left="100"/>
              <w:spacing w:after="0"/>
              <w:rPr>
                <w:sz w:val="20"/>
                <w:szCs w:val="20"/>
                <w:color w:val="auto"/>
              </w:rPr>
            </w:pPr>
            <w:r>
              <w:rPr>
                <w:rFonts w:ascii="Arial" w:cs="Arial" w:eastAsia="Arial" w:hAnsi="Arial"/>
                <w:sz w:val="18"/>
                <w:szCs w:val="18"/>
                <w:color w:val="auto"/>
                <w:w w:val="93"/>
              </w:rPr>
              <w:t>exercised in the period</w:t>
            </w:r>
          </w:p>
        </w:tc>
        <w:tc>
          <w:tcPr>
            <w:tcW w:w="20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w w:val="96"/>
              </w:rPr>
              <w:t>value of liability</w:t>
            </w:r>
          </w:p>
        </w:tc>
        <w:tc>
          <w:tcPr>
            <w:tcW w:w="320" w:type="dxa"/>
            <w:vAlign w:val="bottom"/>
          </w:tcPr>
          <w:p>
            <w:pPr>
              <w:spacing w:after="0"/>
              <w:rPr>
                <w:sz w:val="20"/>
                <w:szCs w:val="20"/>
                <w:color w:val="auto"/>
              </w:rPr>
            </w:pP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of the period</w:t>
            </w:r>
          </w:p>
        </w:tc>
      </w:tr>
      <w:tr>
        <w:trPr>
          <w:trHeight w:val="27"/>
        </w:trPr>
        <w:tc>
          <w:tcPr>
            <w:tcW w:w="37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Nine months ended September 30, 2017</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553</w:t>
            </w:r>
          </w:p>
        </w:tc>
        <w:tc>
          <w:tcPr>
            <w:tcW w:w="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1,367</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1,817</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Nine months ended September 30, 2018</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1,239</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1,499</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2,738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fair value of the Company’s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3980" w:type="dxa"/>
            <w:vAlign w:val="bottom"/>
            <w:gridSpan w:val="2"/>
          </w:tcPr>
          <w:p>
            <w:pPr>
              <w:jc w:val="right"/>
              <w:ind w:right="10"/>
              <w:spacing w:after="0"/>
              <w:rPr>
                <w:sz w:val="20"/>
                <w:szCs w:val="20"/>
                <w:color w:val="auto"/>
              </w:rPr>
            </w:pPr>
            <w:r>
              <w:rPr>
                <w:rFonts w:ascii="Arial" w:cs="Arial" w:eastAsia="Arial" w:hAnsi="Arial"/>
                <w:sz w:val="18"/>
                <w:szCs w:val="18"/>
                <w:color w:val="auto"/>
              </w:rPr>
              <w:t>Liability at beginning of the</w:t>
            </w:r>
          </w:p>
        </w:tc>
        <w:tc>
          <w:tcPr>
            <w:tcW w:w="220" w:type="dxa"/>
            <w:vAlign w:val="bottom"/>
          </w:tcPr>
          <w:p>
            <w:pPr>
              <w:spacing w:after="0"/>
              <w:rPr>
                <w:sz w:val="18"/>
                <w:szCs w:val="18"/>
                <w:color w:val="auto"/>
              </w:rPr>
            </w:pPr>
          </w:p>
        </w:tc>
        <w:tc>
          <w:tcPr>
            <w:tcW w:w="2080" w:type="dxa"/>
            <w:vAlign w:val="bottom"/>
          </w:tcPr>
          <w:p>
            <w:pPr>
              <w:jc w:val="center"/>
              <w:ind w:right="90"/>
              <w:spacing w:after="0"/>
              <w:rPr>
                <w:sz w:val="20"/>
                <w:szCs w:val="20"/>
                <w:color w:val="auto"/>
              </w:rPr>
            </w:pPr>
            <w:r>
              <w:rPr>
                <w:rFonts w:ascii="Arial" w:cs="Arial" w:eastAsia="Arial" w:hAnsi="Arial"/>
                <w:sz w:val="18"/>
                <w:szCs w:val="18"/>
                <w:color w:val="auto"/>
                <w:w w:val="88"/>
              </w:rPr>
              <w:t>Increase (decrease) in fair</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w w:val="95"/>
              </w:rPr>
              <w:t>Liability at end of the period</w:t>
            </w:r>
          </w:p>
        </w:tc>
      </w:tr>
      <w:tr>
        <w:trPr>
          <w:trHeight w:val="216"/>
        </w:trPr>
        <w:tc>
          <w:tcPr>
            <w:tcW w:w="29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720" w:type="dxa"/>
            <w:vAlign w:val="bottom"/>
          </w:tcPr>
          <w:p>
            <w:pPr>
              <w:jc w:val="right"/>
              <w:ind w:right="790"/>
              <w:spacing w:after="0"/>
              <w:rPr>
                <w:sz w:val="20"/>
                <w:szCs w:val="20"/>
                <w:color w:val="auto"/>
              </w:rPr>
            </w:pPr>
            <w:r>
              <w:rPr>
                <w:rFonts w:ascii="Arial" w:cs="Arial" w:eastAsia="Arial" w:hAnsi="Arial"/>
                <w:sz w:val="18"/>
                <w:szCs w:val="18"/>
                <w:color w:val="auto"/>
              </w:rPr>
              <w:t>period</w:t>
            </w:r>
          </w:p>
        </w:tc>
        <w:tc>
          <w:tcPr>
            <w:tcW w:w="220" w:type="dxa"/>
            <w:vAlign w:val="bottom"/>
          </w:tcPr>
          <w:p>
            <w:pPr>
              <w:spacing w:after="0"/>
              <w:rPr>
                <w:sz w:val="18"/>
                <w:szCs w:val="18"/>
                <w:color w:val="auto"/>
              </w:rPr>
            </w:pPr>
          </w:p>
        </w:tc>
        <w:tc>
          <w:tcPr>
            <w:tcW w:w="2080" w:type="dxa"/>
            <w:vAlign w:val="bottom"/>
          </w:tcPr>
          <w:p>
            <w:pPr>
              <w:jc w:val="center"/>
              <w:ind w:right="90"/>
              <w:spacing w:after="0"/>
              <w:rPr>
                <w:sz w:val="20"/>
                <w:szCs w:val="20"/>
                <w:color w:val="auto"/>
              </w:rPr>
            </w:pPr>
            <w:r>
              <w:rPr>
                <w:rFonts w:ascii="Arial" w:cs="Arial" w:eastAsia="Arial" w:hAnsi="Arial"/>
                <w:sz w:val="18"/>
                <w:szCs w:val="18"/>
                <w:color w:val="auto"/>
                <w:w w:val="91"/>
              </w:rPr>
              <w:t>value of Contingent</w:t>
            </w:r>
          </w:p>
        </w:tc>
        <w:tc>
          <w:tcPr>
            <w:tcW w:w="9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29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jc w:val="center"/>
              <w:ind w:right="90"/>
              <w:spacing w:after="0"/>
              <w:rPr>
                <w:sz w:val="20"/>
                <w:szCs w:val="20"/>
                <w:color w:val="auto"/>
              </w:rPr>
            </w:pPr>
            <w:r>
              <w:rPr>
                <w:rFonts w:ascii="Arial" w:cs="Arial" w:eastAsia="Arial" w:hAnsi="Arial"/>
                <w:sz w:val="18"/>
                <w:szCs w:val="18"/>
                <w:color w:val="auto"/>
                <w:w w:val="91"/>
              </w:rPr>
              <w:t>Consideration</w:t>
            </w:r>
          </w:p>
        </w:tc>
        <w:tc>
          <w:tcPr>
            <w:tcW w:w="9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29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shd w:val="clear" w:color="auto" w:fill="CCEEFF"/>
              </w:rPr>
              <w:t>Nine months ended September 30, 2017</w:t>
            </w:r>
          </w:p>
        </w:tc>
        <w:tc>
          <w:tcPr>
            <w:tcW w:w="22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9,065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1,146</w:t>
            </w:r>
          </w:p>
        </w:tc>
        <w:tc>
          <w:tcPr>
            <w:tcW w:w="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10,211</w:t>
            </w:r>
          </w:p>
        </w:tc>
      </w:tr>
      <w:tr>
        <w:trPr>
          <w:trHeight w:val="243"/>
        </w:trPr>
        <w:tc>
          <w:tcPr>
            <w:tcW w:w="2920" w:type="dxa"/>
            <w:vAlign w:val="bottom"/>
          </w:tcPr>
          <w:p>
            <w:pPr>
              <w:ind w:left="40"/>
              <w:spacing w:after="0"/>
              <w:rPr>
                <w:sz w:val="20"/>
                <w:szCs w:val="20"/>
                <w:color w:val="auto"/>
              </w:rPr>
            </w:pPr>
            <w:r>
              <w:rPr>
                <w:rFonts w:ascii="Arial" w:cs="Arial" w:eastAsia="Arial" w:hAnsi="Arial"/>
                <w:sz w:val="18"/>
                <w:szCs w:val="18"/>
                <w:color w:val="auto"/>
                <w:w w:val="88"/>
              </w:rPr>
              <w:t>Nine months ended September 30, 2018</w:t>
            </w:r>
          </w:p>
        </w:tc>
        <w:tc>
          <w:tcPr>
            <w:tcW w:w="22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10,424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(6,263)</w:t>
            </w:r>
          </w:p>
        </w:tc>
        <w:tc>
          <w:tcPr>
            <w:tcW w:w="900" w:type="dxa"/>
            <w:vAlign w:val="bottom"/>
          </w:tcPr>
          <w:p>
            <w:pPr>
              <w:ind w:left="8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4,161</w:t>
            </w:r>
          </w:p>
        </w:tc>
      </w:tr>
      <w:tr>
        <w:trPr>
          <w:trHeight w:val="27"/>
        </w:trPr>
        <w:tc>
          <w:tcPr>
            <w:tcW w:w="29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561"/>
        </w:trPr>
        <w:tc>
          <w:tcPr>
            <w:tcW w:w="29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720" w:type="dxa"/>
            <w:vAlign w:val="bottom"/>
          </w:tcPr>
          <w:p>
            <w:pPr>
              <w:jc w:val="right"/>
              <w:ind w:right="105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Equity method investment</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The Company accounts for its investment in associated companies in accordance with the Financial Accounting Standards Board ("FASB") Accounting Standards Codification ("ASC") 323, </w:t>
      </w:r>
      <w:r>
        <w:rPr>
          <w:rFonts w:ascii="Arial" w:cs="Arial" w:eastAsia="Arial" w:hAnsi="Arial"/>
          <w:sz w:val="16"/>
          <w:szCs w:val="16"/>
          <w:i w:val="1"/>
          <w:iCs w:val="1"/>
          <w:color w:val="auto"/>
        </w:rPr>
        <w:t>Investments - Equity Method and Joint Ventures</w:t>
      </w:r>
      <w:r>
        <w:rPr>
          <w:rFonts w:ascii="Arial" w:cs="Arial" w:eastAsia="Arial" w:hAnsi="Arial"/>
          <w:sz w:val="16"/>
          <w:szCs w:val="16"/>
          <w:color w:val="auto"/>
        </w:rPr>
        <w:t xml:space="preserve"> ("ASC 323"). In accordance with ASC 323, associated companies are accounted for as equity method investments. Results of associated companies are presented on a one-line basis. Investments in, and advances to, associated companies are presented on a one-line basis in the caption “Investment in Genevant” in the Company's condensed consolidated balance sheets, net of allowance for losses, which represents the Company's best estimate of probable losses inherent in such assets. The Company's proportionate share of any associated companies' net income or loss is presented on a one-line basis in the caption "Equity investment loss" in the Company's condensed consolidated statement of operations Transactions between the Company and any associated companies are eliminated on a basis proportional to the Company's ownership interest. Financial results of Genevant are recorded on a one-quarter lag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recently issued standards that are not yet effective will not have a material impact on the Company's financial position or results of operations upon adoption.</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became effective for the Company on January 1, 2018, and was adopted using the modified retrospective method under which previously presented financial statements are not restated and the cumulative effect of adopting ASC 606 on contracts in process is recognized by an adjustment to retained earnings at the effective date. The adoption of ASC 606 did not change the Company’s recognized revenue under its ongoing significant collaboration and license agreements and no cumulative effect adjustment was required.</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new guidance in ASC 606 requires an entity to recognize the amount of revenue to which it expects to be entitled for the transfer of promised goods or services to customers under a five-step model: (i) identify contract(s) with a customer; (ii) identify the performance obligations in the contract; (iii) determine the transaction price; (iv) allocate the transaction price to the performance obligations in the contract; and (v) recognize revenue when or as a performance obligation is satisfied.</w:t>
      </w:r>
    </w:p>
    <w:p>
      <w:pPr>
        <w:spacing w:after="0" w:line="18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Company generates revenue primarily through collaboration agreements and license agreements. Such agreements may require the Company to deliver various rights and/or services, including intellectual property rights or licenses and research and development services. Under such agreements, the Company is generally eligible to receive non-refundable upfront payments, funding for research and development services, milestone payments, and royalties.</w:t>
      </w:r>
    </w:p>
    <w:p>
      <w:pPr>
        <w:spacing w:after="0" w:line="1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contracts where the Company has more than one performance obligation to provide its customer with goods or services, each performance obligation is evaluated to determine whether it is distinct based on whether (i) the customer can benefit from the good or service either on its own or together with other resources that are readily available and (ii) the good or service is separately identifiable from other promises in the contract. The consideration under the contract is then allocated between the distinct performance obligations based on their respective relative stand-alone selling prices. The estimated stand-alone selling price of each deliverable reflects the Company’s best estimate of what the selling price would be if the deliverable was regularly sold on a stand-alone basis and is determined by reference to market rates for the good or service when sold to others or by using an adjusted market assessment approach if the selling price on a stand-alone basis is not available.</w:t>
      </w:r>
    </w:p>
    <w:p>
      <w:pPr>
        <w:spacing w:after="0" w:line="18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consideration allocated to each distinct performance obligation is recognized as revenue when control is transferred to the customer for the related goods or services. Consideration associated with at-risk substantive performance milestones, including sales-based milestones, is recognized as revenue when it is probable that a significant reversal of the cumulative revenue recognized will not occur.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908" w:right="279" w:bottom="1440" w:gutter="0" w:footer="0" w:header="0"/>
        </w:sectPr>
      </w:pPr>
    </w:p>
    <w:bookmarkStart w:id="13" w:name="page14"/>
    <w:bookmarkEnd w:id="13"/>
    <w:p>
      <w:pPr>
        <w:ind w:right="440"/>
        <w:spacing w:after="0" w:line="276" w:lineRule="auto"/>
        <w:rPr>
          <w:sz w:val="20"/>
          <w:szCs w:val="20"/>
          <w:color w:val="auto"/>
        </w:rPr>
      </w:pPr>
      <w:r>
        <w:rPr>
          <w:rFonts w:ascii="Arial" w:cs="Arial" w:eastAsia="Arial" w:hAnsi="Arial"/>
          <w:sz w:val="17"/>
          <w:szCs w:val="17"/>
          <w:color w:val="auto"/>
        </w:rPr>
        <w:t>In August 2016, the FASB issued ASU No. 2016-15, Statement of Cash Flows (Topic 230): Classification of Certain Cash Receipts and Cash Payments ("ASU 2016-15"). ASU 2016-15 clarifies certain aspects of the statement of cash flows, and aims to reduce diversity in practice regarding how certain transactions are classified in the statement of cash flows. ASU 2016-15 was effective as of January 1, 2018 and was adopted by the Company in the first quarter of 2018. The adoption of ASU 2016-15 did not have a material impact on the Company's condensed consolidated balance sheets or condensed consolidated statements of operations and comprehensive income (loss).</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November 2016, the FASB issued ASU No. 2016-18, Statement of Cash Flows (Topic 230): Restricted Cash ("ASU 2016-18") that clarifies how entities should present restricted cash in the statement of cash flows. Under ASU 2015-18, changes in total cash, inclusive of restricted cash, should be reflected in the statement of cash flows. As a result, transfers between cash and restricted cash are no longer reflected as activity within the statement of cash flows. The Company adopted ASU 2016-18 on January 1, 2018. The adoption of ASU 2018-18 did not have a material impact on the Company's condensed consolidated statements of cash flows.</w:t>
      </w:r>
    </w:p>
    <w:p>
      <w:pPr>
        <w:spacing w:after="0" w:line="188"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In October 2016 the FASB issued ASU No. 2016-16, Income Taxes (Topic 740): Intra-Entity Transfer of Assets Other Than Inventory ("ASU 2016-16"). ASU 2016-16 eliminates the deferral of the tax effects of intra-entity asset transfers other than inventory. As a result, the income tax consequences from the intra-entity transfer of an asset other than inventory and associated changes to deferred taxes will be recognized when the transfer occurs. The Company adopted ASU 2016-16 in the first quarter of 2018. The adoption of ASU 2016-16 did not have a material impact on the Company's condensed consolidated balance sheets or condensed consolidated statements of operations and comprehensive income (loss).</w:t>
      </w:r>
    </w:p>
    <w:p>
      <w:pPr>
        <w:spacing w:after="0" w:line="17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February 2016, the FASB issued ASU No. 2016-02, Leases (Topic 842): Recognition and Measurement of Financial Assets and Financial Liabilities ("ASU 2016-02"). ASU 2016-02 supersedes Topic 840, Leases and requires the recognition of lease assets and lease liabilities by lessees for those leases classified as operating leases under previous GAAP. ASU 2016-02 retains a distinction between finance leases and operating leases, with cash payments from operating leases classified within operating activities in the statement of cash flows. The amendments in ASU 2016-02 are effective for fiscal years beginning after December 15, 2018 for public business entities, which for the Company means January 1, 2019. The Company does not plan to early adopt ASU 2016-02 and the extent of the impact of its adoption has not yet been determined.</w:t>
      </w:r>
    </w:p>
    <w:p>
      <w:pPr>
        <w:spacing w:after="0" w:line="17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June 2018, the FASB issued ASU No. 2018-07, Compensation-Stock Compensation (Topic 718), Improvements to Nonemployee Share-Based Payment Accounting ("ASU 2018-07"). ASU 2018-07 provides guidance about aligning nonemployee and employee share-based payment accounting. ASU 2018-07 is effective for all entities for annual periods, and interim periods within those annual periods, beginning after December 15, 2018. The Company early adopted the new standard as of January 1, 2018. The adoption of ASU 2018-07 did not have a material impact on the Company's condensed consolidated balance sheets or condensed consolidated statements of operations and comprehensive income (loss).</w:t>
      </w:r>
    </w:p>
    <w:p>
      <w:pPr>
        <w:spacing w:after="0" w:line="169"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Equity method investment</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April 11, 2018, the Company entered into an agreement (the "Genevant Agreement") with Roivant Sciences Ltd.("Roivant") to launch Genevant Sciences Ltd. ("Genevant"), a jointly-owned company focused on the discovery, development, and commercialization of a broad range of RNA-based therapeutics enabled by the Company's proprietary lipid nanoparticle ("LNP") and ligand conjugate delivery technologies.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Under the terms of the Genevant Agreement, the Company contributed a license for the delivery technologies and fixed assets with a carrying value of</w:t>
      </w:r>
    </w:p>
    <w:p>
      <w:pPr>
        <w:spacing w:after="0" w:line="35"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$600,000. The contributed license provides Genevant with exclusive rights to the LNP and ligand conjugate delivery platforms for RNA-based applications outside of HBV. Roivant contributed $37,500,000 in transaction-related seed capital to Genevant, consisting of an initial capital contribution of $22,500,000 and a subsequent investment of $15,000,000 at a pre-determined, stepped-up valuation. The Company retains all rights to the LNP and ligand conjugate delivery platforms for HBV, and is entitled to a tiered low single-digit royalty from Genevant on future sales of products enabled by those delivery platforms. The Company also retains the entirety of its royalty entitlement on the commercialization of Alnylam Pharmaceutical, Inc.'s ("Alnylam") Onpattro.</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92" w:right="239" w:bottom="1440" w:gutter="0" w:footer="0" w:header="0"/>
        </w:sectPr>
      </w:pPr>
    </w:p>
    <w:bookmarkStart w:id="14" w:name="page15"/>
    <w:bookmarkEnd w:id="14"/>
    <w:p>
      <w:pPr>
        <w:ind w:right="40"/>
        <w:spacing w:after="0" w:line="257" w:lineRule="auto"/>
        <w:rPr>
          <w:sz w:val="20"/>
          <w:szCs w:val="20"/>
          <w:color w:val="auto"/>
        </w:rPr>
      </w:pPr>
      <w:r>
        <w:rPr>
          <w:rFonts w:ascii="Arial" w:cs="Arial" w:eastAsia="Arial" w:hAnsi="Arial"/>
          <w:sz w:val="18"/>
          <w:szCs w:val="18"/>
          <w:color w:val="auto"/>
        </w:rPr>
        <w:t>The Company determined that, since the Genevant Agreement stipulates that significant decisions relating to the management of Genevant must be shared between the Company and Roivant, the Company does not control Genevant but does exercise significant influence over it and, will therefore, account for its investment in Genevant using the equity method. On April 11, 2018, the Company and Roivant each received a 50% ownership interest in Genevant. As a result of a subsequent investment in Genevant by Roivant and other parties, as of September 30, 2018, the Company owned approximately 40% of the common equity of Genevant.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Company determined that the transfer of assets, license and fixed assets to Genevant did not constitute a discontinuance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Company's contribution of licenses to the delivery technologies and fixed assets in exchange for an equity interest in Genevant resulted in a gain of</w:t>
      </w:r>
    </w:p>
    <w:p>
      <w:pPr>
        <w:spacing w:after="0" w:line="4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$24,884,000 during the second quarter of 2018. The gain reflects the fair value of the equity in Genevant received by the Company less the $600,000 carrying value of the fixed assets contributed by the Company and $1,893,000 of goodwill allocated to Genevant based upon the relative fair value of Genevant to the Company as of April 11, 2018. The fair value of equity in Genevant received by the Company was based on a valuation performed by external valuation experts.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the Company's investment in Genevant for the three and nine months ended September 30, 2018,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232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Three months ended</w:t>
            </w:r>
          </w:p>
        </w:tc>
        <w:tc>
          <w:tcPr>
            <w:tcW w:w="140" w:type="dxa"/>
            <w:vAlign w:val="bottom"/>
          </w:tcPr>
          <w:p>
            <w:pPr>
              <w:spacing w:after="0"/>
              <w:rPr>
                <w:sz w:val="18"/>
                <w:szCs w:val="18"/>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Nine months ended</w:t>
            </w:r>
          </w:p>
        </w:tc>
      </w:tr>
      <w:tr>
        <w:trPr>
          <w:trHeight w:val="234"/>
        </w:trPr>
        <w:tc>
          <w:tcPr>
            <w:tcW w:w="3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September 30, 2018</w:t>
            </w:r>
          </w:p>
        </w:tc>
        <w:tc>
          <w:tcPr>
            <w:tcW w:w="140" w:type="dxa"/>
            <w:vAlign w:val="bottom"/>
          </w:tcPr>
          <w:p>
            <w:pPr>
              <w:spacing w:after="0"/>
              <w:rPr>
                <w:sz w:val="20"/>
                <w:szCs w:val="20"/>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September 30, 2018</w:t>
            </w:r>
          </w:p>
        </w:tc>
      </w:tr>
      <w:tr>
        <w:trPr>
          <w:trHeight w:val="27"/>
        </w:trPr>
        <w:tc>
          <w:tcPr>
            <w:tcW w:w="3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3160" w:type="dxa"/>
            <w:vAlign w:val="bottom"/>
          </w:tcPr>
          <w:p>
            <w:pPr>
              <w:ind w:left="20"/>
              <w:spacing w:after="0"/>
              <w:rPr>
                <w:sz w:val="20"/>
                <w:szCs w:val="20"/>
                <w:color w:val="auto"/>
              </w:rPr>
            </w:pPr>
            <w:r>
              <w:rPr>
                <w:rFonts w:ascii="Arial" w:cs="Arial" w:eastAsia="Arial" w:hAnsi="Arial"/>
                <w:sz w:val="18"/>
                <w:szCs w:val="18"/>
                <w:color w:val="auto"/>
              </w:rPr>
              <w:t>Beginning balance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27,446</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
        </w:trPr>
        <w:tc>
          <w:tcPr>
            <w:tcW w:w="3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 Genevant</w:t>
            </w: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27,377</w:t>
            </w: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Stock based compensation expense</w:t>
            </w:r>
          </w:p>
        </w:tc>
        <w:tc>
          <w:tcPr>
            <w:tcW w:w="1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1"/>
                <w:szCs w:val="21"/>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138</w:t>
            </w:r>
          </w:p>
        </w:tc>
      </w:tr>
      <w:tr>
        <w:trPr>
          <w:trHeight w:val="27"/>
        </w:trPr>
        <w:tc>
          <w:tcPr>
            <w:tcW w:w="3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 of loss</w:t>
            </w: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(2,838)</w:t>
            </w: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w w:val="98"/>
              </w:rPr>
              <w:t>Share of comprehensive loss - currency</w:t>
            </w: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translation adjustment</w:t>
            </w:r>
          </w:p>
        </w:tc>
        <w:tc>
          <w:tcPr>
            <w:tcW w:w="1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3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24,665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24,665</w:t>
            </w:r>
          </w:p>
        </w:tc>
      </w:tr>
      <w:tr>
        <w:trPr>
          <w:trHeight w:val="20"/>
        </w:trPr>
        <w:tc>
          <w:tcPr>
            <w:tcW w:w="3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basis difference between the Company’s carrying value in Genevant and the Company’s share of Genevant's net assets is attributed primarily to definite-lived intangible assets (the delivery technology transferred to Genevant) and is being amortized over 11 years.</w:t>
      </w:r>
    </w:p>
    <w:p>
      <w:pPr>
        <w:spacing w:after="0" w:line="383"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goodwill</w:t>
      </w:r>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All in-process research and development ("IPR&amp;D") acquired is currently classified as indefinite-lived and is not currently being amortized. IPR&amp;D becomes definite-lived upon the completion or abandonment of the associated research and development efforts, and will be amortized from that time over an estimated useful life based on respective patent terms. The Company evaluates the recoverable amount of intangible assets on an annual basis and performs an annual evaluation of goodwill as of December 31 of each year, unless there is an event or change in the business that could indicate impairment, in which case earlier testing is performed.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impairment evaluation</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three months ended September 30, 2018, the Company recorded an intangible assets impairment charge of $14,811,000 and a corresponding income tax benefit of $4,282,000 related to the decrease in deferred tax liability for the indefinite delay of further development of its AB-423 program in the Antigen Inhibitor drug class as a result of the Company's decision to advance its second generation capsid agent into the HBV patient portion of its phase 1 clinical trial.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692"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following table summarizes the carrying values of the intangible assets as of September 30, 2018,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September 30, 2018</w:t>
            </w:r>
          </w:p>
        </w:tc>
        <w:tc>
          <w:tcPr>
            <w:tcW w:w="420" w:type="dxa"/>
            <w:vAlign w:val="bottom"/>
          </w:tcPr>
          <w:p>
            <w:pPr>
              <w:spacing w:after="0"/>
              <w:rPr>
                <w:sz w:val="20"/>
                <w:szCs w:val="20"/>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December 31, 2017</w:t>
            </w:r>
          </w:p>
        </w:tc>
      </w:tr>
      <w:tr>
        <w:trPr>
          <w:trHeight w:val="27"/>
        </w:trPr>
        <w:tc>
          <w:tcPr>
            <w:tcW w:w="46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2"/>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IPR&amp;D – Immune Modulators</w:t>
            </w:r>
          </w:p>
        </w:tc>
        <w:tc>
          <w:tcPr>
            <w:tcW w:w="27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222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IPR&amp;D – Antigen Inhibitors</w:t>
            </w:r>
          </w:p>
        </w:tc>
        <w:tc>
          <w:tcPr>
            <w:tcW w:w="27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14,811</w:t>
            </w:r>
          </w:p>
        </w:tc>
      </w:tr>
      <w:tr>
        <w:trPr>
          <w:trHeight w:val="27"/>
        </w:trPr>
        <w:tc>
          <w:tcPr>
            <w:tcW w:w="46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5"/>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IPR&amp;D – cccDNA Sterilizers</w:t>
            </w:r>
          </w:p>
        </w:tc>
        <w:tc>
          <w:tcPr>
            <w:tcW w:w="27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43,836</w:t>
            </w:r>
          </w:p>
        </w:tc>
        <w:tc>
          <w:tcPr>
            <w:tcW w:w="4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43,836</w:t>
            </w:r>
          </w:p>
        </w:tc>
      </w:tr>
      <w:tr>
        <w:trPr>
          <w:trHeight w:val="237"/>
        </w:trPr>
        <w:tc>
          <w:tcPr>
            <w:tcW w:w="46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Intangible Assets</w:t>
            </w:r>
          </w:p>
        </w:tc>
        <w:tc>
          <w:tcPr>
            <w:tcW w:w="27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43,836</w:t>
            </w:r>
          </w:p>
        </w:tc>
        <w:tc>
          <w:tcPr>
            <w:tcW w:w="4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58,647</w:t>
            </w:r>
          </w:p>
        </w:tc>
      </w:tr>
      <w:tr>
        <w:trPr>
          <w:trHeight w:val="27"/>
        </w:trPr>
        <w:tc>
          <w:tcPr>
            <w:tcW w:w="46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one reporting unit for goodwill purposes due to the fact that resource allocation and performance is largely driven by consolidated metrics.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there is limited discrete financial information available and reviewed below the consolidated level.</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nine months ended September 30, 2018, the Company allocated $1,893,000 of goodwill to its investment in Genevant based upon the relative fair value of Genevant to the Company as of April 11, 2018 (see note 3 above), as a result of which the carrying value of goodwill decreased by this same amount. As of September 30, 2018, the Company performed a qualitative assessment and had not identified any indicators of impairment of goodwill, and therefore no impairment charge on goodwill was recorded during the three and nine months then ended (three and nine months ended September 30, 2017 - $0). The intangible impairment charge of $14,811,000 described above represents a discrete, program specific event and was not considered to be an indicator of impairment of goodwill.</w:t>
      </w:r>
    </w:p>
    <w:p>
      <w:pPr>
        <w:spacing w:after="0" w:line="200" w:lineRule="exact"/>
        <w:rPr>
          <w:sz w:val="20"/>
          <w:szCs w:val="20"/>
          <w:color w:val="auto"/>
        </w:rPr>
      </w:pPr>
    </w:p>
    <w:p>
      <w:pPr>
        <w:spacing w:after="0" w:line="205"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Collaborations, contracts and licensing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 forth revenue recognized under collaborations, contracts and licensing agreements,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0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w w:val="93"/>
              </w:rPr>
              <w:t>Three months ended September 30,</w:t>
            </w:r>
          </w:p>
        </w:tc>
        <w:tc>
          <w:tcPr>
            <w:tcW w:w="360" w:type="dxa"/>
            <w:vAlign w:val="bottom"/>
          </w:tcPr>
          <w:p>
            <w:pPr>
              <w:spacing w:after="0"/>
              <w:rPr>
                <w:sz w:val="20"/>
                <w:szCs w:val="20"/>
                <w:color w:val="auto"/>
              </w:rPr>
            </w:pPr>
          </w:p>
        </w:tc>
        <w:tc>
          <w:tcPr>
            <w:tcW w:w="3140" w:type="dxa"/>
            <w:vAlign w:val="bottom"/>
            <w:gridSpan w:val="6"/>
          </w:tcPr>
          <w:p>
            <w:pPr>
              <w:jc w:val="right"/>
              <w:ind w:right="290"/>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7"/>
        </w:trPr>
        <w:tc>
          <w:tcPr>
            <w:tcW w:w="4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7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2017</w:t>
            </w:r>
          </w:p>
        </w:tc>
        <w:tc>
          <w:tcPr>
            <w:tcW w:w="360" w:type="dxa"/>
            <w:vAlign w:val="bottom"/>
          </w:tcPr>
          <w:p>
            <w:pPr>
              <w:spacing w:after="0"/>
              <w:rPr>
                <w:sz w:val="20"/>
                <w:szCs w:val="20"/>
                <w:color w:val="auto"/>
              </w:rPr>
            </w:pPr>
          </w:p>
        </w:tc>
        <w:tc>
          <w:tcPr>
            <w:tcW w:w="140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2018</w:t>
            </w:r>
          </w:p>
        </w:tc>
        <w:tc>
          <w:tcPr>
            <w:tcW w:w="7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2017</w:t>
            </w:r>
          </w:p>
        </w:tc>
      </w:tr>
      <w:tr>
        <w:trPr>
          <w:trHeight w:val="27"/>
        </w:trPr>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Alexion (a)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6,859</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7,956</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Gritstone (b)</w:t>
            </w:r>
          </w:p>
        </w:tc>
        <w:tc>
          <w:tcPr>
            <w:tcW w:w="26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rPr>
              <w:t>313</w:t>
            </w:r>
          </w:p>
        </w:tc>
        <w:tc>
          <w:tcPr>
            <w:tcW w:w="7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0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2,400</w:t>
            </w:r>
          </w:p>
        </w:tc>
        <w:tc>
          <w:tcPr>
            <w:tcW w:w="7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Gritstone milestone (c)</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1,250</w:t>
            </w:r>
          </w:p>
        </w:tc>
        <w:tc>
          <w:tcPr>
            <w:tcW w:w="7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1,250</w:t>
            </w:r>
          </w:p>
        </w:tc>
        <w:tc>
          <w:tcPr>
            <w:tcW w:w="7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Other milestone and royalty payments</w:t>
            </w:r>
          </w:p>
        </w:tc>
        <w:tc>
          <w:tcPr>
            <w:tcW w:w="26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b w:val="1"/>
                <w:bCs w:val="1"/>
                <w:color w:val="auto"/>
              </w:rPr>
              <w:t>24</w:t>
            </w:r>
          </w:p>
        </w:tc>
        <w:tc>
          <w:tcPr>
            <w:tcW w:w="7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3"/>
              </w:rPr>
              <w:t>617</w:t>
            </w:r>
          </w:p>
        </w:tc>
        <w:tc>
          <w:tcPr>
            <w:tcW w:w="7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210</w:t>
            </w:r>
          </w:p>
        </w:tc>
      </w:tr>
      <w:tr>
        <w:trPr>
          <w:trHeight w:val="27"/>
        </w:trPr>
        <w:tc>
          <w:tcPr>
            <w:tcW w:w="4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6"/>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1,587</w:t>
            </w:r>
          </w:p>
        </w:tc>
        <w:tc>
          <w:tcPr>
            <w:tcW w:w="7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6,892</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4,267</w:t>
            </w:r>
          </w:p>
        </w:tc>
        <w:tc>
          <w:tcPr>
            <w:tcW w:w="7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8,166</w:t>
            </w:r>
          </w:p>
        </w:tc>
      </w:tr>
      <w:tr>
        <w:trPr>
          <w:trHeight w:val="432"/>
        </w:trPr>
        <w:tc>
          <w:tcPr>
            <w:tcW w:w="61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The following table sets forth deferred collaborations and contracts revenue:</w:t>
            </w:r>
          </w:p>
        </w:tc>
        <w:tc>
          <w:tcPr>
            <w:tcW w:w="7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135"/>
        </w:trPr>
        <w:tc>
          <w:tcPr>
            <w:tcW w:w="4360" w:type="dxa"/>
            <w:vAlign w:val="bottom"/>
            <w:tcBorders>
              <w:bottom w:val="single" w:sz="8" w:color="646464"/>
            </w:tcBorders>
          </w:tcPr>
          <w:p>
            <w:pPr>
              <w:spacing w:after="0"/>
              <w:rPr>
                <w:sz w:val="11"/>
                <w:szCs w:val="11"/>
                <w:color w:val="auto"/>
              </w:rPr>
            </w:pPr>
          </w:p>
        </w:tc>
        <w:tc>
          <w:tcPr>
            <w:tcW w:w="260" w:type="dxa"/>
            <w:vAlign w:val="bottom"/>
            <w:tcBorders>
              <w:bottom w:val="single" w:sz="8" w:color="646464"/>
            </w:tcBorders>
          </w:tcPr>
          <w:p>
            <w:pPr>
              <w:spacing w:after="0"/>
              <w:rPr>
                <w:sz w:val="11"/>
                <w:szCs w:val="11"/>
                <w:color w:val="auto"/>
              </w:rPr>
            </w:pPr>
          </w:p>
        </w:tc>
        <w:tc>
          <w:tcPr>
            <w:tcW w:w="1480" w:type="dxa"/>
            <w:vAlign w:val="bottom"/>
            <w:tcBorders>
              <w:bottom w:val="single" w:sz="8" w:color="646464"/>
            </w:tcBorders>
          </w:tcPr>
          <w:p>
            <w:pPr>
              <w:spacing w:after="0"/>
              <w:rPr>
                <w:sz w:val="11"/>
                <w:szCs w:val="11"/>
                <w:color w:val="auto"/>
              </w:rPr>
            </w:pPr>
          </w:p>
        </w:tc>
        <w:tc>
          <w:tcPr>
            <w:tcW w:w="740" w:type="dxa"/>
            <w:vAlign w:val="bottom"/>
            <w:tcBorders>
              <w:bottom w:val="single" w:sz="8" w:color="646464"/>
            </w:tcBorders>
          </w:tcPr>
          <w:p>
            <w:pPr>
              <w:spacing w:after="0"/>
              <w:rPr>
                <w:sz w:val="11"/>
                <w:szCs w:val="11"/>
                <w:color w:val="auto"/>
              </w:rPr>
            </w:pPr>
          </w:p>
        </w:tc>
        <w:tc>
          <w:tcPr>
            <w:tcW w:w="2360" w:type="dxa"/>
            <w:vAlign w:val="bottom"/>
            <w:tcBorders>
              <w:bottom w:val="single" w:sz="8" w:color="646464"/>
            </w:tcBorders>
            <w:gridSpan w:val="3"/>
          </w:tcPr>
          <w:p>
            <w:pPr>
              <w:spacing w:after="0"/>
              <w:rPr>
                <w:sz w:val="11"/>
                <w:szCs w:val="11"/>
                <w:color w:val="auto"/>
              </w:rPr>
            </w:pPr>
          </w:p>
        </w:tc>
        <w:tc>
          <w:tcPr>
            <w:tcW w:w="60" w:type="dxa"/>
            <w:vAlign w:val="bottom"/>
            <w:tcBorders>
              <w:bottom w:val="single" w:sz="8" w:color="646464"/>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646464"/>
            </w:tcBorders>
          </w:tcPr>
          <w:p>
            <w:pPr>
              <w:spacing w:after="0"/>
              <w:rPr>
                <w:sz w:val="11"/>
                <w:szCs w:val="11"/>
                <w:color w:val="auto"/>
              </w:rPr>
            </w:pPr>
          </w:p>
        </w:tc>
        <w:tc>
          <w:tcPr>
            <w:tcW w:w="1740" w:type="dxa"/>
            <w:vAlign w:val="bottom"/>
            <w:tcBorders>
              <w:bottom w:val="single" w:sz="8" w:color="646464"/>
            </w:tcBorders>
            <w:gridSpan w:val="2"/>
          </w:tcPr>
          <w:p>
            <w:pPr>
              <w:spacing w:after="0"/>
              <w:rPr>
                <w:sz w:val="11"/>
                <w:szCs w:val="11"/>
                <w:color w:val="auto"/>
              </w:rPr>
            </w:pPr>
          </w:p>
        </w:tc>
      </w:tr>
      <w:tr>
        <w:trPr>
          <w:trHeight w:val="237"/>
        </w:trPr>
        <w:tc>
          <w:tcPr>
            <w:tcW w:w="4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3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 2018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gridSpan w:val="2"/>
          </w:tcPr>
          <w:p>
            <w:pPr>
              <w:jc w:val="right"/>
              <w:ind w:right="10"/>
              <w:spacing w:after="0"/>
              <w:rPr>
                <w:sz w:val="20"/>
                <w:szCs w:val="20"/>
                <w:color w:val="auto"/>
              </w:rPr>
            </w:pPr>
            <w:r>
              <w:rPr>
                <w:rFonts w:ascii="Arial" w:cs="Arial" w:eastAsia="Arial" w:hAnsi="Arial"/>
                <w:sz w:val="18"/>
                <w:szCs w:val="18"/>
                <w:color w:val="auto"/>
              </w:rPr>
              <w:t>December 31, 2017</w:t>
            </w:r>
          </w:p>
        </w:tc>
      </w:tr>
      <w:tr>
        <w:trPr>
          <w:trHeight w:val="27"/>
        </w:trPr>
        <w:tc>
          <w:tcPr>
            <w:tcW w:w="4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Gritstone (b)</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649</w:t>
            </w:r>
          </w:p>
        </w:tc>
        <w:tc>
          <w:tcPr>
            <w:tcW w:w="4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2,727</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Other deferred revenue</w:t>
            </w: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4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649</w:t>
            </w:r>
          </w:p>
        </w:tc>
        <w:tc>
          <w:tcPr>
            <w:tcW w:w="4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2,742</w:t>
            </w:r>
          </w:p>
        </w:tc>
      </w:tr>
      <w:tr>
        <w:trPr>
          <w:trHeight w:val="27"/>
        </w:trPr>
        <w:tc>
          <w:tcPr>
            <w:tcW w:w="43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r>
    </w:tbl>
    <w:p>
      <w:pPr>
        <w:spacing w:after="0" w:line="198" w:lineRule="exact"/>
        <w:rPr>
          <w:sz w:val="20"/>
          <w:szCs w:val="20"/>
          <w:color w:val="auto"/>
        </w:rPr>
      </w:pPr>
    </w:p>
    <w:p>
      <w:pPr>
        <w:ind w:left="480" w:hanging="472"/>
        <w:spacing w:after="0"/>
        <w:tabs>
          <w:tab w:leader="none" w:pos="4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License Agreement with Alexion Pharmaceuticals, Inc. ("Alexion")</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March 16, 2017, the Company entered into a license agreement with Alexion that entitles Alexion to research, develop, manufacture, and commercialize products with the Company's "LNP" technology in their single orphan disease target. In consideration for the rights granted under the agreement, the Company received a $7,500,000 non-refundable upfront cash payment, as well as payments for services provided. This upfront payment was amortized over the period of expected benefit.</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July 27, 2017, the Company received notice of termination from Alexion for the Company's LNP license agreement. The termination was driven by a strategic review of Alexion's business and research and development portfolio, which included a decision to discontinue development of mRNA therapeutics. The $7,500,000 upfront payment received in March 2017 is non-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92" w:right="239" w:bottom="1440" w:gutter="0" w:footer="0" w:header="0"/>
        </w:sectPr>
      </w:pPr>
    </w:p>
    <w:bookmarkStart w:id="16" w:name="page17"/>
    <w:bookmarkEnd w:id="16"/>
    <w:p>
      <w:pPr>
        <w:ind w:right="640"/>
        <w:spacing w:after="0" w:line="277" w:lineRule="auto"/>
        <w:rPr>
          <w:sz w:val="20"/>
          <w:szCs w:val="20"/>
          <w:color w:val="auto"/>
        </w:rPr>
      </w:pPr>
      <w:r>
        <w:rPr>
          <w:rFonts w:ascii="Arial" w:cs="Arial" w:eastAsia="Arial" w:hAnsi="Arial"/>
          <w:sz w:val="18"/>
          <w:szCs w:val="18"/>
          <w:color w:val="auto"/>
        </w:rPr>
        <w:t>refundable and the Company recorded the remaining deferred revenue balance, as well as any revenue and costs related to closeout procedures, in the condensed consolidated statement of operations and comprehensive loss for the period ended September 30, 2017.</w:t>
      </w:r>
    </w:p>
    <w:p>
      <w:pPr>
        <w:spacing w:after="0" w:line="166"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License agreement with Gritstone Oncology, Inc. ("Gritstone")</w:t>
      </w:r>
    </w:p>
    <w:p>
      <w:pPr>
        <w:spacing w:after="0" w:line="22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On October 16, 2017, the Company entered into a license agreement with Gritstone that entitles Gritstone to research, develop, manufacture and commercialize products with the Company’s LNP technology. The Company received an upfront payment in November 2017, and is eligible to receive future potential payments including research services, development and commercial milestone payments and royalty payments on future product sales. As a result of the Company's agreement with Genevant (see note 3 for details), from April 11, 2018 going forward Genevant is entitled to 50% of the revenues earned by the Company from Gritstone and the Company will record revenues on a net basis.</w:t>
      </w:r>
    </w:p>
    <w:p>
      <w:pPr>
        <w:spacing w:after="0" w:line="173"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The Company determined the promised goods and services under the license agreement included the rights and license granted, involvement in the joint steering committee, and other services provided, as determined under the research plan. The license and involvement in the joint steering committee have been determined by the Company to be distinct. Therefore, these promised goods and services are treated as one performance obligation and recognized as revenue over the performance period as the Company transfers the technical "know-how" for the customized formulations.</w:t>
      </w:r>
    </w:p>
    <w:p>
      <w:pPr>
        <w:spacing w:after="0" w:line="15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has determined that other materials and services provided have standalone value. The relative fair values are estimated upon the execution of each activity and charged at rates comparable to market with embedded margins on each service activity.</w:t>
      </w:r>
    </w:p>
    <w:p>
      <w:pPr>
        <w:spacing w:after="0" w:line="166" w:lineRule="exact"/>
        <w:rPr>
          <w:sz w:val="20"/>
          <w:szCs w:val="20"/>
          <w:color w:val="auto"/>
        </w:rPr>
      </w:pPr>
    </w:p>
    <w:p>
      <w:pPr>
        <w:ind w:left="480" w:hanging="472"/>
        <w:spacing w:after="0"/>
        <w:tabs>
          <w:tab w:leader="none" w:pos="4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Gritstone Milestone</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the three months ended September 30, 2018, Gritstone paid a milestone payment of $2,500,000 pursuant to the license agreement, half of which went to the Company and half of which ($1,250,000) was paid to Genevant.</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participating convertible preferred shares</w:t>
      </w:r>
    </w:p>
    <w:p>
      <w:pPr>
        <w:spacing w:after="0" w:line="22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On October 2, 2017, the Company announced that it entered into a subscription agreement with Roivant for the sale of 1,164,000 Preferred Shares to Roivant for gross proceeds of $116,400,000. The Preferred Shares are non-voting and are convertible into common shares at an initial conversion price of $7.13 per share. The purchase price for the Preferred Shares plus an amount equal to 8.75% per annum, compounded annually, will be subject to mandatory conversion into 22,589,601 common shares on October 16, 2021 (subject to limited exceptions in the event of certain fundamental corporate transactions relating to Arbutus’ capital structure or assets, which would permit earlier conversion at Roivant’s option). After conversion of the Preferred Shares into common shares, based on the number of common shares outstanding on October 2, 2017, Roivant would hold 49.90% of the Company's common shares. Roivant agreed to</w:t>
      </w:r>
    </w:p>
    <w:p>
      <w:pPr>
        <w:spacing w:after="0" w:line="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 four year lock-up period for this investment and its existing holdings in the Company. Roivant also agreed to a four year standstill whereby Roivant will not acquire greater than 49.99% of the Company's common shares or securities convertible into common shares.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initial investment of $50,000,000 closed on October 16, 2017, and the remaining amount of $66,400,000 closed on January 12, 2018 following regulatory and shareholder approvals.</w:t>
      </w:r>
    </w:p>
    <w:p>
      <w:pPr>
        <w:spacing w:after="0" w:line="17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 xml:space="preserve">The Company records the Preferred Shares wholly as equity under ASC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xml:space="preserve"> with no bifurcation of conversion feature from the host contract, given that the Preferred Shares cannot be cash settled and the redemption features are within the Company's control, which include a fixed conversion ratio with predetermined timing and proceeds. The Company accrues for the 8.75% per annum compounding coupon at each reporting period end date as an increase to preferred share capital, and an increase to deficit (see Condensed Consolidated Statement of Stockholders' Equity).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92" w:right="239" w:bottom="1440" w:gutter="0" w:footer="0" w:header="0"/>
        </w:sectPr>
      </w:pPr>
    </w:p>
    <w:bookmarkStart w:id="17" w:name="page18"/>
    <w:bookmarkEnd w:id="17"/>
    <w:p>
      <w:pPr>
        <w:ind w:left="420" w:hanging="412"/>
        <w:spacing w:after="0"/>
        <w:tabs>
          <w:tab w:leader="none" w:pos="4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are comprised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238125</wp:posOffset>
            </wp:positionV>
            <wp:extent cx="64401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40170" cy="8890"/>
                    </a:xfrm>
                    <a:prstGeom prst="rect">
                      <a:avLst/>
                    </a:prstGeom>
                    <a:noFill/>
                  </pic:spPr>
                </pic:pic>
              </a:graphicData>
            </a:graphic>
          </wp:anchor>
        </w:drawing>
      </w:r>
    </w:p>
    <w:p>
      <w:pPr>
        <w:spacing w:after="0" w:line="377" w:lineRule="exact"/>
        <w:rPr>
          <w:sz w:val="20"/>
          <w:szCs w:val="20"/>
          <w:color w:val="auto"/>
        </w:rPr>
      </w:pPr>
    </w:p>
    <w:tbl>
      <w:tblPr>
        <w:tblLayout w:type="fixed"/>
        <w:tblInd w:w="64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b w:val="1"/>
                <w:bCs w:val="1"/>
                <w:color w:val="auto"/>
              </w:rPr>
              <w:t>September 30, 2018</w:t>
            </w:r>
          </w:p>
        </w:tc>
        <w:tc>
          <w:tcPr>
            <w:tcW w:w="3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w w:val="98"/>
              </w:rPr>
              <w:t>December 31, 2017</w:t>
            </w:r>
          </w:p>
        </w:tc>
      </w:tr>
      <w:tr>
        <w:trPr>
          <w:trHeight w:val="27"/>
        </w:trPr>
        <w:tc>
          <w:tcPr>
            <w:tcW w:w="42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payable</w:t>
            </w:r>
          </w:p>
        </w:tc>
        <w:tc>
          <w:tcPr>
            <w:tcW w:w="20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3,075</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1,987</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Research and development accruals</w:t>
            </w:r>
          </w:p>
        </w:tc>
        <w:tc>
          <w:tcPr>
            <w:tcW w:w="200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b w:val="1"/>
                <w:bCs w:val="1"/>
                <w:color w:val="auto"/>
              </w:rPr>
              <w:t>4,178</w:t>
            </w:r>
          </w:p>
        </w:tc>
        <w:tc>
          <w:tcPr>
            <w:tcW w:w="3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4,937</w:t>
            </w:r>
          </w:p>
        </w:tc>
      </w:tr>
      <w:tr>
        <w:trPr>
          <w:trHeight w:val="27"/>
        </w:trPr>
        <w:tc>
          <w:tcPr>
            <w:tcW w:w="4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Professional fee accruals</w:t>
            </w:r>
          </w:p>
        </w:tc>
        <w:tc>
          <w:tcPr>
            <w:tcW w:w="20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722</w:t>
            </w:r>
          </w:p>
        </w:tc>
        <w:tc>
          <w:tcPr>
            <w:tcW w:w="3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Deferred lease inducements</w:t>
            </w:r>
          </w:p>
        </w:tc>
        <w:tc>
          <w:tcPr>
            <w:tcW w:w="200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b w:val="1"/>
                <w:bCs w:val="1"/>
                <w:color w:val="auto"/>
              </w:rPr>
              <w:t>18</w:t>
            </w:r>
          </w:p>
        </w:tc>
        <w:tc>
          <w:tcPr>
            <w:tcW w:w="3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4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Payroll accruals</w:t>
            </w:r>
          </w:p>
        </w:tc>
        <w:tc>
          <w:tcPr>
            <w:tcW w:w="20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514</w:t>
            </w:r>
          </w:p>
        </w:tc>
        <w:tc>
          <w:tcPr>
            <w:tcW w:w="3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2,893</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Other accrued liabilities</w:t>
            </w:r>
          </w:p>
        </w:tc>
        <w:tc>
          <w:tcPr>
            <w:tcW w:w="200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b w:val="1"/>
                <w:bCs w:val="1"/>
                <w:color w:val="auto"/>
              </w:rPr>
              <w:t>4</w:t>
            </w:r>
          </w:p>
        </w:tc>
        <w:tc>
          <w:tcPr>
            <w:tcW w:w="3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358</w:t>
            </w:r>
          </w:p>
        </w:tc>
      </w:tr>
      <w:tr>
        <w:trPr>
          <w:trHeight w:val="27"/>
        </w:trPr>
        <w:tc>
          <w:tcPr>
            <w:tcW w:w="42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8,511</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10,646</w:t>
            </w:r>
          </w:p>
        </w:tc>
      </w:tr>
      <w:tr>
        <w:trPr>
          <w:trHeight w:val="20"/>
        </w:trPr>
        <w:tc>
          <w:tcPr>
            <w:tcW w:w="420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8.</w:t>
        <w:tab/>
        <w:t>Loan payable</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December 27, 2016, the Company obtained a three-year loan of $12,001,000 from Wells Fargo in the form of a promissory note for the purpose of financing its operations, including the expansion of laboratory facilities for its U.S. operations. The loan accrued interest daily. The variable component was the one-month London Interbank Offered Rate (LIBOR), and a margin of 1.25% per annum. The carrying value of the loan was recorded at the principal plus any accrued interest not yet paid. The loan was due on December 27, 2019.</w:t>
      </w:r>
    </w:p>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loan was secured by the Company's cash of $12,601,000, that was restricted from use until the loan was settled in full. The Company invested the restricted cash in a two-year fixed certificate of deposit with Wells Fargo (see note 2).</w:t>
      </w:r>
    </w:p>
    <w:p>
      <w:pPr>
        <w:spacing w:after="0" w:line="170"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In March 2018, the Company repaid the loan and accrued interest in full, resulting in the release of $12,601,000 from restricted cash to short-term investments on the Company's condensed consolidated balance sheet.</w:t>
      </w:r>
    </w:p>
    <w:p>
      <w:pPr>
        <w:spacing w:after="0" w:line="27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Site consolidation</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On February 8, 2018, the Company announced a site consolidation and organizational restructuring to align its HBV business in Warminster, PA, by reducing its global workforce by approximately 35% and by closing its Burnaby facility. In March 2018, the Company began executing its site consolidation plan and began to incur related costs.</w:t>
      </w:r>
    </w:p>
    <w:p>
      <w:pPr>
        <w:spacing w:after="0" w:line="18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estimates that the total expenses to complete the site consolidation will be approximately $5,000,000. Included in the site consolidation plan is the payment of one-time employee termination benefits, employee relocation costs, and site closure costs, which were primarily paid in cash in the second quarter of 2018. In addition, as of June 30, 2018 the Company ceased to use its Burnaby facility. The Company entered into a sublease with its equity investee, Genevant (refer to note 3) for a portion of its facility, during the three months ended June 30, 2018. During the three months ended September 30, 2018, the Company entered into two additional subleases, which, together with the Genevant sublease, represents 80% of the available space now under sublease. The Company does not expect the subleasing income to completely cover the costs under the head lease to which the Company remains the primary obligor. Therefore, the Company has recognized the remaining committed cost, less sublease income currently under contract, in site consolidation expenses.</w:t>
      </w:r>
    </w:p>
    <w:p>
      <w:pPr>
        <w:spacing w:after="0" w:line="16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Company accounts for site consolidation expense in accordance with ASC 420, </w:t>
      </w:r>
      <w:r>
        <w:rPr>
          <w:rFonts w:ascii="Arial" w:cs="Arial" w:eastAsia="Arial" w:hAnsi="Arial"/>
          <w:sz w:val="18"/>
          <w:szCs w:val="18"/>
          <w:i w:val="1"/>
          <w:iCs w:val="1"/>
          <w:color w:val="auto"/>
        </w:rPr>
        <w:t>Exit or Disposal Cost Obligations ("ASC 420")</w:t>
      </w:r>
      <w:r>
        <w:rPr>
          <w:rFonts w:ascii="Arial" w:cs="Arial" w:eastAsia="Arial" w:hAnsi="Arial"/>
          <w:sz w:val="18"/>
          <w:szCs w:val="18"/>
          <w:color w:val="auto"/>
        </w:rPr>
        <w:t>. ASC 420 specifies that a liability for a cost associated with an exit or disposal activity be recognized when the liability is incurred, except for a liability where employees are required to render service until they are terminated in order to receive termination benefits and will be retained to render service beyond the minimum retention period. A liability for such one-time termination benefits shall be measured initially at the communication date based on the fair value of the liability as of the termination date and recognized ratably over the future service period.</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688" w:right="259" w:bottom="1440" w:gutter="0" w:footer="0" w:header="0"/>
        </w:sectPr>
      </w:pPr>
    </w:p>
    <w:bookmarkStart w:id="18" w:name="page19"/>
    <w:bookmarkEnd w:id="18"/>
    <w:p>
      <w:pPr>
        <w:ind w:right="760"/>
        <w:spacing w:after="0" w:line="277" w:lineRule="auto"/>
        <w:rPr>
          <w:sz w:val="20"/>
          <w:szCs w:val="20"/>
          <w:color w:val="auto"/>
        </w:rPr>
      </w:pPr>
      <w:r>
        <w:rPr>
          <w:rFonts w:ascii="Arial" w:cs="Arial" w:eastAsia="Arial" w:hAnsi="Arial"/>
          <w:sz w:val="18"/>
          <w:szCs w:val="18"/>
          <w:color w:val="auto"/>
        </w:rPr>
        <w:t>The following table shows expenses recorded in the three and nine months ended September 30, 2018 and the liability as of September 30, 2018,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203200</wp:posOffset>
            </wp:positionV>
            <wp:extent cx="7203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Nine months</w:t>
            </w:r>
          </w:p>
        </w:tc>
      </w:tr>
      <w:tr>
        <w:trPr>
          <w:trHeight w:val="216"/>
        </w:trPr>
        <w:tc>
          <w:tcPr>
            <w:tcW w:w="4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ended</w:t>
            </w:r>
          </w:p>
        </w:tc>
      </w:tr>
      <w:tr>
        <w:trPr>
          <w:trHeight w:val="216"/>
        </w:trPr>
        <w:tc>
          <w:tcPr>
            <w:tcW w:w="4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Jan 1, 2018 -</w:t>
            </w:r>
          </w:p>
        </w:tc>
        <w:tc>
          <w:tcPr>
            <w:tcW w:w="20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April 1, 2018 -</w:t>
            </w:r>
          </w:p>
        </w:tc>
        <w:tc>
          <w:tcPr>
            <w:tcW w:w="18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July 1, 2018 -</w:t>
            </w:r>
          </w:p>
        </w:tc>
        <w:tc>
          <w:tcPr>
            <w:tcW w:w="120" w:type="dxa"/>
            <w:vAlign w:val="bottom"/>
          </w:tcPr>
          <w:p>
            <w:pPr>
              <w:spacing w:after="0"/>
              <w:rPr>
                <w:sz w:val="18"/>
                <w:szCs w:val="18"/>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4020" w:type="dxa"/>
            <w:vAlign w:val="bottom"/>
          </w:tcPr>
          <w:p>
            <w:pPr>
              <w:ind w:left="20"/>
              <w:spacing w:after="0"/>
              <w:rPr>
                <w:sz w:val="20"/>
                <w:szCs w:val="20"/>
                <w:color w:val="auto"/>
              </w:rPr>
            </w:pPr>
            <w:r>
              <w:rPr>
                <w:rFonts w:ascii="Arial" w:cs="Arial" w:eastAsia="Arial" w:hAnsi="Arial"/>
                <w:sz w:val="18"/>
                <w:szCs w:val="18"/>
                <w:b w:val="1"/>
                <w:bCs w:val="1"/>
                <w:color w:val="auto"/>
              </w:rPr>
              <w:t>Description of expense</w:t>
            </w:r>
          </w:p>
        </w:tc>
        <w:tc>
          <w:tcPr>
            <w:tcW w:w="1700" w:type="dxa"/>
            <w:vAlign w:val="bottom"/>
          </w:tcPr>
          <w:p>
            <w:pPr>
              <w:spacing w:after="0"/>
              <w:rPr>
                <w:sz w:val="20"/>
                <w:szCs w:val="20"/>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March 31, 2018</w:t>
            </w:r>
          </w:p>
        </w:tc>
        <w:tc>
          <w:tcPr>
            <w:tcW w:w="200" w:type="dxa"/>
            <w:vAlign w:val="bottom"/>
          </w:tcPr>
          <w:p>
            <w:pPr>
              <w:spacing w:after="0"/>
              <w:rPr>
                <w:sz w:val="20"/>
                <w:szCs w:val="20"/>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June 30, 2018</w:t>
            </w:r>
          </w:p>
        </w:tc>
        <w:tc>
          <w:tcPr>
            <w:tcW w:w="18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Sept 30, 2018</w:t>
            </w:r>
          </w:p>
        </w:tc>
        <w:tc>
          <w:tcPr>
            <w:tcW w:w="12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40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severance</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2,716</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Employee relocation</w:t>
            </w:r>
          </w:p>
        </w:tc>
        <w:tc>
          <w:tcPr>
            <w:tcW w:w="17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295</w:t>
            </w: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683</w:t>
            </w:r>
          </w:p>
        </w:tc>
      </w:tr>
      <w:tr>
        <w:trPr>
          <w:trHeight w:val="27"/>
        </w:trPr>
        <w:tc>
          <w:tcPr>
            <w:tcW w:w="40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and facility</w:t>
            </w:r>
          </w:p>
        </w:tc>
        <w:tc>
          <w:tcPr>
            <w:tcW w:w="17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w:t>
            </w:r>
          </w:p>
        </w:tc>
      </w:tr>
      <w:tr>
        <w:trPr>
          <w:trHeight w:val="237"/>
        </w:trPr>
        <w:tc>
          <w:tcPr>
            <w:tcW w:w="40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Total site consolidation expense</w:t>
            </w:r>
          </w:p>
        </w:tc>
        <w:tc>
          <w:tcPr>
            <w:tcW w:w="17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1,621</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2,581</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(492)</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3,710</w:t>
            </w:r>
          </w:p>
        </w:tc>
      </w:tr>
      <w:tr>
        <w:trPr>
          <w:trHeight w:val="27"/>
        </w:trPr>
        <w:tc>
          <w:tcPr>
            <w:tcW w:w="40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paid during the period</w:t>
            </w:r>
          </w:p>
        </w:tc>
        <w:tc>
          <w:tcPr>
            <w:tcW w:w="17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2,940</w:t>
            </w:r>
          </w:p>
        </w:tc>
      </w:tr>
      <w:tr>
        <w:trPr>
          <w:trHeight w:val="237"/>
        </w:trPr>
        <w:tc>
          <w:tcPr>
            <w:tcW w:w="40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Adjustment to accrual</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1,029</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(320)</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770</w:t>
            </w:r>
          </w:p>
        </w:tc>
      </w:tr>
      <w:tr>
        <w:trPr>
          <w:trHeight w:val="27"/>
        </w:trPr>
        <w:tc>
          <w:tcPr>
            <w:tcW w:w="40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partnership with the Canadian Government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entered into a Technology Partnerships Canada ("TPC") agreement with the Canadian Federal Government on November 12, 1999. Under this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agreement, TPC agreed to fund 27% of the costs incurred by the Company, prior to March 31, 2004, in the development of certain oligonucleotide product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candidates up to a maximum contribution from TPC of $7,179,000 (C$9,256,000). As at September 30, 2018, a cumulative contribution of $2,848,000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(C$3,702,000) had been received and the Company does not expect any further funding under this agreement. In return for the funding provided by TPC,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agreed to pay royalties on the share of future licensing and product revenue, if any, that are received by the Company on certain non-siRNA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oligonucleotide product candidates covered by the funding under the agreement. These royalties are payable until a certain cumulative payment amount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achieved or until a pre-specified date. In addition, until a cumulative amount equal to the funding actually received under the agreement has been paid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TPC, the Company agreed to pay 2.5% royalties on any royalties the Company receives from Spectrum Pharmaceuticals, Inc., for licensing Marqibo®.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three and nine months ended September 30, 2018, the Company earned royalties on Marqibo sales in the amount of $30,000 and $93,000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(three and nine months ended September 30, 2017 – $33,000 and $156,000, respectively) resulting in $2,000 being recorded by the Company as royalty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payable to TPC (September 30, 2017 -$4,000). The cumulative amount paid or accrued as of September 30, 2018 was $24,000, therefore the remaining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contingent amount due to TPC is $2,824,000 (C$3,671,000).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Arbitration with the University of British Columbia (“UBC”)</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Certain early work on lipid nanoparticle delivery systems and related inventions was undertaken at the Company and assigned to the UBC. These inventions are licensed to the Company by UBC under a license agreement, initially entered into in 1998 and subsequently amended in 2001, 2006 and 2007. The Company has granted sublicenses under the UBC license to Alnylam. Alnylam has in turn sublicensed back to the Company under the licensed UBC patents for discovery, development and commercialization of siRNA products. Certain sublicenses to other parties were also granted.</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November 10, 2014, UBC filed a notice of arbitration against the Company and on January 16, 2015, filed a Statement of Claim, which alleges entitlement to $3,500,000 in allegedly unpaid royalties based on publicly available information, and an unspecified amount based on non-public information. UBC also seeks interest and costs, including legal fees. The Company filed its Statement of Defense to UBC's Statement of Claims, as well as a Counterclaim involving a patent application that the Company alleges UBC wrongly licensed to a third party. The proceedings have been divided into three phases, with a first hearing that took place in June 2017. In the first phase, the arbitrator determined which agreements are sublicense agreements within UBC's claim. No finding was made as to whether any licensing fees are due to UBC under these agreements; this will be the subject of the second phase of arbitration. The second phase of the Arbitration is set for February 2019.</w:t>
      </w:r>
    </w:p>
    <w:p>
      <w:pPr>
        <w:spacing w:after="0" w:line="17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Arbitration and related matters are costly and may divert the attention of the Company’s management and other resources that would otherwise be engaged in other activities. The Company continues to dispute UBC's allegations, and seeks license payments for said application, and an exclusive worldwide license to said application. However, arbitration is subject to inherent uncertainty and an arbitrator could rule against the Company. The Company has not recorded an estimate of the possible loss associated with this arbitration, due to the uncertainties related to both the likelihood and amount of any possible loss or range of loss. Costs related to the arbitration are recorded by the Company as incurred.</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692"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Acquisition of Enantigen Therapeutics, Inc. ("Enantigen")</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October 2014, Arbutus Inc. acquired all of the outstanding shares of Enantigen pursuant to a stock purchase agreement. Through this transaction, Arbutus Inc. acquired an HBV surface antigen secretion inhibitor program and a capsid assembly inhibitor program, each of which are now assets of the Company, following the Company’s merger with Arbutus Inc.</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Under the stock purchase agreement, Arbutus Inc. agreed to pay up to a total of $21,000,000 to Enantigen’s selling stockholders upon the achievement of certain triggering events related to Enantigen’s two programs in pre-clinical development related to HBV therapies. The first triggering event, which would trigger a $3,000,000 milestone, is the enrollment of the first patient in a Phase 1b clinical trial in HBV patients.</w:t>
      </w:r>
    </w:p>
    <w:p>
      <w:pPr>
        <w:spacing w:after="0" w:line="18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regulatory, development and sales milestone payments had an initial estimated fair value of approximately $6,727,000 as of the date of acquisition of Arbutus Inc., and have been treated as contingent consideration payable in the purchase price allocation, based on information available at the date of acquisition, using a probability weighted assessment of the likelihood the milestones would be met and the estimated timing of such payments, and then the potential contingent payments were discounted to their present value using a probability adjusted discount rate that reflects the early stage nature of the development program, time to complete the program development, and market comparative data.</w:t>
      </w:r>
    </w:p>
    <w:p>
      <w:pPr>
        <w:spacing w:after="0" w:line="17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Contingent consideration is recorded as a financial liability, and measured at its fair value at each reporting date, based on an updated consideration of the probability-weighted assessment of expected milestone timing, with any changes in fair value from the previous reporting date recorded in the statement of operations and comprehensive loss (see note 2). The decrease in contingent consideration for the three and nine months ended September 30, 2018 was primarily due to the Company's decision in the third quarter 2018 to indefinitely defer further development of AB-423 thereby reducing the probability of achieving future development milestones, as well as a recalibration in the timing of future sales milestones being achieved, resulting in a reduction in the estimated fair value of the liability.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the Baruch S. Blumberg Institute ("Blumberg") and Drexel University ("Drexel")</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February 2014, Arbutus Inc. entered into a license agreement with Blumberg and Drexel that granted Arbutus Inc. an exclusive, worldwide, sub-licensable license to three different compound series: cccDNA inhibitors, capsid assembly inhibitors and HCC inhibitors.</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partial consideration for this license, Arbutus Inc. paid a license initiation fee of $150,000 and issued warrants to Blumberg and Drexel. The warrants were exercised in 2014. Under this license agreement, Arbutus Inc. also agreed to pay up to $3,500,000 in development and regulatory milestones per licensed compound series, up to $92,500,000 in sales performance milestones per licensed product, and royalties in the mid-single digits based upon the proportionate net sales of licensed products in any commercialized combination. The Company is obligated to pay Blumberg and Drexel a double digit percentage of all amounts received from the sub-licensees, subject to customary exclusions.</w:t>
      </w:r>
    </w:p>
    <w:p>
      <w:pPr>
        <w:spacing w:after="0" w:line="17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 November 2014, Arbutus Inc. entered into an additional license agreement with Blumberg and Drexel pursuant to which it received an exclusive, worldwide, sub-licensable license under specified patents and know-how controlled by Blumberg and Drexel covering epigenetic modifiers of cccDNA and STING agonists. In consideration for these exclusive licenses, Arbutus Inc. made an upfront payment of $50,000. Under this agreement, the Company is required to pay up to $1,200,000 for each licensed product upon the achievement of a specified regulatory milestone and a low single digit royalty, based upon the proportionate net sales of compounds covered by this intellectual property in any commercialized combination. The Company is also obligated to pay Blumberg and Drexel a double digit percentage of all amounts received from its sub-licensees, subject to exclusions.</w:t>
      </w:r>
    </w:p>
    <w:p>
      <w:pPr>
        <w:spacing w:after="0" w:line="200" w:lineRule="exact"/>
        <w:rPr>
          <w:sz w:val="20"/>
          <w:szCs w:val="20"/>
          <w:color w:val="auto"/>
        </w:rPr>
      </w:pPr>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904" w:right="2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Research Collaboration and Funding Agreement with Blumberg</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October 2014, Arbutus Inc. entered into a research collaboration and funding agreement with Blumberg under which the Company will provide $1,000,000 per year of research funding for three years, renewable at the Company’s option for an additional three years, for Blumberg to conduct research projects in HBV and liver cancer pursuant to a research plan to be agreed upon by the parties. Blumberg has exclusivity obligations to Arbutus with respect to HBV research funded under the agreement. In addition, the Company has the right to match any third party offer to fund HBV research that falls outside the scope of the research being funded under the agreement. Blumberg has granted the Company the right to obtain an exclusive, royalty bearing, worldwide license to any intellectual property generated by any funded research project. If the Company elects to exercise its right to obtain such a license, the Company will have a specified period of time to negotiate and enter into a mutually agreeable license agreement with Blumberg. This license agreement will include the following pre-negotiated upfront, milestone and royalty payments: an upfront payment in the amount of $100,000; up to $8,100,000 upon the achievement of specified development and regulatory milestones; up to $92,500,000 upon the achievement of specified commercialization milestones; and royalties at a low single to mid-single digit rates based upon the proportionate net sales of licensed products from any commercialized combination.</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June 5, 2016, the Company and Blumberg entered into an amended and restated research collaboration and funding agreement, primarily to: (i) increase the annual funding amount to Blumberg from $1,000,000 to $1,100,000; (ii) extend the initial term through to October 29, 2018; (iii) provide an option for the Company to extend the term past October 29, 2018 for two additional one year terms; and (iv) expand the Company's exclusive license under the Agreement to include the sole and exclusive right to obtain and exclusive, royalty-bearing, worldwide and all-fields license under Blumberg's rights in certain other inventions described in the agreement.</w:t>
      </w:r>
    </w:p>
    <w:p>
      <w:pPr>
        <w:spacing w:after="0" w:line="184"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Credit risk is defined by the Company as an unexpected loss in cash and earnings if a collaborative partner is unable to pay its obligations on a timely basis. The Company’s main source of credit risk is related to its accounts receivable balance which principally represents temporary financing provided to collaborative partners in the normal course of operations.</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 does not currently maintain a provision for bad debts as the majority of accounts receivable are from collaborative partners or government agencies and are considered low risk.</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carrying amount of financial assets represents the maximum credit exposure. The maximum exposure to credit risk as of September 30, 2018 was the accounts receivable balance of $538,000 (December 31, 2017 - $402,000).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accounts receivable balances were current at September 30, 2018 and at December 31, 2017.</w:t>
      </w:r>
    </w:p>
    <w:p>
      <w:pPr>
        <w:spacing w:after="0" w:line="221"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During 2018, the Company purchased certain research and development services from Roivant, which are billed at agreed hourly rates and reflective of market rates for such services. The total cost of these services was $0 and $644,000 for the three and nine months ended September 30, 2018, respectively and is included in the income statement under research, development, collaborations and contracts expenses.</w:t>
      </w:r>
    </w:p>
    <w:p>
      <w:pPr>
        <w:spacing w:after="0" w:line="16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During 2018, the Company purchased certain research and development services from Genevant. These services are billed at agreed hourly rates and reflective of market rates for such services. The total cost of these services was $104,000 and $227,000 for the three and nine months ended September 30, 2018, respectively and are included in the income statement under research, development, collaborations and contracts expenses. Conversely, Genevant purchased certain administrative and transitional services from the Company and has a sublease for 17,900 square feet in the Company's Burnaby facility. The total income for these services was $147,000 and $318,000 for the three and nine months ended September 30, 2018, respectively and is netted against research, development, collaborations and contracts expenses in the income statement.</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8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i w:val="1"/>
          <w:iCs w:val="1"/>
          <w:color w:val="auto"/>
        </w:rPr>
        <w:t>You should read the following discussion and analysis by our management of our financial position and results of operations in conjunction with our audited consolidated financial statements and related notes thereto included as part of our Annual Report on Form 10-K for the year ended December 31, 2017 and our unaudited condensed consolidated financial statements for the three and nine month periods ended September 30, 2018. Our consolidated financial statements have been prepared in accordance with U.S. generally accepted accounting principles and are presented in U.S. dollars.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information in this report contains forward-looking statements within the meaning of the Section 27A of the Securities Act of 1933 and Section 21E of the Securities Exchange Act of 1934, as amended (the "Exchange Act"), and forward looking information within the meaning of Canadian securities laws (collectively, “forward-looking statements”). Forward-looking statements in this report include statements about our strategy, future operations, preclinical research, clinical trials, prospects and the plans of management; the discovery, development and commercialization of a cure for chronic hepatitis B infection, a disease of the liver caused by the hepatitis B virus ("HBV"); our beliefs and development path and strategy to achieve a cure for HBV; obtaining necessary regulatory approvals; obtaining adequate financing through a combination of financing activities and operations; the payment of one-time employee termination benefits, employee relocation costs, and site closure costs, totaling approximately $5,000,000; the expected timing of certain triggering events for payments related to Enantigen Therapeutics, Inc.'s programs; the potential of our proprietary lipid nanoparticle ("LNP") platform to provide royalties and significant additional capital to fund development of our many HBV assets; the potential of our drug candidates to improve upon the standard of care and contribute to a curative combination treatment regimen; royalty entitlements for Onpattro; developing a suite of products that intervene at different points in the viral life cycle, with the potential to reactivate the host immune system; using preclinical results to adaptively design clinical studies for additional cohorts of patients, testing the combination and the duration of therapy; selecting combination therapy regimens and treatment durations to conduct Phase III clinical trials intended to ultimately support regulatory filings for marketing approval; expanding our HBV drug candidate pipeline through internal development, acquisitions and in-licenses; interim results from a 30-week Phase II trial of ARB-1467 in combination with tenofovir and pegylated interferon expected in the second half of 2018, followed by final results; continuing to focus on rapidly advancing AB-506, with topline results by mid-2019; the potential of AB-506 to be a 'best-in-class' capsid inhibitor with once-daily dosing; the potential further development of AB-452; an Investigational New Drug ("IND")/Clinical Trial Authorization ("CTA") filing in 2019 for AB-729; possible low to mid-single-digit royalty payments escalating based on sales performance as Alnylam Pharmaceuticals, Inc.'s ("Alnylam") LNP-enabled products, including Onpattro, are commercialized; payments from the Gritstone Oncology, Inc. ("Gritstone") licensing agreement; the expectation for organizational changes to result in increased efficiency, a more flexible variable cost structure, and additional preservation of our cash reserves; the belief that current legal proceedings will not have a material adverse effect on our consolidated results of operations, cash flows, or financial condition; the expected return from strategic alliances, licensing agreements, and research collaborations; statements with respect to revenue and expense fluctuation and guidance; having sufficient cash resources to fund our operations for at least the next 12 months; obtaining funding to maintain and advance our business from a variety of sources including public or private equity or debt financing, collaborative arrangements with pharmaceutical companies and government grants and contracts; and the quantum and timing of potential funding.</w:t>
      </w:r>
    </w:p>
    <w:p>
      <w:pPr>
        <w:spacing w:after="0" w:line="156"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With respect to the forward-looking statements contained in this report, we have made numerous assumptions regarding, among other things: LNP’s status as a leading RNA interface ("RNAi ") delivery technology; our research and development capabilities and resources; the effectiveness of our HBV pipeline as a treatment for chronic HBV infection or other diseases; results from pre-clinical and clinical trials; the timing and quantum of payments to be received under contracts with our partners; and our financial position and our ability to execute our business strategy. While we consider these assumptions to be reasonable, these assumptions are inherently subject to significant business, economic, competitive, market and social uncertainties and contingencies.</w:t>
      </w:r>
    </w:p>
    <w:p>
      <w:pPr>
        <w:spacing w:after="0" w:line="158"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Our actual results could differ materially from those discussed in the forward-looking statements as a result of a number of important factors, including the risk factors discussed in this report and the risk factors discussed in our Annual Report on Form 10-K for the year ended December 31, 2017, under the heading “Risk Factors,” and the risks discussed in our other filings with the Securities and Exchange Commission (the "SEC") and Canadian Securities Regulators. Readers are cautioned not to place undue reliance on these forward-looking statements, which reflect management’s analysis, judgment, belief or expectation only as of the date hereof. All forward-looking statements herein are qualified in their entirety by this cautionary statement, and we explicitly disclaim any obligation to revise or update any such forward-looking statements or to</w:t>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688" w:right="259" w:bottom="1440" w:gutter="0" w:footer="0" w:header="0"/>
        </w:sectPr>
      </w:pPr>
    </w:p>
    <w:bookmarkStart w:id="22" w:name="page23"/>
    <w:bookmarkEnd w:id="22"/>
    <w:p>
      <w:pPr>
        <w:spacing w:after="0" w:line="277" w:lineRule="auto"/>
        <w:rPr>
          <w:sz w:val="20"/>
          <w:szCs w:val="20"/>
          <w:color w:val="auto"/>
        </w:rPr>
      </w:pPr>
      <w:r>
        <w:rPr>
          <w:rFonts w:ascii="Arial" w:cs="Arial" w:eastAsia="Arial" w:hAnsi="Arial"/>
          <w:sz w:val="18"/>
          <w:szCs w:val="18"/>
          <w:color w:val="auto"/>
        </w:rPr>
        <w:t>publicly announce the result of any revisions to any of the forward-looking statements contained herein to reflect future results, events or developments, except as required by law.</w:t>
      </w:r>
    </w:p>
    <w:p>
      <w:pPr>
        <w:spacing w:after="0" w:line="30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240" w:top="584" w:right="6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Arbutus Biopharma Corporation ("Arbutus", the "Company", "we", "us", and "our") is a publicly traded (Nasdaq Global Market: ABUS) industry-leading therapeutic solutions company dedicated to discovering, developing, and commercializing a cure for patients suffering from chronic HBV infection. HBV represents a significant, global unmet medical need. The World Health Organization estimates that more than 257 million people worldwide are chronically infected, and other estimates suggest this could include approximately 2 million people in the United States.</w:t>
      </w:r>
    </w:p>
    <w:p>
      <w:pPr>
        <w:spacing w:after="0" w:line="171"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To pursue our strategy of developing a curative combination regimen for chronic HBV, we have assembled a robust pipeline consisting of multiple drug candidates with complementary mechanisms of action ("MOA"), each of which has the potential to improve upon the standard of care and contribute to a curative combination treatment regimen. Our pipeline includes agents that have the potential to form an effective proprietary combination therapy.</w:t>
      </w:r>
    </w:p>
    <w:p>
      <w:pPr>
        <w:spacing w:after="0" w:line="25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addition to our drug pipeline focused on HBV, we have additional assets that have the potential to provide value to our Company. The first is our approximate 40% equity ownership interest in Genevant Sciences Ltd. ("Genevant"), a newly created company to which we have licensed our LNP platform and conjugate delivery platform (the "Delivery Platforms") for all applications except HBV. Secondly, we retain a royalty entitlement on Onpattro™ (Patisiran), a drug developed by Alnylam that incorporates our LNP technology and was approved by the U.S. Food and Drug Administration ("FDA") during the third quarter of 2018. This royalty entitlement has the potential to provide an active royalty stream or to be otherwise monetized in full or in part. These additional assets have the potential to provide significant non-dilutive capital to fund development of our HBV pipeline.</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HBV Product Pipeline</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product pipeline is entirely focused on finding a cure for chronic HBV infection, with the objective of developing a suite of products that intervene at different points in the viral life cycle and reactivate the host immune system. We are currently conducting one clinical trial and several preclinical combination studies to evaluate combinations of proprietary HBV therapeutic agents in addition to standard of care therapies to support their clinical use in combination. We expect to use the results from these studies to adaptively design additional clinical trials to test the efficacy of the combination therapy and the duration of the result in patients. We plan to identify a combination regimen to conduct Phase III clinical trials intended to ultimately support regulatory filings for marketing approval.</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HBV product pipeline consists of the following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5866130" cy="30270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66130" cy="302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72" w:right="259" w:bottom="1440" w:gutter="0" w:footer="0" w:header="0"/>
        </w:sectPr>
      </w:pPr>
    </w:p>
    <w:bookmarkStart w:id="24" w:name="page25"/>
    <w:bookmarkEnd w:id="24"/>
    <w:p>
      <w:pPr>
        <w:ind w:right="60" w:firstLine="648"/>
        <w:spacing w:after="0" w:line="276" w:lineRule="auto"/>
        <w:rPr>
          <w:sz w:val="20"/>
          <w:szCs w:val="20"/>
          <w:color w:val="auto"/>
        </w:rPr>
      </w:pPr>
      <w:r>
        <w:rPr>
          <w:rFonts w:ascii="Arial" w:cs="Arial" w:eastAsia="Arial" w:hAnsi="Arial"/>
          <w:sz w:val="17"/>
          <w:szCs w:val="17"/>
          <w:color w:val="auto"/>
        </w:rPr>
        <w:t>In October 2018, we announced that we became aware of emerging nonclinical safety findings in the AB-452 RNA Destabilizer program. Given the nature of these observations and the novel mechanism of action of this drug, we feel a sufficient amount of time must be allocated to understanding these findings and their implications before potentially commencing a clinical program. Given these observations we will continue to advance back-up compounds which are now in the lead optimization stage. This decision does not hamper our commitment to fully understand the nature of the AB-452 pre-clinical findings and continue to pursue the search for other oral HBsAg reducing agents in the RNA destabilizer space.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continue to expand our HBV pipeline through internal discovery and development and possibly acquisitions and in-licenses.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Agents for combination therapy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Capsid Inhibitors (AB-506 &amp; AB-423)</w:t>
      </w:r>
    </w:p>
    <w:p>
      <w:pPr>
        <w:spacing w:after="0" w:line="36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HBV core protein assembles into a capsid structure, which is required for viral replication. The current standard of care therapy (nucleoside analogues) significantly reduces HBV DNA levels in the serum but HBV replication continues in the liver, thereby enabling HBV infection to persist. Effective therapy for patients requires new agents which will effectively block viral replication. We are developing capsid inhibitors (also known as core protein inhibitors) as oral therapeutics which, in combination with nucleoside analog therapy, could block HBV DNA replication for the treatment of chronic HBV infection. By inhibiting assembly of the viral capsid, the ability of HBV to replicate is impaired. Capsid inhibitor molecules also inhibit the uncoating step of the viral life cycle and thus reduce the formation of new cccDNA, the viral structure which resides in the cell nucleus.</w:t>
      </w:r>
    </w:p>
    <w:p>
      <w:pPr>
        <w:spacing w:after="0" w:line="178"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Our capsid inhibitor discovery effort generated promising second generation compounds in 2017, which led to the nomination AB-506 for IND/CTA-enabling studies. AB-506 is an orally administered, highly selective capsid inhibitor that has shown improved potency and PK over AB-423 in preclinical studies. We presented these preclinical data at the American Association for the Study of Liver Disease ("AASLD") annual meeting in October 2017 in a presentation titled, "Antiviral Characterization of a Next Generation Chemical Series of HBV Capsid Inhibitors In Vitro and In Vivo," which showed potent inhibition of HBV replication and pgRNA encapsidation, an accelerated rate of capsid assembly, and binding to the HBV core protein at the dimer:dimer interface that indicates improved target engagement compared to first generation capsid inhibitors, including AB-423.</w:t>
      </w:r>
    </w:p>
    <w:p>
      <w:pPr>
        <w:spacing w:after="0" w:line="17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received regulatory approval of our CTA for AB-506 in the second quarter of 2018. During the third quarter of 2018, AB-506 progressed through the healthy volunteer portion of a multi-component phase 1a/1b clinical trial in which it was demonstrated to be generally safe and well-tolerated after 10 days of dosing. In October 2018, AB-506 entered into the 28-day HBV patient portion of the trial, where it is being evaluated both with and without a nucleoside analog. Top-line results of the phase 1a/1b clinical trial are expected in the second quarter of 2019.</w:t>
      </w:r>
    </w:p>
    <w:p>
      <w:pPr>
        <w:spacing w:after="0" w:line="171"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AB-423 was our first-generation capsid inhibitor candidate, which was evaluated in a Phase I Single Ascending Dose ("SAD") and Multiple Ascending Dose ("MAD") trial designed to assess the safety, tolerability, and pharmacokinetics ("PK") of oral administration of the product candidate in healthy volunteers. AB-423 was well-tolerated with no serious adverse events.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Due to the successful progression of AB-506 through clinical testing into patients, we have indefinitely deferred further development of AB-423.</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RNAi Agents</w:t>
      </w:r>
    </w:p>
    <w:p>
      <w:pPr>
        <w:spacing w:after="0" w:line="270" w:lineRule="exact"/>
        <w:rPr>
          <w:sz w:val="20"/>
          <w:szCs w:val="20"/>
          <w:color w:val="auto"/>
        </w:rPr>
      </w:pPr>
    </w:p>
    <w:p>
      <w:pPr>
        <w:ind w:right="580" w:firstLine="648"/>
        <w:spacing w:after="0" w:line="264" w:lineRule="auto"/>
        <w:rPr>
          <w:sz w:val="20"/>
          <w:szCs w:val="20"/>
          <w:color w:val="auto"/>
        </w:rPr>
      </w:pPr>
      <w:r>
        <w:rPr>
          <w:rFonts w:ascii="Arial" w:cs="Arial" w:eastAsia="Arial" w:hAnsi="Arial"/>
          <w:sz w:val="18"/>
          <w:szCs w:val="18"/>
          <w:color w:val="auto"/>
        </w:rPr>
        <w:t>Our RNAi HBV candidates, ARB-1467 and AB-729, are designed to reduce Hepatitis B surface antigen ("HBsAg") expression in patients chronically infected with HBV. Reducing HBsAg is thought to be a key prerequisite to enable a patient’s immune system to raise an adequate immune response against the virus.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GalNAc RNAi (AB-729)</w:t>
      </w:r>
    </w:p>
    <w:p>
      <w:pPr>
        <w:spacing w:after="0" w:line="266"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Early in 2018, we nominated for development a second generation RNAi therapeutic, AB-729, targeted to hepatocytes using our novel covalently conjugated N-acetylgalactosamine (GalNAc) delivery technology to enable subcutaneous delivery. This is a promising new agent that acts on multiple HBV viral transcripts, which is designed to inhibit viral replication and</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584" w:right="259" w:bottom="1440" w:gutter="0" w:footer="0" w:header="0"/>
        </w:sectPr>
      </w:pPr>
    </w:p>
    <w:bookmarkStart w:id="25" w:name="page26"/>
    <w:bookmarkEnd w:id="25"/>
    <w:p>
      <w:pPr>
        <w:ind w:right="80"/>
        <w:spacing w:after="0" w:line="257" w:lineRule="auto"/>
        <w:rPr>
          <w:sz w:val="20"/>
          <w:szCs w:val="20"/>
          <w:color w:val="auto"/>
        </w:rPr>
      </w:pPr>
      <w:r>
        <w:rPr>
          <w:rFonts w:ascii="Arial" w:cs="Arial" w:eastAsia="Arial" w:hAnsi="Arial"/>
          <w:sz w:val="18"/>
          <w:szCs w:val="18"/>
          <w:color w:val="auto"/>
        </w:rPr>
        <w:t>suppress all viral antigens. AB-729 will be administered to patients subcutaneously and our preclinical in vivo findings support more durable HBsAg reduction than earlier generation RNAi agents, such as ARB-1467. We are completing IND/CTA enabling studies, and pending success of those studies, this agent is expected to enter clinical trials in the second quarter of 2019. We believe this compound could be combined with our Capsid Inhibitor AB-506 in our first proprietary combination therapy for HBV patients. Provided the clinical trials for AB-506 and AB-729 proceed as expected, we anticipate initiating combination clinical trials with these two agents in the first half of 2020.</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RNAi (ARB-1467)</w:t>
      </w:r>
    </w:p>
    <w:p>
      <w:pPr>
        <w:spacing w:after="0" w:line="266"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ARB-1467, one of our early LNP delivered, intravenous administered, RNAi agents targeting HBV, is currently in a 30-week trial in HBV patients, in combination with tenofovir and pegylated interferon ("PEG-IFN"). To date, six HBV patients have enrolled and been treated. Two of these patients have met the predetermined criteria to proceed into the PEG-IFN treatment phase of the trial. The results from this proof-of-concept trial suggest that this regimen has the potential to drive HBsAg levels to undetectable in some patients thus confirming our hypothesis that a combination of multiple mechanisms will be required to improve clinical outcomes for HBV patients. While the trial remains open to enrollment, the Company does not plan to advance this program beyond this trial. We intend to present results from this trial in a future scientific meeting.</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Research Programs</w:t>
      </w:r>
    </w:p>
    <w:p>
      <w:pPr>
        <w:spacing w:after="0" w:line="270"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In addition to our clinical candidates, we have a number of research programs aimed at discovery and development of proprietary HBV candidates with different and complementary MOAs. We have ongoing discovery efforts focused on cccDNA targeting and checkpoint inhibition to identify novel, orally administered small molecule drug candidates to complement our pipeline of agents to form an effective combination therapy.</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Onpattro™ (patisiran / ALN-TTR02)</w:t>
      </w:r>
    </w:p>
    <w:p>
      <w:pPr>
        <w:spacing w:after="0" w:line="252" w:lineRule="exact"/>
        <w:rPr>
          <w:sz w:val="20"/>
          <w:szCs w:val="20"/>
          <w:color w:val="auto"/>
        </w:rPr>
      </w:pPr>
    </w:p>
    <w:p>
      <w:pPr>
        <w:ind w:right="200" w:firstLine="648"/>
        <w:spacing w:after="0" w:line="324" w:lineRule="auto"/>
        <w:rPr>
          <w:sz w:val="20"/>
          <w:szCs w:val="20"/>
          <w:color w:val="auto"/>
        </w:rPr>
      </w:pPr>
      <w:r>
        <w:rPr>
          <w:rFonts w:ascii="Arial" w:cs="Arial" w:eastAsia="Arial" w:hAnsi="Arial"/>
          <w:sz w:val="18"/>
          <w:szCs w:val="18"/>
          <w:color w:val="auto"/>
        </w:rPr>
        <w:t>Alnylam (Nasdaq: ALNY), has a license to use our LNP delivery intellectual property to develop and commercialize products. Alnylam's patisiran (ALN-TTR02) program represents the most clinically advanced application of our LNP delivery technology.</w:t>
      </w:r>
    </w:p>
    <w:p>
      <w:pPr>
        <w:spacing w:after="0" w:line="14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Onpattro™ is Alnylam`s RNAi therapeutic targeting transthyretin ("TTR") for the treatment of TTR-mediated amyloidosis ("ATTR"), which was approved by the FDA and the European Medicines Agency ("EMA") during the third quarter of 2018.</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retain full rights to royalties on patisiran global sales and are entitled to low-to-mid single-digit royalty payments escalating based on sales performance as Alnylam’s LNP-enabled products are commercialized. We could receive our first royalty payments in 2018, or seek to otherwise monetize all or part of this royalty stream as a source of non-dilutive cash.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Gritstone Oncology</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October 2017, we entered into a license agreement with Gritstone that granted them worldwide access to our portfolio of proprietary and clinically validated LNP products and associated intellectual property to deliver Gritstone’s RNA-based neoantigen immunotherapy products. Gritstone paid us an upfront payment and agreed to future payments for achievement of development, regulatory, and commercial milestones as well as royalties, and reimbursements for conducting technology development, manufacturing and regulatory support for Gritstone’s product candidates. Genevant will be entitled to 50% of any milestones and royalties that may be payable by Gritstone. During the third quarter of 2018, we received a milestone payment from Gritstone of $2.5 million of which we retained $1.25 million.</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Genevant Sciences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In April 2018, we entered into an agreement with Roivant to launch Genevant, a jointly-owned company focused on the discovery, development, and commercialization of a broad range of RNA-based therapeutics enabled by our Delivery Technologies. We have licensed exclusive rights to our LNP and ligand conjugate delivery platforms to Genevant for RNA-based applications outside of HBV. Genevant plans to develop products in-house and pursue industry partnerships to build a diverse pipeline of therapeutics across multiple modalities, including RNAi, mRNA, and gene editing.</w:t>
      </w:r>
    </w:p>
    <w:p>
      <w:pPr>
        <w:spacing w:after="0" w:line="154"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Under the terms of the agreement, Roivant contributed $37.5 million in transaction-related seed capital for Genevant, consisting of an initial $22.5 million and a subsequent investment of $15 million at a pre-determined, stepped-up valuation. We retain all rights to our LNP and conjugate delivery platforms for HBV, and are entitled to a tiered royalty from Genevant on future sales of products enabled by those delivery platforms. We also retain the entirety of our royalty entitlement on the commercialization of Alnylam’s Onpattro. The initial investment and the subsequent investment were completed during the second quarter of 2018. As of September 30, 2018, we held an equity interest in Genevant of approximately 40%. We recorded a $24.9 million non-cash gain in the second quarter of 2018 as a result of this transaction.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Acuitas Therapeutics Inc.</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accordance with a settlement agreement signed in November 2012, we finalized and entered a cross-license agreement with Acuitas Therapeutics Inc. ("Acuitas") in December 2013. The terms of the cross-license agreement provided Acuitas with access to certain of our early IP generated prior to mid-April 2010 in the fields of gene replacement therapy and antisense. Acuitas was only able to grant access to our LNP technology to its partners if it is part of a product sublicense. At the same time, the terms of the cross-license agreement provided us with certain access to Acuitas’ technology and licenses in the RNAi field, along with a percentage of each milestone and royalty payment with respect to certain products. Acuitas had agreed that it would not compete in the RNAi field for a period of five years, ending in November 2017. We considered Acuitas to be in material breach of its cross-license agreement and provided notice to Acuitas in August 2016 to terminate the cross license agreement, resulting in litigation between the two parties. In February 2018, we reached a settlement with Acuitus terminating Acuitas’ right to further use or sublicense Arbutus' LNP technology. Please refer to "Item 1. Legal Proceedings" for additional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Site Consolidation</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February 2018, we announced a site consolidation and organizational restructuring to better align our HBV business in Warminster, PA. These organizational changes are expected to result in increased efficiency, a more flexible variable cost structure, and additional preservation of our cash reserves. To achieve this alignment, during the second quarter of 2018 we reduced our global workforce by approximately 35% and closed our Burnaby BC facility. These activities were successfully completed during the second quarter. For further detail, refer to note 9 "Site Consolidation" in the condensed consolidated financial statements in Part I.</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333"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Equity method investment </w:t>
      </w:r>
      <w:r>
        <w:rPr>
          <w:rFonts w:ascii="Arial" w:cs="Arial" w:eastAsia="Arial" w:hAnsi="Arial"/>
          <w:sz w:val="16"/>
          <w:szCs w:val="16"/>
          <w:color w:val="auto"/>
        </w:rPr>
        <w:t>/ We account for our investment in associated companies in accordance with the Financial Accounting Standards Board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("FASB") Accounting Standards Codification ("ASC") ASC 323, </w:t>
      </w:r>
      <w:r>
        <w:rPr>
          <w:rFonts w:ascii="Arial" w:cs="Arial" w:eastAsia="Arial" w:hAnsi="Arial"/>
          <w:sz w:val="16"/>
          <w:szCs w:val="16"/>
          <w:i w:val="1"/>
          <w:iCs w:val="1"/>
          <w:color w:val="auto"/>
        </w:rPr>
        <w:t>Investments - Equity Method and Joint Ventures</w:t>
      </w:r>
      <w:r>
        <w:rPr>
          <w:rFonts w:ascii="Arial" w:cs="Arial" w:eastAsia="Arial" w:hAnsi="Arial"/>
          <w:sz w:val="16"/>
          <w:szCs w:val="16"/>
          <w:color w:val="auto"/>
        </w:rPr>
        <w:t>. ("ASC 323") In accordance with ASC 323, associated companies are accounted for as equity method investments. Our share of the results of associated companies are presented on a one-line basis. Investments in, and advances to, associated companies are presented on a one-line basis in the caption “Investment in Genevant” in our condensed consolidated balance sheets, net of allowance for losses, which represents our best estimate of probable losses inherent in such assets. The investment in Genevant balance recorded was based on the fair value of equity received. Our proportionate share of an associated company's net income or loss is presented on a one-line basis in the caption "Gain on Investment" in our condensed consolidated statements of operations. Transactions between the Company and an associated company are eliminated on a basis proportional to our ownership interest. Financial results of Genevant are recorded on a one-quarter lag basis.</w:t>
      </w:r>
    </w:p>
    <w:p>
      <w:pPr>
        <w:spacing w:after="0" w:line="52"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Site consolidation expense </w:t>
      </w:r>
      <w:r>
        <w:rPr>
          <w:rFonts w:ascii="Arial" w:cs="Arial" w:eastAsia="Arial" w:hAnsi="Arial"/>
          <w:sz w:val="18"/>
          <w:szCs w:val="18"/>
          <w:color w:val="auto"/>
        </w:rPr>
        <w:t>/ We account for site consolidation expense in accordance with ASC 420,</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Exit or Disposal Cost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("ASC 420"). ASC</w:t>
      </w:r>
      <w:r>
        <w:rPr>
          <w:rFonts w:ascii="Arial" w:cs="Arial" w:eastAsia="Arial" w:hAnsi="Arial"/>
          <w:sz w:val="18"/>
          <w:szCs w:val="18"/>
          <w:b w:val="1"/>
          <w:bCs w:val="1"/>
          <w:color w:val="auto"/>
        </w:rPr>
        <w:t xml:space="preserve"> </w:t>
      </w:r>
      <w:r>
        <w:rPr>
          <w:rFonts w:ascii="Arial" w:cs="Arial" w:eastAsia="Arial" w:hAnsi="Arial"/>
          <w:sz w:val="18"/>
          <w:szCs w:val="18"/>
          <w:color w:val="auto"/>
        </w:rPr>
        <w:t>420 specifies that a liability for a cost associated with an exit or disposal activity be recognized</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580" w:right="259" w:bottom="1440" w:gutter="0" w:footer="0" w:header="0"/>
        </w:sectPr>
      </w:pPr>
    </w:p>
    <w:bookmarkStart w:id="27" w:name="page28"/>
    <w:bookmarkEnd w:id="27"/>
    <w:p>
      <w:pPr>
        <w:jc w:val="both"/>
        <w:ind w:right="280"/>
        <w:spacing w:after="0" w:line="312" w:lineRule="auto"/>
        <w:rPr>
          <w:sz w:val="20"/>
          <w:szCs w:val="20"/>
          <w:color w:val="auto"/>
        </w:rPr>
      </w:pPr>
      <w:r>
        <w:rPr>
          <w:rFonts w:ascii="Arial" w:cs="Arial" w:eastAsia="Arial" w:hAnsi="Arial"/>
          <w:sz w:val="16"/>
          <w:szCs w:val="16"/>
          <w:color w:val="auto"/>
        </w:rPr>
        <w:t>when the liability is incurred, except for a liability where employees are required to render service until they are terminated in order to receive termination benefits and will be retained to render service beyond the minimum retention period. A liability for such one-time termination benefits shall be measured initially at the communication date based on the fair value of the liability as of the termination date and recognized ratably over the future service period.</w:t>
      </w:r>
    </w:p>
    <w:p>
      <w:pPr>
        <w:spacing w:after="0" w:line="35" w:lineRule="exact"/>
        <w:rPr>
          <w:sz w:val="20"/>
          <w:szCs w:val="20"/>
          <w:color w:val="auto"/>
        </w:rPr>
      </w:pPr>
    </w:p>
    <w:p>
      <w:pPr>
        <w:ind w:right="220"/>
        <w:spacing w:after="0" w:line="281" w:lineRule="auto"/>
        <w:rPr>
          <w:sz w:val="20"/>
          <w:szCs w:val="20"/>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 We adopted ASC 606,</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Revenue From Contracts With Customers</w:t>
      </w:r>
      <w:r>
        <w:rPr>
          <w:rFonts w:ascii="Arial" w:cs="Arial" w:eastAsia="Arial" w:hAnsi="Arial"/>
          <w:sz w:val="17"/>
          <w:szCs w:val="17"/>
          <w:b w:val="1"/>
          <w:bCs w:val="1"/>
          <w:color w:val="auto"/>
        </w:rPr>
        <w:t xml:space="preserve"> </w:t>
      </w:r>
      <w:r>
        <w:rPr>
          <w:rFonts w:ascii="Arial" w:cs="Arial" w:eastAsia="Arial" w:hAnsi="Arial"/>
          <w:sz w:val="17"/>
          <w:szCs w:val="17"/>
          <w:color w:val="auto"/>
        </w:rPr>
        <w:t>("ASC 606"), effective January 1, 2018, using the modified</w:t>
      </w:r>
      <w:r>
        <w:rPr>
          <w:rFonts w:ascii="Arial" w:cs="Arial" w:eastAsia="Arial" w:hAnsi="Arial"/>
          <w:sz w:val="17"/>
          <w:szCs w:val="17"/>
          <w:b w:val="1"/>
          <w:bCs w:val="1"/>
          <w:color w:val="auto"/>
        </w:rPr>
        <w:t xml:space="preserve"> </w:t>
      </w:r>
      <w:r>
        <w:rPr>
          <w:rFonts w:ascii="Arial" w:cs="Arial" w:eastAsia="Arial" w:hAnsi="Arial"/>
          <w:sz w:val="17"/>
          <w:szCs w:val="17"/>
          <w:color w:val="auto"/>
        </w:rPr>
        <w:t>retrospective method under which previously presented financial statements are not restated and the cumulative effect of adopting ASC 606 on contracts in process is recognized by an adjustment to retained earnings at the effective date. The adoption of ASC 606 did not change recognized revenue under our ongoing significant collaborative research and license agreements and no cumulative effect adjustment was required.</w:t>
      </w:r>
    </w:p>
    <w:p>
      <w:pPr>
        <w:spacing w:after="0" w:line="16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new guidance in ASC 606 requires an entity to recognize the amount of revenue to which it expects to be entitled for the transfer of promised goods or services to customers under a five-step model: (i) identify contract(s) with a customer; (ii) identify the performance obligations in the contract; (iii) determine the transaction price; (iv) allocate the transaction price to the performance obligations in the contract; and (v) recognize revenue when or as a performance obligation is satisfied.</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generate revenue primarily through collaboration agreements, which may require delivery of various rights and/or services, including intellectual property rights or licenses and research and development services. Under such collaboration agreements, we are generally eligible to receive non-refundable upfront payments, funding for research and development services, milestone payments, and royalties.</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contracts where more than one performance obligation exists to provide its customer with goods or services, each performance obligation is evaluated to determine whether it is distinct based on whether (i) the customer can benefit from the good or service either on its own or together with other resources that are readily available and (ii) the good or service is separately identifiable from other promises in the contract. The consideration under the contract is then allocated between the distinct performance obligations based on their respective relative stand-alone selling prices. The estimated stand-alone selling price of each deliverable reflects the our best estimate of what the selling price would be if the deliverable was regularly sold on a stand-alone basis and is determined by reference to market rates for the good or service when sold to others or by using an adjusted market assessment approach if the selling price on a stand-alone basis is not available.</w:t>
      </w:r>
    </w:p>
    <w:p>
      <w:pPr>
        <w:spacing w:after="0" w:line="18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consideration allocated to each distinct performance obligation is recognized as revenue when control is transferred to the customer for the related goods or services. Consideration associated with at-risk substantive performance milestones, including sales-based milestones, is recognized as revenue when it is probable that a significant reversal of the cumulative revenue recognized will not occur.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color w:val="auto"/>
        </w:rPr>
        <w:t>/ In June 2018, the FASB issued ASU 2018-07,</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Compensation - Stock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(Topic 718),</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Improvements to Nonemployee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Share-Based Payment Accounting ("ASU 2018-07")</w:t>
      </w:r>
      <w:r>
        <w:rPr>
          <w:rFonts w:ascii="Arial" w:cs="Arial" w:eastAsia="Arial" w:hAnsi="Arial"/>
          <w:sz w:val="17"/>
          <w:szCs w:val="17"/>
          <w:color w:val="auto"/>
        </w:rPr>
        <w:t>. The amendments in ASU 2018-07 provide guidance about aligning nonemployee and employee share-based payment accounting. The amendments in ASU 2017-07 are effective for all entities for annual periods, and interim periods within those annual periods, beginning after December 15, 2018. We early adopted the new standard as of January 1, 2018. The adoption of this ASU 2018-07 did not have a material impact on the Company's financial position and results of operations.</w:t>
      </w:r>
    </w:p>
    <w:p>
      <w:pPr>
        <w:spacing w:after="0" w:line="17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are no other changes to our critical accounting policies and estimates from those disclosed in our annual MD&amp;A contained in our Annual Report Form 10-K for the year ended December 31, 2017.</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Please refer to Note 2 to our condensed consolidated financial statements included in Part I, Item 1, "Financial Statements (Unaudited)" of this Quarterly Report on Form 10-Q for a description of recent accounting pronouncements applicable to our business.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76"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The following summarizes the results of our operations for the periods shown, in thousands (except for per share figures):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310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20" w:type="dxa"/>
            <w:vAlign w:val="bottom"/>
            <w:gridSpan w:val="4"/>
          </w:tcPr>
          <w:p>
            <w:pPr>
              <w:jc w:val="center"/>
              <w:ind w:right="210"/>
              <w:spacing w:after="0"/>
              <w:rPr>
                <w:sz w:val="20"/>
                <w:szCs w:val="20"/>
                <w:color w:val="auto"/>
              </w:rPr>
            </w:pPr>
            <w:r>
              <w:rPr>
                <w:rFonts w:ascii="Arial" w:cs="Arial" w:eastAsia="Arial" w:hAnsi="Arial"/>
                <w:sz w:val="18"/>
                <w:szCs w:val="18"/>
                <w:b w:val="1"/>
                <w:bCs w:val="1"/>
                <w:color w:val="auto"/>
                <w:w w:val="91"/>
              </w:rPr>
              <w:t>Nine Months Ended</w:t>
            </w:r>
          </w:p>
        </w:tc>
      </w:tr>
      <w:tr>
        <w:trPr>
          <w:trHeight w:val="270"/>
        </w:trPr>
        <w:tc>
          <w:tcPr>
            <w:tcW w:w="44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94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September 30,</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940" w:type="dxa"/>
            <w:vAlign w:val="bottom"/>
          </w:tcPr>
          <w:p>
            <w:pPr>
              <w:spacing w:after="0"/>
              <w:rPr>
                <w:sz w:val="23"/>
                <w:szCs w:val="23"/>
                <w:color w:val="auto"/>
              </w:rPr>
            </w:pPr>
          </w:p>
        </w:tc>
      </w:tr>
      <w:tr>
        <w:trPr>
          <w:trHeight w:val="27"/>
        </w:trPr>
        <w:tc>
          <w:tcPr>
            <w:tcW w:w="44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4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1,587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4,267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8,166</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16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b w:val="1"/>
                <w:bCs w:val="1"/>
                <w:color w:val="auto"/>
              </w:rPr>
              <w:t>34,013</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19,789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77,144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58,847</w:t>
            </w:r>
          </w:p>
        </w:tc>
      </w:tr>
      <w:tr>
        <w:trPr>
          <w:trHeight w:val="27"/>
        </w:trPr>
        <w:tc>
          <w:tcPr>
            <w:tcW w:w="4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1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(32,426)</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(12,897)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(72,877)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(50,681)</w:t>
            </w: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160" w:type="dxa"/>
            <w:vAlign w:val="bottom"/>
            <w:tcBorders>
              <w:top w:val="single" w:sz="8" w:color="auto"/>
            </w:tcBorders>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(28,755)</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(11,600)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(43,093)</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(48,482)</w:t>
            </w:r>
          </w:p>
        </w:tc>
      </w:tr>
      <w:tr>
        <w:trPr>
          <w:trHeight w:val="27"/>
        </w:trPr>
        <w:tc>
          <w:tcPr>
            <w:tcW w:w="4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common shares</w:t>
            </w:r>
          </w:p>
        </w:tc>
        <w:tc>
          <w:tcPr>
            <w:tcW w:w="1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(27,040)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(11,600)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(46,255)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(48,482)</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Basic and diluted loss per common share</w:t>
            </w:r>
          </w:p>
        </w:tc>
        <w:tc>
          <w:tcPr>
            <w:tcW w:w="1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(0.49)</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(0.84)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(0.89)</w:t>
            </w:r>
          </w:p>
        </w:tc>
      </w:tr>
      <w:tr>
        <w:trPr>
          <w:trHeight w:val="27"/>
        </w:trPr>
        <w:tc>
          <w:tcPr>
            <w:tcW w:w="4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 Revenue is summarized in the following table,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102870</wp:posOffset>
            </wp:positionV>
            <wp:extent cx="71437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165"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40" w:type="dxa"/>
            <w:vAlign w:val="bottom"/>
            <w:gridSpan w:val="8"/>
          </w:tcPr>
          <w:p>
            <w:pPr>
              <w:jc w:val="right"/>
              <w:ind w:right="610"/>
              <w:spacing w:after="0"/>
              <w:rPr>
                <w:sz w:val="20"/>
                <w:szCs w:val="20"/>
                <w:color w:val="auto"/>
              </w:rPr>
            </w:pPr>
            <w:r>
              <w:rPr>
                <w:rFonts w:ascii="Arial" w:cs="Arial" w:eastAsia="Arial" w:hAnsi="Arial"/>
                <w:sz w:val="18"/>
                <w:szCs w:val="18"/>
                <w:b w:val="1"/>
                <w:bCs w:val="1"/>
                <w:color w:val="auto"/>
              </w:rPr>
              <w:t>Three months ended September 30,</w:t>
            </w:r>
          </w:p>
        </w:tc>
        <w:tc>
          <w:tcPr>
            <w:tcW w:w="220" w:type="dxa"/>
            <w:vAlign w:val="bottom"/>
          </w:tcPr>
          <w:p>
            <w:pPr>
              <w:spacing w:after="0"/>
              <w:rPr>
                <w:sz w:val="20"/>
                <w:szCs w:val="20"/>
                <w:color w:val="auto"/>
              </w:rPr>
            </w:pPr>
          </w:p>
        </w:tc>
        <w:tc>
          <w:tcPr>
            <w:tcW w:w="34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9"/>
              </w:rPr>
              <w:t>Nine months ended September 30,</w:t>
            </w:r>
          </w:p>
        </w:tc>
      </w:tr>
      <w:tr>
        <w:trPr>
          <w:trHeight w:val="27"/>
        </w:trPr>
        <w:tc>
          <w:tcPr>
            <w:tcW w:w="3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8"/>
        </w:trPr>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8"/>
                <w:szCs w:val="18"/>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 of</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w w:val="94"/>
              </w:rPr>
              <w:t>2017</w:t>
            </w:r>
          </w:p>
        </w:tc>
        <w:tc>
          <w:tcPr>
            <w:tcW w:w="10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 of Total</w:t>
            </w:r>
          </w:p>
        </w:tc>
        <w:tc>
          <w:tcPr>
            <w:tcW w:w="220" w:type="dxa"/>
            <w:vAlign w:val="bottom"/>
          </w:tcPr>
          <w:p>
            <w:pPr>
              <w:spacing w:after="0"/>
              <w:rPr>
                <w:sz w:val="18"/>
                <w:szCs w:val="18"/>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2018</w:t>
            </w:r>
          </w:p>
        </w:tc>
        <w:tc>
          <w:tcPr>
            <w:tcW w:w="1240" w:type="dxa"/>
            <w:vAlign w:val="bottom"/>
          </w:tcPr>
          <w:p>
            <w:pPr>
              <w:ind w:left="120"/>
              <w:spacing w:after="0"/>
              <w:rPr>
                <w:sz w:val="20"/>
                <w:szCs w:val="20"/>
                <w:color w:val="auto"/>
              </w:rPr>
            </w:pPr>
            <w:r>
              <w:rPr>
                <w:rFonts w:ascii="Arial" w:cs="Arial" w:eastAsia="Arial" w:hAnsi="Arial"/>
                <w:sz w:val="18"/>
                <w:szCs w:val="18"/>
                <w:b w:val="1"/>
                <w:bCs w:val="1"/>
                <w:color w:val="auto"/>
              </w:rPr>
              <w:t>% of Total</w:t>
            </w:r>
          </w:p>
        </w:tc>
        <w:tc>
          <w:tcPr>
            <w:tcW w:w="640" w:type="dxa"/>
            <w:vAlign w:val="bottom"/>
          </w:tcPr>
          <w:p>
            <w:pPr>
              <w:jc w:val="right"/>
              <w:ind w:right="150"/>
              <w:spacing w:after="0"/>
              <w:rPr>
                <w:sz w:val="20"/>
                <w:szCs w:val="20"/>
                <w:color w:val="auto"/>
              </w:rPr>
            </w:pPr>
            <w:r>
              <w:rPr>
                <w:rFonts w:ascii="Arial" w:cs="Arial" w:eastAsia="Arial" w:hAnsi="Arial"/>
                <w:sz w:val="18"/>
                <w:szCs w:val="18"/>
                <w:color w:val="auto"/>
                <w:w w:val="94"/>
              </w:rPr>
              <w:t>2017</w:t>
            </w:r>
          </w:p>
        </w:tc>
        <w:tc>
          <w:tcPr>
            <w:tcW w:w="920" w:type="dxa"/>
            <w:vAlign w:val="bottom"/>
          </w:tcPr>
          <w:p>
            <w:pPr>
              <w:jc w:val="right"/>
              <w:spacing w:after="0"/>
              <w:rPr>
                <w:sz w:val="20"/>
                <w:szCs w:val="20"/>
                <w:color w:val="auto"/>
              </w:rPr>
            </w:pPr>
            <w:r>
              <w:rPr>
                <w:rFonts w:ascii="Arial" w:cs="Arial" w:eastAsia="Arial" w:hAnsi="Arial"/>
                <w:sz w:val="18"/>
                <w:szCs w:val="18"/>
                <w:color w:val="auto"/>
              </w:rPr>
              <w:t>% of Total</w:t>
            </w:r>
          </w:p>
        </w:tc>
      </w:tr>
      <w:tr>
        <w:trPr>
          <w:trHeight w:val="234"/>
        </w:trPr>
        <w:tc>
          <w:tcPr>
            <w:tcW w:w="3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3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Alexion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7,956</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Gritstone</w:t>
            </w: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313</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b w:val="1"/>
                <w:bCs w:val="1"/>
                <w:color w:val="auto"/>
              </w:rPr>
              <w:t>2,400</w:t>
            </w:r>
          </w:p>
        </w:tc>
        <w:tc>
          <w:tcPr>
            <w:tcW w:w="1240" w:type="dxa"/>
            <w:vAlign w:val="bottom"/>
          </w:tcPr>
          <w:p>
            <w:pPr>
              <w:ind w:left="560"/>
              <w:spacing w:after="0"/>
              <w:rPr>
                <w:sz w:val="20"/>
                <w:szCs w:val="20"/>
                <w:color w:val="auto"/>
              </w:rPr>
            </w:pPr>
            <w:r>
              <w:rPr>
                <w:rFonts w:ascii="Arial" w:cs="Arial" w:eastAsia="Arial" w:hAnsi="Arial"/>
                <w:sz w:val="18"/>
                <w:szCs w:val="18"/>
                <w:b w:val="1"/>
                <w:bCs w:val="1"/>
                <w:color w:val="auto"/>
              </w:rPr>
              <w:t>56%</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Gritstone Milestone</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1,250</w:t>
            </w:r>
          </w:p>
        </w:tc>
        <w:tc>
          <w:tcPr>
            <w:tcW w:w="12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29%</w:t>
            </w: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Other milestone and royalty payments</w:t>
            </w:r>
          </w:p>
        </w:tc>
        <w:tc>
          <w:tcPr>
            <w:tcW w:w="24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b w:val="1"/>
                <w:bCs w:val="1"/>
                <w:color w:val="auto"/>
              </w:rPr>
              <w:t>617</w:t>
            </w:r>
          </w:p>
        </w:tc>
        <w:tc>
          <w:tcPr>
            <w:tcW w:w="1240" w:type="dxa"/>
            <w:vAlign w:val="bottom"/>
          </w:tcPr>
          <w:p>
            <w:pPr>
              <w:ind w:left="560"/>
              <w:spacing w:after="0"/>
              <w:rPr>
                <w:sz w:val="20"/>
                <w:szCs w:val="20"/>
                <w:color w:val="auto"/>
              </w:rPr>
            </w:pPr>
            <w:r>
              <w:rPr>
                <w:rFonts w:ascii="Arial" w:cs="Arial" w:eastAsia="Arial" w:hAnsi="Arial"/>
                <w:sz w:val="18"/>
                <w:szCs w:val="18"/>
                <w:b w:val="1"/>
                <w:bCs w:val="1"/>
                <w:color w:val="auto"/>
              </w:rPr>
              <w:t>15%</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210</w:t>
            </w: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3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1,587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4,267</w:t>
            </w:r>
          </w:p>
        </w:tc>
        <w:tc>
          <w:tcPr>
            <w:tcW w:w="124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8,166</w:t>
            </w:r>
          </w:p>
        </w:tc>
        <w:tc>
          <w:tcPr>
            <w:tcW w:w="920" w:type="dxa"/>
            <w:vAlign w:val="bottom"/>
            <w:tcBorders>
              <w:bottom w:val="single" w:sz="8" w:color="CCEEFF"/>
            </w:tcBorders>
            <w:shd w:val="clear" w:color="auto" w:fill="CCEEFF"/>
          </w:tcPr>
          <w:p>
            <w:pPr>
              <w:spacing w:after="0"/>
              <w:rPr>
                <w:sz w:val="21"/>
                <w:szCs w:val="21"/>
                <w:color w:val="auto"/>
              </w:rPr>
            </w:pPr>
          </w:p>
        </w:tc>
      </w:tr>
      <w:tr>
        <w:trPr>
          <w:trHeight w:val="20"/>
        </w:trPr>
        <w:tc>
          <w:tcPr>
            <w:tcW w:w="35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Revenue contracts are addressed in detail in the Overview section of Part I, Item 2, "Management's Discussion and Analysis of Financial Condition and Results of Operations"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Alexion revenue</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March 2017, we signed a License Agreement with Alexion Pharmaceuticals, Inc. ("Alexion") that granted them exclusive use of our proprietary LNP technology in one of Alexion's rare disease programs, and began recognizing a portion of the non-refundable upfront payment and services provided. In July 2017, we received notice of termination from Alexion for our LNP license agreement. The termination was driven by a strategic review of Alexion's business and research and development portfolio, which included a decision to discontinue development of mRNA therapeutics.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Gritstone revenue</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October 16, 2017, we entered into a license agreement with Gritstone that entitles Gritstone to research, develop, manufacture and commercialize products with the Company’s LNP technology. In October 2017, we received the upfront license payment, and are eligible to receive further potential payments for development and commercial milestone payments and royalty payments on future product sales. Revenue recognized in the three and nine months ended September 30, 2018 relates to the earned portion of the upfront license fee, as well as services provided to Gritstone. As a result of our agreement with Genevant (see note 3 of the financial statements for details), from April 11, 2018 onwards, Genevant is entitled to 50% of the revenues earned (excluding the upfront license payment discussed above) by Arbutus from Gritstone. We record service revenues from Gritstone net of charges by Genevant for services provided to Gritstone.</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the three months ended September 30, 2018, Gritstone paid a milestone payment of $2,500,000 pursuant to the license agreement, half of which went to the Company and half of which went to Genevant.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milestone and royalty payments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Under our licensing and collaboration arrangements with Alnylam and Acuitas, we earn licensing fee revenue from Acuitas as well as further potential development and commercial milestones from Alnylam for the use of our LNP technology. Our cross-license agreement with Acuitas has been terminated in accordance with the settlement agreement described under Part II, Item 1, "Legal Proceedings."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8" w:right="239" w:bottom="1440" w:gutter="0" w:footer="0" w:header="0"/>
        </w:sectPr>
      </w:pPr>
    </w:p>
    <w:bookmarkStart w:id="29" w:name="page30"/>
    <w:bookmarkEnd w:id="29"/>
    <w:p>
      <w:pPr>
        <w:spacing w:after="0" w:line="277" w:lineRule="auto"/>
        <w:rPr>
          <w:sz w:val="20"/>
          <w:szCs w:val="20"/>
          <w:color w:val="auto"/>
        </w:rPr>
      </w:pPr>
      <w:r>
        <w:rPr>
          <w:rFonts w:ascii="Arial" w:cs="Arial" w:eastAsia="Arial" w:hAnsi="Arial"/>
          <w:sz w:val="18"/>
          <w:szCs w:val="18"/>
          <w:color w:val="auto"/>
        </w:rPr>
        <w:t>In September 2013, Spectrum announced that they had shipped the first commercial orders of Marqibo. We continue to earn royalties on the sales of Marqibo, which utilizes a license to our technology.</w:t>
      </w:r>
    </w:p>
    <w:p>
      <w:pPr>
        <w:spacing w:after="0" w:line="170"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In the third quarter of 2010 we signed a contract with the U.S. Department of Defense ("DoD") to develop TKM-Ebola and have since incurred significant program costs related to equipment, materials and preclinical and clinical studies. In the fourth quarter of 2015, the DoD contract was terminated and in the second quarter of 2018 we completed contract close out procedures with the DoD and recorded the final reimbursement.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Expenses </w:t>
      </w:r>
      <w:r>
        <w:rPr>
          <w:rFonts w:ascii="Arial" w:cs="Arial" w:eastAsia="Arial" w:hAnsi="Arial"/>
          <w:sz w:val="18"/>
          <w:szCs w:val="18"/>
          <w:color w:val="auto"/>
        </w:rPr>
        <w:t>/ Expenses are summarized in the following table,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691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8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w w:val="94"/>
              </w:rPr>
              <w:t>Three months ended September 30,</w:t>
            </w:r>
          </w:p>
        </w:tc>
        <w:tc>
          <w:tcPr>
            <w:tcW w:w="14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
        </w:trPr>
        <w:tc>
          <w:tcPr>
            <w:tcW w:w="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8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580" w:type="dxa"/>
            <w:vAlign w:val="bottom"/>
          </w:tcPr>
          <w:p>
            <w:pPr>
              <w:jc w:val="right"/>
              <w:ind w:right="390"/>
              <w:spacing w:after="0"/>
              <w:rPr>
                <w:sz w:val="20"/>
                <w:szCs w:val="20"/>
                <w:color w:val="auto"/>
              </w:rPr>
            </w:pPr>
            <w:r>
              <w:rPr>
                <w:rFonts w:ascii="Arial" w:cs="Arial" w:eastAsia="Arial" w:hAnsi="Arial"/>
                <w:sz w:val="18"/>
                <w:szCs w:val="18"/>
                <w:b w:val="1"/>
                <w:bCs w:val="1"/>
                <w:color w:val="auto"/>
              </w:rPr>
              <w:t>% of Total</w:t>
            </w:r>
          </w:p>
        </w:tc>
        <w:tc>
          <w:tcPr>
            <w:tcW w:w="400" w:type="dxa"/>
            <w:vAlign w:val="bottom"/>
          </w:tcPr>
          <w:p>
            <w:pPr>
              <w:spacing w:after="0"/>
              <w:rPr>
                <w:sz w:val="20"/>
                <w:szCs w:val="20"/>
                <w:color w:val="auto"/>
              </w:rPr>
            </w:pPr>
          </w:p>
        </w:tc>
        <w:tc>
          <w:tcPr>
            <w:tcW w:w="1300" w:type="dxa"/>
            <w:vAlign w:val="bottom"/>
          </w:tcPr>
          <w:p>
            <w:pPr>
              <w:jc w:val="right"/>
              <w:ind w:right="690"/>
              <w:spacing w:after="0"/>
              <w:rPr>
                <w:sz w:val="20"/>
                <w:szCs w:val="20"/>
                <w:color w:val="auto"/>
              </w:rPr>
            </w:pPr>
            <w:r>
              <w:rPr>
                <w:rFonts w:ascii="Arial" w:cs="Arial" w:eastAsia="Arial" w:hAnsi="Arial"/>
                <w:sz w:val="18"/>
                <w:szCs w:val="18"/>
                <w:color w:val="auto"/>
              </w:rPr>
              <w:t>2017</w:t>
            </w:r>
          </w:p>
        </w:tc>
        <w:tc>
          <w:tcPr>
            <w:tcW w:w="1480" w:type="dxa"/>
            <w:vAlign w:val="bottom"/>
            <w:gridSpan w:val="2"/>
          </w:tcPr>
          <w:p>
            <w:pPr>
              <w:ind w:left="280"/>
              <w:spacing w:after="0"/>
              <w:rPr>
                <w:sz w:val="20"/>
                <w:szCs w:val="20"/>
                <w:color w:val="auto"/>
              </w:rPr>
            </w:pPr>
            <w:r>
              <w:rPr>
                <w:rFonts w:ascii="Arial" w:cs="Arial" w:eastAsia="Arial" w:hAnsi="Arial"/>
                <w:sz w:val="18"/>
                <w:szCs w:val="18"/>
                <w:color w:val="auto"/>
              </w:rPr>
              <w:t>% of Total</w:t>
            </w:r>
          </w:p>
        </w:tc>
      </w:tr>
      <w:tr>
        <w:trPr>
          <w:trHeight w:val="27"/>
        </w:trPr>
        <w:tc>
          <w:tcPr>
            <w:tcW w:w="80" w:type="dxa"/>
            <w:vAlign w:val="bottom"/>
            <w:tcBorders>
              <w:bottom w:val="single" w:sz="8" w:color="auto"/>
            </w:tcBorders>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4"/>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Research, development, collaborations and contracts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16,566</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49 %</w:t>
            </w: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15,537</w:t>
            </w:r>
          </w:p>
        </w:tc>
        <w:tc>
          <w:tcPr>
            <w:tcW w:w="14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21"/>
                <w:szCs w:val="21"/>
                <w:color w:val="auto"/>
              </w:rPr>
            </w:pP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2,631</w:t>
            </w: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rPr>
              <w:t>8 %</w:t>
            </w:r>
          </w:p>
        </w:tc>
        <w:tc>
          <w:tcPr>
            <w:tcW w:w="400" w:type="dxa"/>
            <w:vAlign w:val="bottom"/>
          </w:tcPr>
          <w:p>
            <w:pPr>
              <w:spacing w:after="0"/>
              <w:rPr>
                <w:sz w:val="21"/>
                <w:szCs w:val="21"/>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3,659</w:t>
            </w:r>
          </w:p>
        </w:tc>
        <w:tc>
          <w:tcPr>
            <w:tcW w:w="1420" w:type="dxa"/>
            <w:vAlign w:val="bottom"/>
          </w:tcPr>
          <w:p>
            <w:pPr>
              <w:ind w:left="102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497</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1 %</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593</w:t>
            </w:r>
          </w:p>
        </w:tc>
        <w:tc>
          <w:tcPr>
            <w:tcW w:w="142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1"/>
                <w:szCs w:val="21"/>
                <w:color w:val="auto"/>
              </w:rPr>
            </w:pP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Site consolidation</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(492)</w:t>
            </w:r>
          </w:p>
        </w:tc>
        <w:tc>
          <w:tcPr>
            <w:tcW w:w="158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400" w:type="dxa"/>
            <w:vAlign w:val="bottom"/>
          </w:tcPr>
          <w:p>
            <w:pPr>
              <w:spacing w:after="0"/>
              <w:rPr>
                <w:sz w:val="21"/>
                <w:szCs w:val="21"/>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020"/>
              <w:spacing w:after="0"/>
              <w:rPr>
                <w:sz w:val="20"/>
                <w:szCs w:val="20"/>
                <w:color w:val="auto"/>
              </w:rPr>
            </w:pPr>
            <w:r>
              <w:rPr>
                <w:rFonts w:ascii="Arial" w:cs="Arial" w:eastAsia="Arial" w:hAnsi="Arial"/>
                <w:sz w:val="18"/>
                <w:szCs w:val="18"/>
                <w:color w:val="auto"/>
              </w:rPr>
              <w:t>—%</w:t>
            </w:r>
          </w:p>
        </w:tc>
      </w:tr>
      <w:tr>
        <w:trPr>
          <w:trHeight w:val="27"/>
        </w:trPr>
        <w:tc>
          <w:tcPr>
            <w:tcW w:w="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27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Impairment of intangible assets</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14,811</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43 %</w:t>
            </w: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3"/>
                <w:szCs w:val="23"/>
                <w:color w:val="auto"/>
              </w:rPr>
            </w:pPr>
          </w:p>
        </w:tc>
      </w:tr>
      <w:tr>
        <w:trPr>
          <w:trHeight w:val="237"/>
        </w:trPr>
        <w:tc>
          <w:tcPr>
            <w:tcW w:w="496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34,013</w:t>
            </w:r>
          </w:p>
        </w:tc>
        <w:tc>
          <w:tcPr>
            <w:tcW w:w="15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19,789</w:t>
            </w:r>
          </w:p>
        </w:tc>
        <w:tc>
          <w:tcPr>
            <w:tcW w:w="14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7"/>
        </w:trPr>
        <w:tc>
          <w:tcPr>
            <w:tcW w:w="80" w:type="dxa"/>
            <w:vAlign w:val="bottom"/>
            <w:tcBorders>
              <w:bottom w:val="single" w:sz="8" w:color="auto"/>
            </w:tcBorders>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3"/>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345"/>
        </w:trPr>
        <w:tc>
          <w:tcPr>
            <w:tcW w:w="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3"/>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37"/>
        </w:trPr>
        <w:tc>
          <w:tcPr>
            <w:tcW w:w="8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8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w w:val="98"/>
              </w:rPr>
              <w:t>Nine months ended September 30,</w:t>
            </w:r>
          </w:p>
        </w:tc>
        <w:tc>
          <w:tcPr>
            <w:tcW w:w="14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
        </w:trPr>
        <w:tc>
          <w:tcPr>
            <w:tcW w:w="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37"/>
        </w:trPr>
        <w:tc>
          <w:tcPr>
            <w:tcW w:w="8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580" w:type="dxa"/>
            <w:vAlign w:val="bottom"/>
          </w:tcPr>
          <w:p>
            <w:pPr>
              <w:jc w:val="right"/>
              <w:ind w:right="290"/>
              <w:spacing w:after="0"/>
              <w:rPr>
                <w:sz w:val="20"/>
                <w:szCs w:val="20"/>
                <w:color w:val="auto"/>
              </w:rPr>
            </w:pPr>
            <w:r>
              <w:rPr>
                <w:rFonts w:ascii="Arial" w:cs="Arial" w:eastAsia="Arial" w:hAnsi="Arial"/>
                <w:sz w:val="18"/>
                <w:szCs w:val="18"/>
                <w:b w:val="1"/>
                <w:bCs w:val="1"/>
                <w:color w:val="auto"/>
              </w:rPr>
              <w:t>% of Total</w:t>
            </w:r>
          </w:p>
        </w:tc>
        <w:tc>
          <w:tcPr>
            <w:tcW w:w="400" w:type="dxa"/>
            <w:vAlign w:val="bottom"/>
          </w:tcPr>
          <w:p>
            <w:pPr>
              <w:spacing w:after="0"/>
              <w:rPr>
                <w:sz w:val="20"/>
                <w:szCs w:val="20"/>
                <w:color w:val="auto"/>
              </w:rPr>
            </w:pPr>
          </w:p>
        </w:tc>
        <w:tc>
          <w:tcPr>
            <w:tcW w:w="1300" w:type="dxa"/>
            <w:vAlign w:val="bottom"/>
          </w:tcPr>
          <w:p>
            <w:pPr>
              <w:jc w:val="right"/>
              <w:ind w:right="610"/>
              <w:spacing w:after="0"/>
              <w:rPr>
                <w:sz w:val="20"/>
                <w:szCs w:val="20"/>
                <w:color w:val="auto"/>
              </w:rPr>
            </w:pPr>
            <w:r>
              <w:rPr>
                <w:rFonts w:ascii="Arial" w:cs="Arial" w:eastAsia="Arial" w:hAnsi="Arial"/>
                <w:sz w:val="18"/>
                <w:szCs w:val="18"/>
                <w:color w:val="auto"/>
              </w:rPr>
              <w:t>2017</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 of Total</w:t>
            </w:r>
          </w:p>
        </w:tc>
      </w:tr>
      <w:tr>
        <w:trPr>
          <w:trHeight w:val="27"/>
        </w:trPr>
        <w:tc>
          <w:tcPr>
            <w:tcW w:w="80" w:type="dxa"/>
            <w:vAlign w:val="bottom"/>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44"/>
        </w:trPr>
        <w:tc>
          <w:tcPr>
            <w:tcW w:w="80" w:type="dxa"/>
            <w:vAlign w:val="bottom"/>
          </w:tcPr>
          <w:p>
            <w:pPr>
              <w:spacing w:after="0"/>
              <w:rPr>
                <w:sz w:val="21"/>
                <w:szCs w:val="21"/>
                <w:color w:val="auto"/>
              </w:rPr>
            </w:pPr>
          </w:p>
        </w:tc>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development, collaborations and contracts</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46,871</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44,854</w:t>
            </w:r>
          </w:p>
        </w:tc>
        <w:tc>
          <w:tcPr>
            <w:tcW w:w="148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w w:val="94"/>
              </w:rPr>
              <w:t>76%</w:t>
            </w:r>
          </w:p>
        </w:tc>
      </w:tr>
      <w:tr>
        <w:trPr>
          <w:trHeight w:val="243"/>
        </w:trPr>
        <w:tc>
          <w:tcPr>
            <w:tcW w:w="80" w:type="dxa"/>
            <w:vAlign w:val="bottom"/>
          </w:tcPr>
          <w:p>
            <w:pPr>
              <w:spacing w:after="0"/>
              <w:rPr>
                <w:sz w:val="21"/>
                <w:szCs w:val="21"/>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rPr>
              <w:t>10,075</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400" w:type="dxa"/>
            <w:vAlign w:val="bottom"/>
          </w:tcPr>
          <w:p>
            <w:pPr>
              <w:spacing w:after="0"/>
              <w:rPr>
                <w:sz w:val="21"/>
                <w:szCs w:val="21"/>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12,586</w:t>
            </w: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w w:val="94"/>
              </w:rPr>
              <w:t>22%</w:t>
            </w:r>
          </w:p>
        </w:tc>
      </w:tr>
      <w:tr>
        <w:trPr>
          <w:trHeight w:val="27"/>
        </w:trPr>
        <w:tc>
          <w:tcPr>
            <w:tcW w:w="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1,677</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1,407</w:t>
            </w:r>
          </w:p>
        </w:tc>
        <w:tc>
          <w:tcPr>
            <w:tcW w:w="148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8"/>
                <w:szCs w:val="18"/>
                <w:color w:val="auto"/>
                <w:w w:val="99"/>
              </w:rPr>
              <w:t>2%</w:t>
            </w:r>
          </w:p>
        </w:tc>
      </w:tr>
      <w:tr>
        <w:trPr>
          <w:trHeight w:val="243"/>
        </w:trPr>
        <w:tc>
          <w:tcPr>
            <w:tcW w:w="80" w:type="dxa"/>
            <w:vAlign w:val="bottom"/>
          </w:tcPr>
          <w:p>
            <w:pPr>
              <w:spacing w:after="0"/>
              <w:rPr>
                <w:sz w:val="21"/>
                <w:szCs w:val="21"/>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Site consolidation</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rPr>
              <w:t>3,710</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400" w:type="dxa"/>
            <w:vAlign w:val="bottom"/>
          </w:tcPr>
          <w:p>
            <w:pPr>
              <w:spacing w:after="0"/>
              <w:rPr>
                <w:sz w:val="21"/>
                <w:szCs w:val="21"/>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w w:val="99"/>
              </w:rPr>
              <w:t>—%</w:t>
            </w:r>
          </w:p>
        </w:tc>
      </w:tr>
      <w:tr>
        <w:trPr>
          <w:trHeight w:val="27"/>
        </w:trPr>
        <w:tc>
          <w:tcPr>
            <w:tcW w:w="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r>
      <w:tr>
        <w:trPr>
          <w:trHeight w:val="275"/>
        </w:trPr>
        <w:tc>
          <w:tcPr>
            <w:tcW w:w="80" w:type="dxa"/>
            <w:vAlign w:val="bottom"/>
          </w:tcPr>
          <w:p>
            <w:pPr>
              <w:spacing w:after="0"/>
              <w:rPr>
                <w:sz w:val="23"/>
                <w:szCs w:val="23"/>
                <w:color w:val="auto"/>
              </w:rPr>
            </w:pPr>
          </w:p>
        </w:tc>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of intangible assets</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14,811</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b w:val="1"/>
                <w:bCs w:val="1"/>
                <w:color w:val="auto"/>
              </w:rPr>
              <w:t>—</w:t>
            </w:r>
          </w:p>
        </w:tc>
      </w:tr>
      <w:tr>
        <w:trPr>
          <w:trHeight w:val="237"/>
        </w:trPr>
        <w:tc>
          <w:tcPr>
            <w:tcW w:w="80" w:type="dxa"/>
            <w:vAlign w:val="bottom"/>
          </w:tcPr>
          <w:p>
            <w:pPr>
              <w:spacing w:after="0"/>
              <w:rPr>
                <w:sz w:val="20"/>
                <w:szCs w:val="20"/>
                <w:color w:val="auto"/>
              </w:rPr>
            </w:pPr>
          </w:p>
        </w:tc>
        <w:tc>
          <w:tcPr>
            <w:tcW w:w="48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38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77,144</w:t>
            </w:r>
          </w:p>
        </w:tc>
        <w:tc>
          <w:tcPr>
            <w:tcW w:w="15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58,847</w:t>
            </w:r>
          </w:p>
        </w:tc>
        <w:tc>
          <w:tcPr>
            <w:tcW w:w="14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r>
      <w:tr>
        <w:trPr>
          <w:trHeight w:val="27"/>
        </w:trPr>
        <w:tc>
          <w:tcPr>
            <w:tcW w:w="8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collaborations and contracts</w:t>
      </w:r>
    </w:p>
    <w:p>
      <w:pPr>
        <w:spacing w:after="0" w:line="225" w:lineRule="exact"/>
        <w:rPr>
          <w:sz w:val="20"/>
          <w:szCs w:val="20"/>
          <w:color w:val="auto"/>
        </w:rPr>
      </w:pPr>
    </w:p>
    <w:p>
      <w:pPr>
        <w:jc w:val="both"/>
        <w:ind w:right="60"/>
        <w:spacing w:after="0" w:line="308" w:lineRule="auto"/>
        <w:rPr>
          <w:sz w:val="20"/>
          <w:szCs w:val="20"/>
          <w:color w:val="auto"/>
        </w:rPr>
      </w:pPr>
      <w:r>
        <w:rPr>
          <w:rFonts w:ascii="Arial" w:cs="Arial" w:eastAsia="Arial" w:hAnsi="Arial"/>
          <w:sz w:val="17"/>
          <w:szCs w:val="17"/>
          <w:color w:val="auto"/>
        </w:rPr>
        <w:t>Research, development, collaborations and contracts expenses consist primarily of clinical and pre-clinical trial expenses, personnel expenses, consulting and third party expenses, consumables and materials, as well as a portion of stock-based compensation and general overhead costs.</w:t>
      </w:r>
    </w:p>
    <w:p>
      <w:pPr>
        <w:spacing w:after="0" w:line="14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R&amp;D expenses increased in both the three and nine months ended September 30, 2018 as compared to the three and nine months ended September 30, 2017. Stock based compensation expense for the nine months ended September 30, 2018 was roughly $4.0 million less than the nine months ended September 30, 2017 due to the expiry of certain share repurchase rights in the third quarter of 2017. Program R&amp;D expenses, however, have increased in the first nine months of 2018 over the first nine months of 2017 as our pipeline expands and goes further into the clinic. In early 2017, we initiated a Phase 1 clinical trial for AB-423. In the first half of 2018 we initiated a Phase I clinical trial in healthy volunteers for AB-506 (capsid inhibitor), which we anticipate to progress into HBV patients in the fourth quarter of 2018. Given the progression of AB-506, we have decided to discontinue additional clinical evaluation of AB-423. During the nine month period ended September 30, 2018, we continued to incur costs related to our clinical programs including IND/CTA-enabling work and CTA regulatory filings for AB-452 (HBV RNA Destabilizer), pre-IND/CTA work on AB-729 (GalNAc-RNAi), as well as our ongoing clinical trial of ARB-1467 in combination with nucs and interferon. In addition, we continue to incur research costs related to our discovery and pre-clinical programs.</w:t>
      </w:r>
    </w:p>
    <w:p>
      <w:pPr>
        <w:spacing w:after="0" w:line="16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 significant portion of our research, development, collaborations and contracts expenses are not tracked by project as they benefit multiple projects or our technology platform and because our most-advanced programs are not yet in late-stage clinical development. However, our collaboration agreements contain cost-sharing arrangements pursuant to which certain costs incurred under the project are reimbursed. Costs reimbursed under collaborations typically include certain direct external costs and hourly or full-time equivalent labor rates for the actual time worked on the project. As a result, although a significant</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368" w:right="259" w:bottom="1440" w:gutter="0" w:footer="0" w:header="0"/>
        </w:sectPr>
      </w:pPr>
    </w:p>
    <w:bookmarkStart w:id="30" w:name="page31"/>
    <w:bookmarkEnd w:id="30"/>
    <w:p>
      <w:pPr>
        <w:ind w:right="600"/>
        <w:spacing w:after="0" w:line="277" w:lineRule="auto"/>
        <w:rPr>
          <w:sz w:val="20"/>
          <w:szCs w:val="20"/>
          <w:color w:val="auto"/>
        </w:rPr>
      </w:pPr>
      <w:r>
        <w:rPr>
          <w:rFonts w:ascii="Arial" w:cs="Arial" w:eastAsia="Arial" w:hAnsi="Arial"/>
          <w:sz w:val="18"/>
          <w:szCs w:val="18"/>
          <w:color w:val="auto"/>
        </w:rPr>
        <w:t>portion of our research, development, collaborations and contracts expenses are not tracked on a project-by-project basis, we do, however, track direct external costs attributable to, and the actual time our employees worked on our collaborations.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General and administrative expenses decreased in the three and nine months ended September 30, 2018 as compared to the three and nine months ended September 30, 2017, due primarily to a decrease in non-cash compensation expense related to the expiry of repurchase rights in the third quarter of 2017, offset by professional fees incurred related to the launch of Genevant Sciences - see Overview.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Site consolidation charges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February 2018, we announced a site consolidation and organizational restructuring to better align our HBV business in Warminster, PA, by reducing our global workforce and closing our Burnaby facility. Most of the employee-related site consolidation expenses have been expensed ratably over the period that employees have provided services, which was substantially complete by June 30, 2018. Further, in the second quarter of 2018, we recorded the cost of remaining lease payments for the remaining term of the Burnaby lease to July 2019, offset by income that we expected to receive under a sublease contract entered into prior to June 30, 2018. There were further sub-leases of our Burnaby facility signed in the third quarter of 2018. These resulted in a credit to site consolidation expense in the third quarter. We have now sub-let approximately 80% of our Burnaby facility. We continue to expect total site consolidation expenses to be approximately $5.0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intangible assets</w:t>
      </w:r>
    </w:p>
    <w:p>
      <w:pPr>
        <w:spacing w:after="0" w:line="11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 the three and nine months ended September 30, 2018, we recorded a non-cash expense for the impairment of intangible assets of $14.8 million ($10.5 million net of tax benefit) for the indefinite delay of further development of our AB-423 program due to the successful progression of our AB-506 program.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income (losses) / </w:t>
      </w:r>
      <w:r>
        <w:rPr>
          <w:rFonts w:ascii="Arial" w:cs="Arial" w:eastAsia="Arial" w:hAnsi="Arial"/>
          <w:sz w:val="18"/>
          <w:szCs w:val="18"/>
          <w:color w:val="auto"/>
        </w:rPr>
        <w:t>Other income (losses) are summarized in the following table,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102870</wp:posOffset>
            </wp:positionV>
            <wp:extent cx="66636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40" w:type="dxa"/>
            <w:vAlign w:val="bottom"/>
            <w:gridSpan w:val="4"/>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0"/>
                <w:szCs w:val="20"/>
                <w:color w:val="auto"/>
              </w:rPr>
            </w:pPr>
          </w:p>
        </w:tc>
        <w:tc>
          <w:tcPr>
            <w:tcW w:w="254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4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23"/>
                <w:szCs w:val="23"/>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820" w:type="dxa"/>
            <w:vAlign w:val="bottom"/>
          </w:tcPr>
          <w:p>
            <w:pPr>
              <w:spacing w:after="0"/>
              <w:rPr>
                <w:sz w:val="23"/>
                <w:szCs w:val="23"/>
                <w:color w:val="auto"/>
              </w:rPr>
            </w:pPr>
          </w:p>
        </w:tc>
      </w:tr>
      <w:tr>
        <w:trPr>
          <w:trHeight w:val="27"/>
        </w:trPr>
        <w:tc>
          <w:tcPr>
            <w:tcW w:w="47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ind w:left="16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0"/>
                <w:szCs w:val="20"/>
                <w:color w:val="auto"/>
              </w:rPr>
            </w:pPr>
          </w:p>
        </w:tc>
        <w:tc>
          <w:tcPr>
            <w:tcW w:w="11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w w:val="89"/>
              </w:rPr>
              <w:t>2017</w:t>
            </w:r>
          </w:p>
        </w:tc>
      </w:tr>
      <w:tr>
        <w:trPr>
          <w:trHeight w:val="27"/>
        </w:trPr>
        <w:tc>
          <w:tcPr>
            <w:tcW w:w="47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2,319</w:t>
            </w:r>
          </w:p>
        </w:tc>
        <w:tc>
          <w:tcPr>
            <w:tcW w:w="6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6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28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(104)</w:t>
            </w:r>
          </w:p>
        </w:tc>
        <w:tc>
          <w:tcPr>
            <w:tcW w:w="6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7"/>
        </w:trPr>
        <w:tc>
          <w:tcPr>
            <w:tcW w:w="4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gains (losses)</w:t>
            </w:r>
          </w:p>
        </w:tc>
        <w:tc>
          <w:tcPr>
            <w:tcW w:w="6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1,233</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(740)</w:t>
            </w:r>
          </w:p>
        </w:tc>
        <w:tc>
          <w:tcPr>
            <w:tcW w:w="6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2,458</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Gain on investment</w:t>
            </w:r>
          </w:p>
        </w:tc>
        <w:tc>
          <w:tcPr>
            <w:tcW w:w="6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rPr>
              <w:t>24,884</w:t>
            </w:r>
          </w:p>
        </w:tc>
        <w:tc>
          <w:tcPr>
            <w:tcW w:w="6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fair value of warrant liability</w:t>
            </w:r>
          </w:p>
        </w:tc>
        <w:tc>
          <w:tcPr>
            <w:tcW w:w="6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Equity investment income (loss)</w:t>
            </w:r>
          </w:p>
        </w:tc>
        <w:tc>
          <w:tcPr>
            <w:tcW w:w="6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(2,838)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(2,838)</w:t>
            </w:r>
          </w:p>
        </w:tc>
        <w:tc>
          <w:tcPr>
            <w:tcW w:w="6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Decrease (increase) in fair value of contingent consideration</w:t>
            </w:r>
          </w:p>
        </w:tc>
        <w:tc>
          <w:tcPr>
            <w:tcW w:w="6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5,608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6,263</w:t>
            </w:r>
          </w:p>
        </w:tc>
        <w:tc>
          <w:tcPr>
            <w:tcW w:w="6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w:t>
            </w:r>
          </w:p>
        </w:tc>
      </w:tr>
      <w:tr>
        <w:trPr>
          <w:trHeight w:val="237"/>
        </w:trPr>
        <w:tc>
          <w:tcPr>
            <w:tcW w:w="4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other income (losses)</w:t>
            </w:r>
          </w:p>
        </w:tc>
        <w:tc>
          <w:tcPr>
            <w:tcW w:w="6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3,671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1,297</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29,784</w:t>
            </w:r>
          </w:p>
        </w:tc>
        <w:tc>
          <w:tcPr>
            <w:tcW w:w="6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2,199</w:t>
            </w:r>
          </w:p>
        </w:tc>
      </w:tr>
      <w:tr>
        <w:trPr>
          <w:trHeight w:val="27"/>
        </w:trPr>
        <w:tc>
          <w:tcPr>
            <w:tcW w:w="47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As described in our quantitative and qualitative disclosures about market risk in our Annual Report on Form 10-K for the year ended December 31, 2017, we invest our cash reserves in high interest savings accounts and guaranteed investment certificates and term deposits with varying terms to maturity (not exceeding two years) issued by major banks. The increase in interest income for the three and nine months ended September 30, 2018 is due to the proceeds received from the Series A participating convertible preferred shares (the "Preferred Shares") sold to Roivant (as further described in note 6 of our condensed consolidated financial statements) and more favorable interest rates during 2018.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gains (losses)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continue to incur substantial expenses and hold cash and investment balances in Canadian dollars, and as such, will remain subject to risks associated with foreign currency fluctuations. For the nine months ended September 30, 2018, we recorded foreign exchange losses, which are primarily unrealized losses related to the depreciation in value of our Canadian dollar funds,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68" w:right="239" w:bottom="1440" w:gutter="0" w:footer="0" w:header="0"/>
        </w:sectPr>
      </w:pPr>
    </w:p>
    <w:bookmarkStart w:id="31" w:name="page32"/>
    <w:bookmarkEnd w:id="31"/>
    <w:p>
      <w:pPr>
        <w:ind w:right="80"/>
        <w:spacing w:after="0" w:line="286" w:lineRule="auto"/>
        <w:rPr>
          <w:sz w:val="20"/>
          <w:szCs w:val="20"/>
          <w:color w:val="auto"/>
        </w:rPr>
      </w:pPr>
      <w:r>
        <w:rPr>
          <w:rFonts w:ascii="Arial" w:cs="Arial" w:eastAsia="Arial" w:hAnsi="Arial"/>
          <w:sz w:val="17"/>
          <w:szCs w:val="17"/>
          <w:color w:val="auto"/>
        </w:rPr>
        <w:t>from the previous period, when converted to our functional currency of U.S. dollars. For the three months ended September 30, 2018, we recorded a foreign exchange gain as the Canadian dollar appreciated against the U.S. dollar. In the future, we expect that the proportion of cash and investment balances and expenses incurred in Canadian dollars, relative to U.S. dollars, will continue to decrease as a result of the site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investment in Genevant</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As described in Management's Discussion and Analysis of Financial Condition and Results of Operations - Overview section of this discussion and in the Notes to the Condensed Consolidated Financial Statements, in the second quarter of 2018, together with Roivant, we launched Genevant, a jointly-owned company focused on the discovery, development, and commercialization of a broad range of RNA-based therapeutics enabled by our Delivery Technologies. This transaction, together with a subsequent secondary financing of Genevant, resulted in a gain on investment of $24.9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Decrease (increase) in fair value of contingent consideration</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Contingent consideration is a liability assumed by the Company from our acquisition of Arbutus Inc. in March 2015. In general, increases in the fair value of the contingent consideration are related to the progress of our programs as they get closer to triggering contingent payments. The decrease in contingent consideration for the three and nine months ended September 30, 2018 is primarily due to our decision in the third quarter of 2018 to indefinitely delay further clinical development of AB-423 thereby reducing the probability of achieving future development milestones, as well as a recalibration in the timing of future sales milestones being achieved, resulting in a reduction in the estimated fair value of the liability.</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activities for the periods indicated,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20" w:type="dxa"/>
            <w:vAlign w:val="bottom"/>
            <w:gridSpan w:val="5"/>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20"/>
                <w:szCs w:val="20"/>
                <w:color w:val="auto"/>
              </w:rPr>
            </w:pPr>
          </w:p>
        </w:tc>
        <w:tc>
          <w:tcPr>
            <w:tcW w:w="2720" w:type="dxa"/>
            <w:vAlign w:val="bottom"/>
            <w:gridSpan w:val="4"/>
          </w:tcPr>
          <w:p>
            <w:pPr>
              <w:jc w:val="center"/>
              <w:ind w:right="230"/>
              <w:spacing w:after="0"/>
              <w:rPr>
                <w:sz w:val="20"/>
                <w:szCs w:val="20"/>
                <w:color w:val="auto"/>
              </w:rPr>
            </w:pPr>
            <w:r>
              <w:rPr>
                <w:rFonts w:ascii="Arial" w:cs="Arial" w:eastAsia="Arial" w:hAnsi="Arial"/>
                <w:sz w:val="18"/>
                <w:szCs w:val="18"/>
                <w:b w:val="1"/>
                <w:bCs w:val="1"/>
                <w:color w:val="auto"/>
                <w:w w:val="88"/>
              </w:rPr>
              <w:t>Nine months ended</w:t>
            </w:r>
          </w:p>
        </w:tc>
        <w:tc>
          <w:tcPr>
            <w:tcW w:w="0" w:type="dxa"/>
            <w:vAlign w:val="bottom"/>
          </w:tcPr>
          <w:p>
            <w:pPr>
              <w:spacing w:after="0"/>
              <w:rPr>
                <w:sz w:val="1"/>
                <w:szCs w:val="1"/>
                <w:color w:val="auto"/>
              </w:rPr>
            </w:pPr>
          </w:p>
        </w:tc>
      </w:tr>
      <w:tr>
        <w:trPr>
          <w:trHeight w:val="270"/>
        </w:trPr>
        <w:tc>
          <w:tcPr>
            <w:tcW w:w="4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89"/>
              </w:rPr>
              <w:t>September 30,</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for the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(24,473)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(38,811)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(48,482)</w:t>
            </w:r>
          </w:p>
        </w:tc>
        <w:tc>
          <w:tcPr>
            <w:tcW w:w="0" w:type="dxa"/>
            <w:vAlign w:val="bottom"/>
          </w:tcPr>
          <w:p>
            <w:pPr>
              <w:spacing w:after="0"/>
              <w:rPr>
                <w:sz w:val="1"/>
                <w:szCs w:val="1"/>
                <w:color w:val="auto"/>
              </w:rPr>
            </w:pPr>
          </w:p>
        </w:tc>
      </w:tr>
      <w:tr>
        <w:trPr>
          <w:trHeight w:val="229"/>
        </w:trPr>
        <w:tc>
          <w:tcPr>
            <w:tcW w:w="4280" w:type="dxa"/>
            <w:vAlign w:val="bottom"/>
          </w:tcPr>
          <w:p>
            <w:pPr>
              <w:ind w:left="40"/>
              <w:spacing w:after="0"/>
              <w:rPr>
                <w:sz w:val="20"/>
                <w:szCs w:val="20"/>
                <w:color w:val="auto"/>
              </w:rPr>
            </w:pPr>
            <w:r>
              <w:rPr>
                <w:rFonts w:ascii="Arial" w:cs="Arial" w:eastAsia="Arial" w:hAnsi="Arial"/>
                <w:sz w:val="18"/>
                <w:szCs w:val="18"/>
                <w:color w:val="auto"/>
                <w:w w:val="92"/>
              </w:rPr>
              <w:t>Adjustments to reconcile net loss to net cash provided by</w:t>
            </w:r>
          </w:p>
        </w:tc>
        <w:tc>
          <w:tcPr>
            <w:tcW w:w="340" w:type="dxa"/>
            <w:vAlign w:val="bottom"/>
          </w:tcPr>
          <w:p>
            <w:pPr>
              <w:spacing w:after="0"/>
              <w:rPr>
                <w:sz w:val="19"/>
                <w:szCs w:val="19"/>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9,927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(9,493)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3,441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13,582</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1,342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0" w:type="dxa"/>
            <w:vAlign w:val="bottom"/>
          </w:tcPr>
          <w:p>
            <w:pPr>
              <w:spacing w:after="0"/>
              <w:rPr>
                <w:sz w:val="1"/>
                <w:szCs w:val="1"/>
                <w:color w:val="auto"/>
              </w:rPr>
            </w:pPr>
          </w:p>
        </w:tc>
      </w:tr>
      <w:tr>
        <w:trPr>
          <w:trHeight w:val="237"/>
        </w:trPr>
        <w:tc>
          <w:tcPr>
            <w:tcW w:w="4280" w:type="dxa"/>
            <w:vAlign w:val="bottom"/>
          </w:tcPr>
          <w:p>
            <w:pPr>
              <w:ind w:left="8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(13,204)</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(15,680)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(50,791)</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(38,298)</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24,378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(48,911)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27,116</w:t>
            </w:r>
          </w:p>
        </w:tc>
        <w:tc>
          <w:tcPr>
            <w:tcW w:w="0" w:type="dxa"/>
            <w:vAlign w:val="bottom"/>
          </w:tcPr>
          <w:p>
            <w:pPr>
              <w:spacing w:after="0"/>
              <w:rPr>
                <w:sz w:val="1"/>
                <w:szCs w:val="1"/>
                <w:color w:val="auto"/>
              </w:rPr>
            </w:pPr>
          </w:p>
        </w:tc>
      </w:tr>
      <w:tr>
        <w:trPr>
          <w:trHeight w:val="243"/>
        </w:trPr>
        <w:tc>
          <w:tcPr>
            <w:tcW w:w="4280" w:type="dxa"/>
            <w:vAlign w:val="bottom"/>
          </w:tcPr>
          <w:p>
            <w:pPr>
              <w:ind w:left="8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435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55,537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3"/>
              </w:rPr>
              <w:t>Effect of foreign exchange rate changes on cash &amp; cash</w:t>
            </w:r>
          </w:p>
        </w:tc>
        <w:tc>
          <w:tcPr>
            <w:tcW w:w="34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(795)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equivalents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2,575</w:t>
            </w:r>
          </w:p>
        </w:tc>
        <w:tc>
          <w:tcPr>
            <w:tcW w:w="0" w:type="dxa"/>
            <w:vAlign w:val="bottom"/>
          </w:tcPr>
          <w:p>
            <w:pPr>
              <w:spacing w:after="0"/>
              <w:rPr>
                <w:sz w:val="1"/>
                <w:szCs w:val="1"/>
                <w:color w:val="auto"/>
              </w:rPr>
            </w:pPr>
          </w:p>
        </w:tc>
      </w:tr>
      <w:tr>
        <w:trPr>
          <w:trHeight w:val="209"/>
        </w:trPr>
        <w:tc>
          <w:tcPr>
            <w:tcW w:w="4280" w:type="dxa"/>
            <w:vAlign w:val="bottom"/>
          </w:tcPr>
          <w:p>
            <w:pPr>
              <w:ind w:left="40"/>
              <w:spacing w:after="0"/>
              <w:rPr>
                <w:sz w:val="20"/>
                <w:szCs w:val="20"/>
                <w:color w:val="auto"/>
              </w:rPr>
            </w:pPr>
            <w:r>
              <w:rPr>
                <w:rFonts w:ascii="Arial" w:cs="Arial" w:eastAsia="Arial" w:hAnsi="Arial"/>
                <w:sz w:val="18"/>
                <w:szCs w:val="18"/>
                <w:color w:val="auto"/>
                <w:w w:val="96"/>
              </w:rPr>
              <w:t>Net (decrease) increase in cash, cash equivalents, and</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11,740</w:t>
            </w: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(44,960)</w:t>
            </w: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(8,987)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(8,188)</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Cash, cash equivalents, and restricted cash, beginning of</w:t>
            </w:r>
          </w:p>
        </w:tc>
        <w:tc>
          <w:tcPr>
            <w:tcW w:w="34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10,193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66,893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period</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23,413</w:t>
            </w:r>
          </w:p>
        </w:tc>
        <w:tc>
          <w:tcPr>
            <w:tcW w:w="0" w:type="dxa"/>
            <w:vAlign w:val="bottom"/>
          </w:tcPr>
          <w:p>
            <w:pPr>
              <w:spacing w:after="0"/>
              <w:rPr>
                <w:sz w:val="1"/>
                <w:szCs w:val="1"/>
                <w:color w:val="auto"/>
              </w:rPr>
            </w:pPr>
          </w:p>
        </w:tc>
      </w:tr>
      <w:tr>
        <w:trPr>
          <w:trHeight w:val="205"/>
        </w:trPr>
        <w:tc>
          <w:tcPr>
            <w:tcW w:w="428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6"/>
              </w:rPr>
              <w:t>Cash, cash equivalents, and restricted cash, end of</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period</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21,933</w:t>
            </w: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15,225</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21,933</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15,225</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Since our incorporation, we have financed our operations through the sales of shares, units, debt, revenues from research and development collaborations and licenses with corporate partners, interest income on funds available for investment, and government contracts, grants and tax credits.</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September 30, 2018, we had an aggregate of $142.0 million in cash and cash equivalents and short-term investments, as compared to an aggregate of $139.0 million in cash and cash equivalents, short-term investments, and restricted investments at December 31, 2017.</w:t>
      </w: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368" w:right="319" w:bottom="1440" w:gutter="0" w:footer="0" w:header="0"/>
        </w:sectPr>
      </w:pPr>
    </w:p>
    <w:bookmarkStart w:id="32" w:name="page33"/>
    <w:bookmarkEnd w:id="32"/>
    <w:p>
      <w:pPr>
        <w:ind w:right="40"/>
        <w:spacing w:after="0" w:line="259" w:lineRule="auto"/>
        <w:rPr>
          <w:sz w:val="20"/>
          <w:szCs w:val="20"/>
          <w:color w:val="auto"/>
        </w:rPr>
      </w:pPr>
      <w:r>
        <w:rPr>
          <w:rFonts w:ascii="Arial" w:cs="Arial" w:eastAsia="Arial" w:hAnsi="Arial"/>
          <w:sz w:val="18"/>
          <w:szCs w:val="18"/>
          <w:color w:val="auto"/>
        </w:rPr>
        <w:t>For the nine months ended September 30, 2018, operating activities used $50.8 million in cash as compared to $38.3 million of cash used in the nine months ended September 30, 2017. The increase in net cash used in operating activities is largely related to increased development spending along with site consolidation expenses in the nine months ended September 30, 2018 and, conversely, cash in-flows from the Alexion collaboration in the nine months ended September 30, 2017.</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nine months ended September 30, 2018, investing activities decreased cash by $48.9 million as we invested the cash received from the preferred share financing in short-term investments.</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For the nine months ended September 30, 2018, financing activities increased cash by $55.5 million due to the completion of the second tranche of the Preferred Shares financing netting $66.3 million, offset by repayment of our promissory note to Wells Fargo.</w:t>
      </w:r>
    </w:p>
    <w:p>
      <w:pPr>
        <w:spacing w:after="0" w:line="16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Cash requirements / </w:t>
      </w:r>
      <w:r>
        <w:rPr>
          <w:rFonts w:ascii="Arial" w:cs="Arial" w:eastAsia="Arial" w:hAnsi="Arial"/>
          <w:sz w:val="18"/>
          <w:szCs w:val="18"/>
          <w:color w:val="auto"/>
        </w:rPr>
        <w:t>As of September 30, 2018 we held an aggregate of $142.0 million in cash, comprised of $21.9 million in cash and cash equivalents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$120.1 million in short-term investments. In October 2017, we announced that we had entered into a subscription agreement with Roivant for the sale of Preferred Shares to Roivant for gross proceeds of $116.4 million. The initial investment of $50.0 million closed in October 2017, and the remaining amount of $66.4 million closed in January 2018.</w:t>
      </w:r>
    </w:p>
    <w:p>
      <w:pPr>
        <w:spacing w:after="0" w:line="18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believe we have sufficient cash resources to fund our operations for at least the next 12 months. In the future, substantial additional funds will be required to continue with the active development of our pipeline products and technologies. In particular, our funding needs may vary depending on a number of factors including:</w:t>
      </w:r>
    </w:p>
    <w:p>
      <w:pPr>
        <w:spacing w:after="0" w:line="208" w:lineRule="exact"/>
        <w:rPr>
          <w:sz w:val="20"/>
          <w:szCs w:val="20"/>
          <w:color w:val="auto"/>
        </w:rPr>
      </w:pPr>
    </w:p>
    <w:p>
      <w:pPr>
        <w:ind w:left="1360" w:hanging="542"/>
        <w:spacing w:after="0"/>
        <w:tabs>
          <w:tab w:leader="none" w:pos="1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need for additional capital to fund future business development programs;</w:t>
      </w:r>
    </w:p>
    <w:p>
      <w:pPr>
        <w:spacing w:after="0" w:line="23" w:lineRule="exact"/>
        <w:rPr>
          <w:rFonts w:ascii="Arial" w:cs="Arial" w:eastAsia="Arial" w:hAnsi="Arial"/>
          <w:sz w:val="18"/>
          <w:szCs w:val="18"/>
          <w:color w:val="auto"/>
        </w:rPr>
      </w:pPr>
    </w:p>
    <w:p>
      <w:pPr>
        <w:ind w:left="1300" w:right="120" w:hanging="482"/>
        <w:spacing w:after="0" w:line="258"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revenue earned from our legacy collaborative partnerships and licensing agreements, including potential royalty payments from Alnylam's Onpattro;</w:t>
      </w:r>
    </w:p>
    <w:p>
      <w:pPr>
        <w:ind w:left="1300" w:hanging="48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revenue earned from ongoing collaborative partnerships, including milestone and royalty payments;</w:t>
      </w:r>
    </w:p>
    <w:p>
      <w:pPr>
        <w:spacing w:after="0" w:line="9" w:lineRule="exact"/>
        <w:rPr>
          <w:rFonts w:ascii="Arial" w:cs="Arial" w:eastAsia="Arial" w:hAnsi="Arial"/>
          <w:sz w:val="18"/>
          <w:szCs w:val="18"/>
          <w:color w:val="auto"/>
        </w:rPr>
      </w:pPr>
    </w:p>
    <w:p>
      <w:pPr>
        <w:ind w:left="1300" w:right="860" w:hanging="482"/>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continue the development of our product candidates, add new product candidates to our pipeline, or form collaborative relationships to advance our products;</w:t>
      </w:r>
    </w:p>
    <w:p>
      <w:pPr>
        <w:ind w:left="1300" w:hanging="482"/>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decisions to in-license or acquire additional products or technology for development, in particular for our HBV therapeutics programs;</w:t>
      </w:r>
    </w:p>
    <w:p>
      <w:pPr>
        <w:spacing w:after="0" w:line="32" w:lineRule="exact"/>
        <w:rPr>
          <w:rFonts w:ascii="Arial" w:cs="Arial" w:eastAsia="Arial" w:hAnsi="Arial"/>
          <w:sz w:val="16"/>
          <w:szCs w:val="16"/>
          <w:color w:val="auto"/>
        </w:rPr>
      </w:pPr>
    </w:p>
    <w:p>
      <w:pPr>
        <w:ind w:left="1300" w:hanging="482"/>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attract and retain corporate partners, and their effectiveness in carrying out the development and ultimate commercialization of our product candidates;</w:t>
      </w:r>
    </w:p>
    <w:p>
      <w:pPr>
        <w:ind w:left="1300" w:hanging="482"/>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whether batches of drugs that we manufacture fail to meet specifications resulting in delays and investigational and remanufacturing costs;</w:t>
      </w:r>
    </w:p>
    <w:p>
      <w:pPr>
        <w:spacing w:after="0" w:line="32" w:lineRule="exact"/>
        <w:rPr>
          <w:rFonts w:ascii="Arial" w:cs="Arial" w:eastAsia="Arial" w:hAnsi="Arial"/>
          <w:sz w:val="16"/>
          <w:szCs w:val="16"/>
          <w:color w:val="auto"/>
        </w:rPr>
      </w:pPr>
    </w:p>
    <w:p>
      <w:pPr>
        <w:ind w:left="1300" w:hanging="48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decisions, and the timing of decisions, made by health regulatory agencies regarding our technology and products;</w:t>
      </w:r>
    </w:p>
    <w:p>
      <w:pPr>
        <w:spacing w:after="0" w:line="9" w:lineRule="exact"/>
        <w:rPr>
          <w:rFonts w:ascii="Arial" w:cs="Arial" w:eastAsia="Arial" w:hAnsi="Arial"/>
          <w:sz w:val="18"/>
          <w:szCs w:val="18"/>
          <w:color w:val="auto"/>
        </w:rPr>
      </w:pPr>
    </w:p>
    <w:p>
      <w:pPr>
        <w:ind w:left="1300" w:hanging="48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competing technological and market developments;</w:t>
      </w:r>
    </w:p>
    <w:p>
      <w:pPr>
        <w:spacing w:after="0" w:line="9" w:lineRule="exact"/>
        <w:rPr>
          <w:rFonts w:ascii="Arial" w:cs="Arial" w:eastAsia="Arial" w:hAnsi="Arial"/>
          <w:sz w:val="18"/>
          <w:szCs w:val="18"/>
          <w:color w:val="auto"/>
        </w:rPr>
      </w:pPr>
    </w:p>
    <w:p>
      <w:pPr>
        <w:ind w:left="1300" w:right="140" w:hanging="482"/>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associated with prosecuting and enforcing our patent claims and other intellectual property rights, including litigation and arbitration arising in the course of our business activities; and</w:t>
      </w:r>
    </w:p>
    <w:p>
      <w:pPr>
        <w:ind w:left="1300" w:hanging="48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associated with our site consolidation plans.</w:t>
      </w:r>
    </w:p>
    <w:p>
      <w:pPr>
        <w:spacing w:after="0" w:line="21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intend to seek to obtain funding to maintain and advance our business from a variety of sources including public or private equity or debt financing, collaborative arrangements with pharmaceutical companies and government grants and contracts. There can be no assurance that funding will be available at all or on acceptable terms to permit further development of our products.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adequate funding is not available, we may be required to delay, reduce or eliminate one or more of our research or development programs or reduce expenses associated with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368" w:right="259" w:bottom="1440" w:gutter="0" w:footer="0" w:header="0"/>
        </w:sectPr>
      </w:pPr>
    </w:p>
    <w:bookmarkStart w:id="33" w:name="page34"/>
    <w:bookmarkEnd w:id="33"/>
    <w:p>
      <w:pPr>
        <w:spacing w:after="0"/>
        <w:tabs>
          <w:tab w:leader="none" w:pos="9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in our quantitative and qualitative disclosures about market risk from those disclosed in our Annual Report on Form 10-K for the year ended December 31, 2017.</w:t>
      </w:r>
    </w:p>
    <w:p>
      <w:pPr>
        <w:spacing w:after="0" w:line="16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the effectiveness of our disclosure controls and procedures as of September 30, 2018. The term “disclosure controls and procedures”, as defined in Rules 13a-15(e) and 15d-15(e) under the Exchange Act, means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particularly during the period in which this Quarterly Report on Form 10-Q was being prepared. Management recognizes that any controls and procedures, no matter how well designed and operated, can provide only reasonable assurance of achieving their desired objectives, and our management necessarily applies its judgment in evaluating the cost-benefit relationship of possible controls and procedures. Based on the evaluation of our disclosure controls and procedures as of September 30, 2018, our principal executive officer and principal financial officer concluded that, as of such date, our disclosure controls and procedures were effective at the reasonable assurance level.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three months ended September 30, 2018 that have materially affected, or are reasonably likely to materially affect, our internal control over financial reporting.</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88"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33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For information regarding legal matters, please refer to Note 10. Contingencies and Commitments to the condensed consolidated financial statements contained in Part I of this Quarterly Report on Form 10-Q, which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in our risk factors from those disclosed in our Annual Report on Form 10-K for the fiscal year-ended December 31, 2017.</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October 2018, the Company determined that its intangible assets, which represent research and development assets, related to the Company's AB-423 program in the Antigent Inhibitor drug class, had become impaired. This determination was based on the Company's decision to indefinitely defer further development of its AB-423 program in the Antigen Inhibitor drug class. Accordingly, a non-cash impairment charge of $14,811,000 is being recorded for the quarter ended September 30, 2018 to eliminate these intangible assets from the Company's condensed consolidated balance sheet. We do not expect that this impairment charge will result in future cash expenditures.</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hereto.</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99" w:right="2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79"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391" w:lineRule="exact"/>
        <w:rPr>
          <w:sz w:val="20"/>
          <w:szCs w:val="20"/>
          <w:color w:val="auto"/>
        </w:rPr>
      </w:pPr>
    </w:p>
    <w:p>
      <w:pPr>
        <w:ind w:left="640"/>
        <w:spacing w:after="0"/>
        <w:tabs>
          <w:tab w:leader="none" w:pos="1500" w:val="left"/>
        </w:tabs>
        <w:rPr>
          <w:rFonts w:ascii="Arial" w:cs="Arial" w:eastAsia="Arial" w:hAnsi="Arial"/>
          <w:sz w:val="16"/>
          <w:szCs w:val="16"/>
          <w:u w:val="single" w:color="auto"/>
          <w:color w:val="0000FF"/>
        </w:rPr>
      </w:pPr>
      <w:r>
        <w:rPr>
          <w:rFonts w:ascii="Arial" w:cs="Arial" w:eastAsia="Arial" w:hAnsi="Arial"/>
          <w:sz w:val="18"/>
          <w:szCs w:val="18"/>
          <w:color w:val="auto"/>
        </w:rPr>
        <w:t>3.1</w:t>
      </w:r>
      <w:r>
        <w:rPr>
          <w:sz w:val="20"/>
          <w:szCs w:val="20"/>
          <w:color w:val="auto"/>
        </w:rPr>
        <w:tab/>
      </w:r>
      <w:hyperlink w:anchor="page37">
        <w:r>
          <w:rPr>
            <w:rFonts w:ascii="Arial" w:cs="Arial" w:eastAsia="Arial" w:hAnsi="Arial"/>
            <w:sz w:val="16"/>
            <w:szCs w:val="16"/>
            <w:u w:val="single" w:color="auto"/>
            <w:color w:val="0000FF"/>
          </w:rPr>
          <w:t>Amendment to Articles of the Company</w:t>
        </w:r>
      </w:hyperlink>
    </w:p>
    <w:p>
      <w:pPr>
        <w:spacing w:after="0" w:line="387" w:lineRule="exact"/>
        <w:rPr>
          <w:sz w:val="20"/>
          <w:szCs w:val="20"/>
          <w:color w:val="auto"/>
        </w:rPr>
      </w:pPr>
    </w:p>
    <w:p>
      <w:pPr>
        <w:ind w:left="540"/>
        <w:spacing w:after="0"/>
        <w:tabs>
          <w:tab w:leader="none" w:pos="150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w:anchor="page41">
        <w:r>
          <w:rPr>
            <w:rFonts w:ascii="Arial" w:cs="Arial" w:eastAsia="Arial" w:hAnsi="Arial"/>
            <w:sz w:val="16"/>
            <w:szCs w:val="16"/>
            <w:u w:val="single" w:color="auto"/>
            <w:color w:val="0000FF"/>
          </w:rPr>
          <w:t>Executive Employment Agreement, dated October 8, 2018, by and between Arbutus Biopharma, Inc. and Gaston Picchio</w:t>
        </w:r>
      </w:hyperlink>
    </w:p>
    <w:p>
      <w:pPr>
        <w:spacing w:after="0" w:line="200" w:lineRule="exact"/>
        <w:rPr>
          <w:sz w:val="20"/>
          <w:szCs w:val="20"/>
          <w:color w:val="auto"/>
        </w:rPr>
      </w:pPr>
    </w:p>
    <w:p>
      <w:pPr>
        <w:spacing w:after="0" w:line="214" w:lineRule="exact"/>
        <w:rPr>
          <w:sz w:val="20"/>
          <w:szCs w:val="20"/>
          <w:color w:val="auto"/>
        </w:rPr>
      </w:pPr>
    </w:p>
    <w:p>
      <w:pPr>
        <w:ind w:left="1520" w:right="120" w:hanging="971"/>
        <w:spacing w:after="0" w:line="277" w:lineRule="auto"/>
        <w:tabs>
          <w:tab w:leader="none" w:pos="150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51">
        <w:r>
          <w:rPr>
            <w:rFonts w:ascii="Arial" w:cs="Arial" w:eastAsia="Arial" w:hAnsi="Arial"/>
            <w:sz w:val="18"/>
            <w:szCs w:val="18"/>
            <w:u w:val="single" w:color="auto"/>
            <w:color w:val="0000FF"/>
          </w:rPr>
          <w:t>Certification of Principal Executive Officer pursuant to Rule 13a-14(a) or 15d-14(a) of the Securities Exchange Act of 1934, as adopted</w:t>
        </w:r>
      </w:hyperlink>
      <w:r>
        <w:rPr>
          <w:rFonts w:ascii="Arial" w:cs="Arial" w:eastAsia="Arial" w:hAnsi="Arial"/>
          <w:sz w:val="18"/>
          <w:szCs w:val="18"/>
          <w:u w:val="single" w:color="auto"/>
          <w:color w:val="0000FF"/>
        </w:rPr>
        <w:t xml:space="preserve"> </w:t>
      </w:r>
      <w:hyperlink w:anchor="page51">
        <w:r>
          <w:rPr>
            <w:rFonts w:ascii="Arial" w:cs="Arial" w:eastAsia="Arial" w:hAnsi="Arial"/>
            <w:sz w:val="18"/>
            <w:szCs w:val="18"/>
            <w:u w:val="single" w:color="auto"/>
            <w:color w:val="0000FF"/>
          </w:rPr>
          <w:t>pursuant to Section 302 of the SarbanesOxley Act of 2002</w:t>
        </w:r>
      </w:hyperlink>
    </w:p>
    <w:p>
      <w:pPr>
        <w:spacing w:after="0" w:line="279" w:lineRule="exact"/>
        <w:rPr>
          <w:sz w:val="20"/>
          <w:szCs w:val="20"/>
          <w:color w:val="auto"/>
        </w:rPr>
      </w:pPr>
    </w:p>
    <w:p>
      <w:pPr>
        <w:ind w:left="1520" w:right="160" w:hanging="971"/>
        <w:spacing w:after="0" w:line="277" w:lineRule="auto"/>
        <w:tabs>
          <w:tab w:leader="none" w:pos="150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hyperlink w:anchor="page52">
        <w:r>
          <w:rPr>
            <w:rFonts w:ascii="Arial" w:cs="Arial" w:eastAsia="Arial" w:hAnsi="Arial"/>
            <w:sz w:val="18"/>
            <w:szCs w:val="18"/>
            <w:u w:val="single" w:color="auto"/>
            <w:color w:val="0000FF"/>
          </w:rPr>
          <w:t>Certification of Principal Financial Officer pursuant to Rule 13a-14(a) or 15d-14(a) of the Securities Exchange Act of 1934, as adopted</w:t>
        </w:r>
      </w:hyperlink>
      <w:r>
        <w:rPr>
          <w:rFonts w:ascii="Arial" w:cs="Arial" w:eastAsia="Arial" w:hAnsi="Arial"/>
          <w:sz w:val="18"/>
          <w:szCs w:val="18"/>
          <w:u w:val="single" w:color="auto"/>
          <w:color w:val="0000FF"/>
        </w:rPr>
        <w:t xml:space="preserve"> </w:t>
      </w:r>
      <w:hyperlink w:anchor="page52">
        <w:r>
          <w:rPr>
            <w:rFonts w:ascii="Arial" w:cs="Arial" w:eastAsia="Arial" w:hAnsi="Arial"/>
            <w:sz w:val="18"/>
            <w:szCs w:val="18"/>
            <w:u w:val="single" w:color="auto"/>
            <w:color w:val="0000FF"/>
          </w:rPr>
          <w:t>pursuant to Section 302 of the SarbanesOxley Act of 2002</w:t>
        </w:r>
      </w:hyperlink>
    </w:p>
    <w:p>
      <w:pPr>
        <w:spacing w:after="0" w:line="279" w:lineRule="exact"/>
        <w:rPr>
          <w:sz w:val="20"/>
          <w:szCs w:val="20"/>
          <w:color w:val="auto"/>
        </w:rPr>
      </w:pPr>
    </w:p>
    <w:p>
      <w:pPr>
        <w:ind w:left="1520" w:right="360" w:hanging="971"/>
        <w:spacing w:after="0" w:line="277" w:lineRule="auto"/>
        <w:tabs>
          <w:tab w:leader="none" w:pos="150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53">
        <w:r>
          <w:rPr>
            <w:rFonts w:ascii="Arial" w:cs="Arial" w:eastAsia="Arial" w:hAnsi="Arial"/>
            <w:sz w:val="18"/>
            <w:szCs w:val="18"/>
            <w:u w:val="single" w:color="auto"/>
            <w:color w:val="0000FF"/>
          </w:rPr>
          <w:t>Certification of Principal Executive Officer pursuant to 18 U.S.C. Section 1350, as adopted pursuant to Section 906 of the Sarbanes-</w:t>
        </w:r>
      </w:hyperlink>
      <w:hyperlink w:anchor="page53">
        <w:r>
          <w:rPr>
            <w:rFonts w:ascii="Arial" w:cs="Arial" w:eastAsia="Arial" w:hAnsi="Arial"/>
            <w:sz w:val="18"/>
            <w:szCs w:val="18"/>
            <w:u w:val="single" w:color="auto"/>
            <w:color w:val="0000FF"/>
          </w:rPr>
          <w:t>Oxley Act of 2002</w:t>
        </w:r>
      </w:hyperlink>
    </w:p>
    <w:p>
      <w:pPr>
        <w:spacing w:after="0" w:line="279" w:lineRule="exact"/>
        <w:rPr>
          <w:sz w:val="20"/>
          <w:szCs w:val="20"/>
          <w:color w:val="auto"/>
        </w:rPr>
      </w:pPr>
    </w:p>
    <w:p>
      <w:pPr>
        <w:ind w:left="1520" w:right="400" w:hanging="971"/>
        <w:spacing w:after="0" w:line="277" w:lineRule="auto"/>
        <w:tabs>
          <w:tab w:leader="none" w:pos="1500" w:val="left"/>
        </w:tabs>
        <w:rPr>
          <w:rFonts w:ascii="Arial" w:cs="Arial" w:eastAsia="Arial" w:hAnsi="Arial"/>
          <w:sz w:val="18"/>
          <w:szCs w:val="18"/>
          <w:u w:val="single" w:color="auto"/>
          <w:color w:val="0000FF"/>
        </w:rPr>
      </w:pPr>
      <w:r>
        <w:rPr>
          <w:rFonts w:ascii="Arial" w:cs="Arial" w:eastAsia="Arial" w:hAnsi="Arial"/>
          <w:sz w:val="18"/>
          <w:szCs w:val="18"/>
          <w:color w:val="auto"/>
        </w:rPr>
        <w:t>32.2*</w:t>
      </w:r>
      <w:r>
        <w:rPr>
          <w:sz w:val="20"/>
          <w:szCs w:val="20"/>
          <w:color w:val="auto"/>
        </w:rPr>
        <w:tab/>
      </w:r>
      <w:hyperlink w:anchor="page54">
        <w:r>
          <w:rPr>
            <w:rFonts w:ascii="Arial" w:cs="Arial" w:eastAsia="Arial" w:hAnsi="Arial"/>
            <w:sz w:val="18"/>
            <w:szCs w:val="18"/>
            <w:u w:val="single" w:color="auto"/>
            <w:color w:val="0000FF"/>
          </w:rPr>
          <w:t>Certification of Principal Financial Officer pursuant to 18 U.S.C. Section 1350, as adopted pursuant to Section 906 of the Sarbanes-</w:t>
        </w:r>
      </w:hyperlink>
      <w:hyperlink w:anchor="page54">
        <w:r>
          <w:rPr>
            <w:rFonts w:ascii="Arial" w:cs="Arial" w:eastAsia="Arial" w:hAnsi="Arial"/>
            <w:sz w:val="18"/>
            <w:szCs w:val="18"/>
            <w:u w:val="single" w:color="auto"/>
            <w:color w:val="0000FF"/>
          </w:rPr>
          <w:t>Oxley Act of 2002</w:t>
        </w:r>
      </w:hyperlink>
    </w:p>
    <w:p>
      <w:pPr>
        <w:spacing w:after="0" w:line="279" w:lineRule="exact"/>
        <w:rPr>
          <w:sz w:val="20"/>
          <w:szCs w:val="20"/>
          <w:color w:val="auto"/>
        </w:rPr>
      </w:pPr>
    </w:p>
    <w:p>
      <w:pPr>
        <w:ind w:left="1520" w:right="100" w:hanging="904"/>
        <w:spacing w:after="0" w:line="257" w:lineRule="auto"/>
        <w:tabs>
          <w:tab w:leader="none" w:pos="15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following materials from Arbutus Biopharma Corporation's Quarterly Report on Form 10-Q for the quarter ended September 30, 2018, formatted in XBRL (eXtensible Business Reporting Language): (i) Condensed Consolidated Balance Sheets; (ii) Condensed Consolidated Statements of Operations; (iii) Condensed Consolidated Statements of Comprehensive Loss; (iv) Condensed Consolidated Statements of Stockholders' Equity; (v) Condensed Consolidated Statements of Cash Flows; and (vi) Notes to Condensed Consolidated Financial Statements</w:t>
      </w:r>
    </w:p>
    <w:p>
      <w:pPr>
        <w:spacing w:after="0" w:line="13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firstLine="62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November 7, 2018.</w:t>
      </w:r>
    </w:p>
    <w:p>
      <w:pPr>
        <w:spacing w:after="0" w:line="220"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ARBUTUS BIOPHARMA CORPORATION</w:t>
      </w:r>
    </w:p>
    <w:p>
      <w:pPr>
        <w:spacing w:after="0" w:line="189" w:lineRule="exact"/>
        <w:rPr>
          <w:sz w:val="20"/>
          <w:szCs w:val="20"/>
          <w:color w:val="auto"/>
        </w:rPr>
      </w:pPr>
    </w:p>
    <w:p>
      <w:pPr>
        <w:ind w:left="528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Mark Murray</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823" w:right="239" w:bottom="1440" w:gutter="0" w:footer="0" w:header="0"/>
        </w:sectPr>
      </w:pPr>
    </w:p>
    <w:bookmarkStart w:id="36" w:name="page37"/>
    <w:bookmarkEnd w:id="36"/>
    <w:p>
      <w:pPr>
        <w:jc w:val="right"/>
        <w:ind w:right="40"/>
        <w:spacing w:after="0"/>
        <w:rPr>
          <w:sz w:val="20"/>
          <w:szCs w:val="20"/>
          <w:color w:val="auto"/>
        </w:rPr>
      </w:pPr>
      <w:r>
        <w:rPr>
          <w:rFonts w:ascii="Arial" w:cs="Arial" w:eastAsia="Arial" w:hAnsi="Arial"/>
          <w:sz w:val="18"/>
          <w:szCs w:val="18"/>
          <w:i w:val="1"/>
          <w:iCs w:val="1"/>
          <w:color w:val="auto"/>
        </w:rPr>
        <w:t>RECEIVED FOR DEPOSIT AT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THE RECORDS OFFICE ON</w:t>
      </w:r>
    </w:p>
    <w:p>
      <w:pPr>
        <w:spacing w:after="0" w:line="9" w:lineRule="exact"/>
        <w:rPr>
          <w:sz w:val="20"/>
          <w:szCs w:val="20"/>
          <w:color w:val="auto"/>
        </w:rPr>
      </w:pPr>
    </w:p>
    <w:p>
      <w:pPr>
        <w:ind w:left="8080"/>
        <w:spacing w:after="0"/>
        <w:rPr>
          <w:sz w:val="20"/>
          <w:szCs w:val="20"/>
          <w:color w:val="auto"/>
        </w:rPr>
      </w:pPr>
      <w:r>
        <w:rPr>
          <w:rFonts w:ascii="Arial" w:cs="Arial" w:eastAsia="Arial" w:hAnsi="Arial"/>
          <w:sz w:val="18"/>
          <w:szCs w:val="18"/>
          <w:i w:val="1"/>
          <w:iCs w:val="1"/>
          <w:color w:val="auto"/>
        </w:rPr>
        <w:t>MAY 22, 2018.</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ARBUTUS BIOPHARMA CORPORATION</w:t>
      </w:r>
    </w:p>
    <w:p>
      <w:pPr>
        <w:jc w:val="center"/>
        <w:spacing w:after="0"/>
        <w:rPr>
          <w:sz w:val="20"/>
          <w:szCs w:val="20"/>
          <w:color w:val="auto"/>
        </w:rPr>
      </w:pPr>
      <w:r>
        <w:rPr>
          <w:rFonts w:ascii="Arial" w:cs="Arial" w:eastAsia="Arial" w:hAnsi="Arial"/>
          <w:sz w:val="20"/>
          <w:szCs w:val="20"/>
          <w:color w:val="auto"/>
        </w:rPr>
        <w:t>(the "Company")</w:t>
      </w:r>
    </w:p>
    <w:p>
      <w:pPr>
        <w:spacing w:after="0" w:line="167" w:lineRule="exact"/>
        <w:rPr>
          <w:sz w:val="20"/>
          <w:szCs w:val="20"/>
          <w:color w:val="auto"/>
        </w:rPr>
      </w:pPr>
    </w:p>
    <w:p>
      <w:pPr>
        <w:jc w:val="center"/>
        <w:ind w:left="1540" w:right="420"/>
        <w:spacing w:after="0" w:line="267" w:lineRule="auto"/>
        <w:rPr>
          <w:sz w:val="20"/>
          <w:szCs w:val="20"/>
          <w:color w:val="auto"/>
        </w:rPr>
      </w:pPr>
      <w:r>
        <w:rPr>
          <w:rFonts w:ascii="Arial" w:cs="Arial" w:eastAsia="Arial" w:hAnsi="Arial"/>
          <w:sz w:val="20"/>
          <w:szCs w:val="20"/>
          <w:b w:val="1"/>
          <w:bCs w:val="1"/>
          <w:color w:val="auto"/>
        </w:rPr>
        <w:t>ORDINARY RESOLUTION PASSED BY THE SHAREHOLDERS OF THE COMPANY AT THE SPECIAL MEETING OF THE SHAREHOLDERS HELD ON JANUARY 11, 2018</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APPROVAL OF AMENDMENT TO THE COMPANY’S ARTICLES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“BE IT RESOLVED AS AN ORDINARY RESOLUTION THAT:</w:t>
      </w:r>
    </w:p>
    <w:p>
      <w:pPr>
        <w:spacing w:after="0" w:line="216" w:lineRule="exact"/>
        <w:rPr>
          <w:sz w:val="20"/>
          <w:szCs w:val="20"/>
          <w:color w:val="auto"/>
        </w:rPr>
      </w:pPr>
    </w:p>
    <w:p>
      <w:pPr>
        <w:jc w:val="both"/>
        <w:ind w:left="340" w:hanging="332"/>
        <w:spacing w:after="0" w:line="258" w:lineRule="auto"/>
        <w:tabs>
          <w:tab w:leader="none" w:pos="3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existing Articles of the Company be amended by deleting Part 28 thereof in its entirety and replacing it with the amended text of Part 28 substantially in the form attached as Exhibit B to the Company’s Management Proxy Statement/Circular dated December 6, 2017 pursuant to which: (i) Roivant Sciences Ltd. (“Roivant”) would have the right until October 16, 2021, subject to certain conditions, to nominate up to three members of the Board (at least one of whom must be "independent" within the meaning of the Articles, if Roivant has three nominees), and (ii) for so long as Roivant has such nomination rights, the total number of directors of the Company would not, without the prior written consent of Roivant, be permitted to exceed seven directors, the majority of whom would be required to be "independent", and such resolution is hereby confirmed, approved and adopted in all respects.</w:t>
      </w:r>
    </w:p>
    <w:p>
      <w:pPr>
        <w:spacing w:after="0" w:line="179" w:lineRule="exact"/>
        <w:rPr>
          <w:rFonts w:ascii="Arial" w:cs="Arial" w:eastAsia="Arial" w:hAnsi="Arial"/>
          <w:sz w:val="19"/>
          <w:szCs w:val="19"/>
          <w:color w:val="auto"/>
        </w:rPr>
      </w:pPr>
    </w:p>
    <w:p>
      <w:pPr>
        <w:ind w:left="340" w:hanging="332"/>
        <w:spacing w:after="0" w:line="260" w:lineRule="auto"/>
        <w:tabs>
          <w:tab w:leader="none" w:pos="340" w:val="left"/>
        </w:tabs>
        <w:numPr>
          <w:ilvl w:val="0"/>
          <w:numId w:val="17"/>
        </w:numPr>
        <w:rPr>
          <w:rFonts w:ascii="Arial" w:cs="Arial" w:eastAsia="Arial" w:hAnsi="Arial"/>
          <w:sz w:val="20"/>
          <w:szCs w:val="20"/>
          <w:color w:val="auto"/>
        </w:rPr>
      </w:pPr>
      <w:r>
        <w:rPr>
          <w:rFonts w:ascii="Arial" w:cs="Arial" w:eastAsia="Arial" w:hAnsi="Arial"/>
          <w:sz w:val="20"/>
          <w:szCs w:val="20"/>
          <w:color w:val="auto"/>
        </w:rPr>
        <w:t xml:space="preserve">Pursuant to Section 259 of the </w:t>
      </w:r>
      <w:r>
        <w:rPr>
          <w:rFonts w:ascii="Arial" w:cs="Arial" w:eastAsia="Arial" w:hAnsi="Arial"/>
          <w:sz w:val="20"/>
          <w:szCs w:val="20"/>
          <w:i w:val="1"/>
          <w:iCs w:val="1"/>
          <w:color w:val="auto"/>
        </w:rPr>
        <w:t>Business Corporations Act</w:t>
      </w:r>
      <w:r>
        <w:rPr>
          <w:rFonts w:ascii="Arial" w:cs="Arial" w:eastAsia="Arial" w:hAnsi="Arial"/>
          <w:sz w:val="20"/>
          <w:szCs w:val="20"/>
          <w:color w:val="auto"/>
        </w:rPr>
        <w:t xml:space="preserve"> (British Columbia), the foregoing resolution altering the Articles of the Company will not be effective until the resolution has been received for deposit at the Company’s records office.</w:t>
      </w:r>
    </w:p>
    <w:p>
      <w:pPr>
        <w:spacing w:after="0" w:line="176" w:lineRule="exact"/>
        <w:rPr>
          <w:rFonts w:ascii="Arial" w:cs="Arial" w:eastAsia="Arial" w:hAnsi="Arial"/>
          <w:sz w:val="20"/>
          <w:szCs w:val="20"/>
          <w:color w:val="auto"/>
        </w:rPr>
      </w:pPr>
    </w:p>
    <w:p>
      <w:pPr>
        <w:jc w:val="both"/>
        <w:ind w:left="340" w:hanging="332"/>
        <w:spacing w:after="0" w:line="278"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officer or director of the Company is hereby authorized, acting for, in the name of and on behalf of the Company, to execute, under the seal of the Company or otherwise, and to deliver or cause to be delivered, all such documents, agreements and instruments, and to do or cause to be done all such other acts and things, as such officer or director determines to be necessary or desirable in order to carry out the intent of the foregoing paragraph of this resolution and the matters authorized hereby, such determination to be conclusively evidenced by the execution and delivery of such document, agreement or instrument or the doing of any such act or thing.</w:t>
      </w:r>
    </w:p>
    <w:p>
      <w:pPr>
        <w:spacing w:after="0" w:line="16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Notwithstanding that the foregoing resolution has been duly passed by the shareholders, the directors of the Company be and are hereby authorized and empowered, without further notice to, or approval of, the shareholders, to (a) decide on the timing of the implementation of all or any part of the amendment to Part 28 of the Articles, or (b) decide not to proceed with the foregoing amendment to Part 28 of the Articles of the Company and revoke the whole or part of these resolutions before they are acted on.”</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20"/>
          <w:szCs w:val="20"/>
          <w:color w:val="auto"/>
        </w:rPr>
        <w:t>CERTIFIED A TRUE COPY as of the 22</w:t>
      </w:r>
      <w:r>
        <w:rPr>
          <w:rFonts w:ascii="Arial" w:cs="Arial" w:eastAsia="Arial" w:hAnsi="Arial"/>
          <w:sz w:val="25"/>
          <w:szCs w:val="25"/>
          <w:color w:val="auto"/>
          <w:vertAlign w:val="superscript"/>
        </w:rPr>
        <w:t>nd</w:t>
      </w:r>
      <w:r>
        <w:rPr>
          <w:rFonts w:ascii="Arial" w:cs="Arial" w:eastAsia="Arial" w:hAnsi="Arial"/>
          <w:sz w:val="20"/>
          <w:szCs w:val="20"/>
          <w:color w:val="auto"/>
        </w:rPr>
        <w:t xml:space="preserve"> day of May, 2018.</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 Mark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-14605</wp:posOffset>
            </wp:positionV>
            <wp:extent cx="133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33500" cy="889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20"/>
          <w:szCs w:val="20"/>
          <w:color w:val="auto"/>
        </w:rPr>
        <w:t>Mark Murray</w:t>
      </w:r>
    </w:p>
    <w:p>
      <w:pPr>
        <w:ind w:left="1840"/>
        <w:spacing w:after="0"/>
        <w:rPr>
          <w:sz w:val="20"/>
          <w:szCs w:val="20"/>
          <w:color w:val="auto"/>
        </w:rPr>
      </w:pPr>
      <w:r>
        <w:rPr>
          <w:rFonts w:ascii="Arial" w:cs="Arial" w:eastAsia="Arial" w:hAnsi="Arial"/>
          <w:sz w:val="20"/>
          <w:szCs w:val="20"/>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color w:val="auto"/>
        </w:rPr>
        <w:t>28183|3947591_1|PHORTON</w:t>
      </w:r>
    </w:p>
    <w:p>
      <w:pPr>
        <w:sectPr>
          <w:pgSz w:w="11900" w:h="16838" w:orient="portrait"/>
          <w:cols w:equalWidth="0" w:num="1">
            <w:col w:w="11420"/>
          </w:cols>
          <w:pgMar w:left="240" w:top="625" w:right="239" w:bottom="1440" w:gutter="0" w:footer="0" w:header="0"/>
        </w:sectPr>
      </w:pPr>
    </w:p>
    <w:bookmarkStart w:id="37" w:name="page38"/>
    <w:bookmarkEnd w:id="37"/>
    <w:p>
      <w:pPr>
        <w:ind w:left="4300"/>
        <w:spacing w:after="0"/>
        <w:rPr>
          <w:sz w:val="20"/>
          <w:szCs w:val="20"/>
          <w:color w:val="auto"/>
        </w:rPr>
      </w:pPr>
      <w:r>
        <w:rPr>
          <w:rFonts w:ascii="Arial" w:cs="Arial" w:eastAsia="Arial" w:hAnsi="Arial"/>
          <w:sz w:val="18"/>
          <w:szCs w:val="18"/>
          <w:b w:val="1"/>
          <w:bCs w:val="1"/>
          <w:color w:val="auto"/>
        </w:rPr>
        <w:t>AMENDMENT TO ARTICLES OF</w:t>
      </w:r>
    </w:p>
    <w:p>
      <w:pPr>
        <w:spacing w:after="0" w:line="2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ARBUTUS BIOPHARMA CORPORATION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28 - Director Election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29"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this Part, the following terms shall have the meanings assigned to them below:</w:t>
      </w:r>
    </w:p>
    <w:p>
      <w:pPr>
        <w:spacing w:after="0" w:line="221"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Shares</w:t>
      </w:r>
      <w:r>
        <w:rPr>
          <w:rFonts w:ascii="Arial" w:cs="Arial" w:eastAsia="Arial" w:hAnsi="Arial"/>
          <w:sz w:val="18"/>
          <w:szCs w:val="18"/>
          <w:color w:val="auto"/>
        </w:rPr>
        <w:t>” means the common shares in the capital of the Company as constituted on the date hereof;</w:t>
      </w:r>
    </w:p>
    <w:p>
      <w:pPr>
        <w:spacing w:after="0" w:line="225" w:lineRule="exact"/>
        <w:rPr>
          <w:rFonts w:ascii="Arial" w:cs="Arial" w:eastAsia="Arial" w:hAnsi="Arial"/>
          <w:sz w:val="18"/>
          <w:szCs w:val="18"/>
          <w:color w:val="auto"/>
        </w:rPr>
      </w:pPr>
    </w:p>
    <w:p>
      <w:pPr>
        <w:ind w:left="340" w:hanging="332"/>
        <w:spacing w:after="0" w:line="282"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Independence Standards</w:t>
      </w:r>
      <w:r>
        <w:rPr>
          <w:rFonts w:ascii="Arial" w:cs="Arial" w:eastAsia="Arial" w:hAnsi="Arial"/>
          <w:sz w:val="18"/>
          <w:szCs w:val="18"/>
          <w:color w:val="auto"/>
        </w:rPr>
        <w:t>” means means the standards set forth in NASDAQ Marketplace Rule 5605(a)(2) or any successor rule thereto, but not including the requirements for audit committee members set forth in NASDAQ Marketplace Rule 5605(c);</w:t>
      </w:r>
    </w:p>
    <w:p>
      <w:pPr>
        <w:spacing w:after="0" w:line="161"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Partially Diluted Basis</w:t>
      </w:r>
      <w:r>
        <w:rPr>
          <w:rFonts w:ascii="Arial" w:cs="Arial" w:eastAsia="Arial" w:hAnsi="Arial"/>
          <w:sz w:val="18"/>
          <w:szCs w:val="18"/>
          <w:color w:val="auto"/>
        </w:rPr>
        <w:t>” means the sum of (i) the total number of Company Shares beneficially owned by RS and (ii) the total number of Company Shares into which the Series A Preferred Shares beneficially owned by RS would be converted, assuming all Preferred Shares held by RS on any applicable date were converted into Company Shares as of the Mandatory Conversion Date, and outstanding Company Shares shall be determined based on the sum of (x) the number of outstanding Company Shares as of the date of determination and (y) the number of Company Shares that would be issued on conversion of the Series A Preferred Shares, assuming all Preferred Shares held by RS on any applicable date were converted into Company Shares as of the Mandatory Conversion Date.</w:t>
      </w:r>
    </w:p>
    <w:p>
      <w:pPr>
        <w:spacing w:after="0" w:line="187" w:lineRule="exact"/>
        <w:rPr>
          <w:rFonts w:ascii="Arial" w:cs="Arial" w:eastAsia="Arial" w:hAnsi="Arial"/>
          <w:sz w:val="18"/>
          <w:szCs w:val="18"/>
          <w:color w:val="auto"/>
        </w:rPr>
      </w:pPr>
    </w:p>
    <w:p>
      <w:pPr>
        <w:ind w:left="340" w:hanging="332"/>
        <w:spacing w:after="0" w:line="282"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Record Date Notice</w:t>
      </w:r>
      <w:r>
        <w:rPr>
          <w:rFonts w:ascii="Arial" w:cs="Arial" w:eastAsia="Arial" w:hAnsi="Arial"/>
          <w:sz w:val="18"/>
          <w:szCs w:val="18"/>
          <w:color w:val="auto"/>
        </w:rPr>
        <w:t>” means the date of the letter filed on SEDAR by the Company’s registrar and transfer agent giving notice of the record date for determination of the shareholders entitled to notice of and to vote at any Shareholder Meeting; and</w:t>
      </w:r>
    </w:p>
    <w:p>
      <w:pPr>
        <w:spacing w:after="0" w:line="161" w:lineRule="exact"/>
        <w:rPr>
          <w:rFonts w:ascii="Arial" w:cs="Arial" w:eastAsia="Arial" w:hAnsi="Arial"/>
          <w:sz w:val="18"/>
          <w:szCs w:val="18"/>
          <w:color w:val="auto"/>
        </w:rPr>
      </w:pPr>
    </w:p>
    <w:p>
      <w:pPr>
        <w:ind w:left="340" w:hanging="332"/>
        <w:spacing w:after="0" w:line="282"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 Meeting</w:t>
      </w:r>
      <w:r>
        <w:rPr>
          <w:rFonts w:ascii="Arial" w:cs="Arial" w:eastAsia="Arial" w:hAnsi="Arial"/>
          <w:sz w:val="18"/>
          <w:szCs w:val="18"/>
          <w:color w:val="auto"/>
        </w:rPr>
        <w:t>” means an annual general meeting of shareholders or special meeting of shareholders of the Company called for the purpose of electing directors to the board of directors of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Election of Directors</w:t>
      </w:r>
    </w:p>
    <w:p>
      <w:pPr>
        <w:spacing w:after="0" w:line="225" w:lineRule="exact"/>
        <w:rPr>
          <w:sz w:val="20"/>
          <w:szCs w:val="20"/>
          <w:color w:val="auto"/>
        </w:rPr>
      </w:pPr>
    </w:p>
    <w:p>
      <w:pPr>
        <w:ind w:left="340" w:hanging="332"/>
        <w:spacing w:after="0" w:line="313"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For so long as Roivant Sciences Ltd. (the "</w:t>
      </w:r>
      <w:r>
        <w:rPr>
          <w:rFonts w:ascii="Arial" w:cs="Arial" w:eastAsia="Arial" w:hAnsi="Arial"/>
          <w:sz w:val="17"/>
          <w:szCs w:val="17"/>
          <w:b w:val="1"/>
          <w:bCs w:val="1"/>
          <w:color w:val="auto"/>
        </w:rPr>
        <w:t>Nominating Shareholder" or “RS</w:t>
      </w:r>
      <w:r>
        <w:rPr>
          <w:rFonts w:ascii="Arial" w:cs="Arial" w:eastAsia="Arial" w:hAnsi="Arial"/>
          <w:sz w:val="17"/>
          <w:szCs w:val="17"/>
          <w:color w:val="auto"/>
        </w:rPr>
        <w:t>”) has “beneficial ownership” (as defined pursuant Rule 13d-3 under the United States, Securities Exchange Act of 1934, as amended) (“</w:t>
      </w:r>
      <w:r>
        <w:rPr>
          <w:rFonts w:ascii="Arial" w:cs="Arial" w:eastAsia="Arial" w:hAnsi="Arial"/>
          <w:sz w:val="17"/>
          <w:szCs w:val="17"/>
          <w:b w:val="1"/>
          <w:bCs w:val="1"/>
          <w:color w:val="auto"/>
        </w:rPr>
        <w:t>Beneficial Ownership</w:t>
      </w:r>
      <w:r>
        <w:rPr>
          <w:rFonts w:ascii="Arial" w:cs="Arial" w:eastAsia="Arial" w:hAnsi="Arial"/>
          <w:sz w:val="17"/>
          <w:szCs w:val="17"/>
          <w:color w:val="auto"/>
        </w:rPr>
        <w:t>”) or exercises control or direction over not less than:</w:t>
      </w:r>
    </w:p>
    <w:p>
      <w:pPr>
        <w:spacing w:after="0" w:line="142" w:lineRule="exact"/>
        <w:rPr>
          <w:sz w:val="20"/>
          <w:szCs w:val="20"/>
          <w:color w:val="auto"/>
        </w:rPr>
      </w:pPr>
    </w:p>
    <w:p>
      <w:pPr>
        <w:jc w:val="both"/>
        <w:ind w:left="340" w:hanging="332"/>
        <w:spacing w:after="0" w:line="264"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thirty- percent (30%) of the issued and outstanding Company Shares calculated on a Partially Diluted Basis as at the Record Date Notice, RS has the right to nominate three (3) individuals for election to the board of directors of the Company at each Shareholder Meeting, one (1) of whom must satisfy the Independence Standards; and</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twenty- percent (20%) of the issued and outstanding Company Shares calculated on a Partially Diluted Basis as at the Record Date Notice, RS has the right to nominate two (2) individuals for election to the board of directors of the Company at each Shareholder Meeting; and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ten percent (10%) of the issued and outstanding Company Shares calculated on a Partially Diluted Basis as at the Record Date Notice, RS has the right to nominate one (1) individual for election to the board of directors of the Company at each Shareholder Meeting,</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(where such designee directors are referred to as the "</w:t>
      </w:r>
      <w:r>
        <w:rPr>
          <w:rFonts w:ascii="Arial" w:cs="Arial" w:eastAsia="Arial" w:hAnsi="Arial"/>
          <w:sz w:val="18"/>
          <w:szCs w:val="18"/>
          <w:b w:val="1"/>
          <w:bCs w:val="1"/>
          <w:color w:val="auto"/>
        </w:rPr>
        <w:t>RS Nominated Directors</w:t>
      </w:r>
      <w:r>
        <w:rPr>
          <w:rFonts w:ascii="Arial" w:cs="Arial" w:eastAsia="Arial" w:hAnsi="Arial"/>
          <w:sz w:val="18"/>
          <w:szCs w:val="18"/>
          <w:color w:val="auto"/>
        </w:rPr>
        <w:t>").</w:t>
      </w:r>
    </w:p>
    <w:p>
      <w:pPr>
        <w:spacing w:after="0" w:line="229" w:lineRule="exact"/>
        <w:rPr>
          <w:sz w:val="20"/>
          <w:szCs w:val="20"/>
          <w:color w:val="auto"/>
        </w:rPr>
      </w:pPr>
    </w:p>
    <w:p>
      <w:pPr>
        <w:jc w:val="both"/>
        <w:ind w:left="340" w:hanging="332"/>
        <w:spacing w:after="0" w:line="264"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the Nominating Shareholder having Beneficial Ownership or exercising control or direction over less than ten percent (10%) of the outstanding Company Shares calculated on a Partially Diluted Basis as at the Record Date Notice, the nomination rights provided under Section 2 will be of no further force and effect.</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28183|3947591_1|PHORTON</w:t>
      </w:r>
    </w:p>
    <w:p>
      <w:pPr>
        <w:sectPr>
          <w:pgSz w:w="11900" w:h="16838" w:orient="portrait"/>
          <w:cols w:equalWidth="0" w:num="1">
            <w:col w:w="11420"/>
          </w:cols>
          <w:pgMar w:left="240" w:top="1053" w:right="239" w:bottom="1440" w:gutter="0" w:footer="0" w:header="0"/>
        </w:sectPr>
      </w:pPr>
    </w:p>
    <w:bookmarkStart w:id="38" w:name="page39"/>
    <w:bookmarkEnd w:id="38"/>
    <w:p>
      <w:pPr>
        <w:ind w:left="4220"/>
        <w:spacing w:after="0"/>
        <w:rPr>
          <w:sz w:val="20"/>
          <w:szCs w:val="20"/>
          <w:color w:val="auto"/>
        </w:rPr>
      </w:pPr>
      <w:r>
        <w:rPr>
          <w:rFonts w:ascii="Arial" w:cs="Arial" w:eastAsia="Arial" w:hAnsi="Arial"/>
          <w:sz w:val="18"/>
          <w:szCs w:val="18"/>
          <w:color w:val="auto"/>
        </w:rPr>
        <w:t xml:space="preserve">- 2 </w:t>
      </w:r>
      <w:r>
        <w:rPr>
          <w:rFonts w:ascii="Arial" w:cs="Arial" w:eastAsia="Arial" w:hAnsi="Arial"/>
          <w:sz w:val="21"/>
          <w:szCs w:val="21"/>
          <w:color w:val="auto"/>
        </w:rPr>
        <w: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Number of Directors</w:t>
      </w:r>
    </w:p>
    <w:p>
      <w:pPr>
        <w:spacing w:after="0" w:line="229" w:lineRule="exact"/>
        <w:rPr>
          <w:sz w:val="20"/>
          <w:szCs w:val="20"/>
          <w:color w:val="auto"/>
        </w:rPr>
      </w:pPr>
    </w:p>
    <w:p>
      <w:pPr>
        <w:jc w:val="both"/>
        <w:ind w:left="340" w:hanging="332"/>
        <w:spacing w:after="0" w:line="264"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so long as the Nominating Shareholder has a right to nominate one or more directors under Section 2 of this Part 28, the number of directors of the Company shall not exceed seven (7) directors, at least a majority of whom must satisfy the Independence Standards, without the prior written consent of the Nominating Shareholder.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Nomination Procedure</w:t>
      </w:r>
    </w:p>
    <w:p>
      <w:pPr>
        <w:spacing w:after="0" w:line="229"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so long as the Nominating Shareholder has a right to nominate one or more directors under Section 1 of this Part 28:</w:t>
      </w:r>
    </w:p>
    <w:p>
      <w:pPr>
        <w:spacing w:after="0" w:line="225" w:lineRule="exact"/>
        <w:rPr>
          <w:sz w:val="20"/>
          <w:szCs w:val="20"/>
          <w:color w:val="auto"/>
        </w:rPr>
      </w:pPr>
    </w:p>
    <w:p>
      <w:pPr>
        <w:jc w:val="both"/>
        <w:ind w:left="340" w:hanging="332"/>
        <w:spacing w:after="0" w:line="264"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earlier than ninety (90) days and no later than sixty (60) days prior to the date of each Shareholder Meeting, the Company shall notify RS in writing of the date of the Shareholder Meeting (the “</w:t>
      </w:r>
      <w:r>
        <w:rPr>
          <w:rFonts w:ascii="Arial" w:cs="Arial" w:eastAsia="Arial" w:hAnsi="Arial"/>
          <w:sz w:val="18"/>
          <w:szCs w:val="18"/>
          <w:b w:val="1"/>
          <w:bCs w:val="1"/>
          <w:color w:val="auto"/>
        </w:rPr>
        <w:t>Company Notice</w:t>
      </w:r>
      <w:r>
        <w:rPr>
          <w:rFonts w:ascii="Arial" w:cs="Arial" w:eastAsia="Arial" w:hAnsi="Arial"/>
          <w:sz w:val="18"/>
          <w:szCs w:val="18"/>
          <w:color w:val="auto"/>
        </w:rPr>
        <w:t>”). The Company Notice shall specify the total number of Company Shares issued and outstanding calculated on a Partially Diluted Basis as at the Record Date Notice.</w:t>
      </w:r>
    </w:p>
    <w:p>
      <w:pPr>
        <w:spacing w:after="0" w:line="177"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RS shall have the right and option, exercisable within fifteen (15) days from receipt of the Company Notice (the “</w:t>
      </w:r>
      <w:r>
        <w:rPr>
          <w:rFonts w:ascii="Arial" w:cs="Arial" w:eastAsia="Arial" w:hAnsi="Arial"/>
          <w:sz w:val="18"/>
          <w:szCs w:val="18"/>
          <w:b w:val="1"/>
          <w:bCs w:val="1"/>
          <w:color w:val="auto"/>
        </w:rPr>
        <w:t>Nomination Right Notice Period</w:t>
      </w:r>
      <w:r>
        <w:rPr>
          <w:rFonts w:ascii="Arial" w:cs="Arial" w:eastAsia="Arial" w:hAnsi="Arial"/>
          <w:sz w:val="18"/>
          <w:szCs w:val="18"/>
          <w:color w:val="auto"/>
        </w:rPr>
        <w:t>”) by written notice to the Company (the “</w:t>
      </w:r>
      <w:r>
        <w:rPr>
          <w:rFonts w:ascii="Arial" w:cs="Arial" w:eastAsia="Arial" w:hAnsi="Arial"/>
          <w:sz w:val="18"/>
          <w:szCs w:val="18"/>
          <w:b w:val="1"/>
          <w:bCs w:val="1"/>
          <w:color w:val="auto"/>
        </w:rPr>
        <w:t>Nomination Notice</w:t>
      </w:r>
      <w:r>
        <w:rPr>
          <w:rFonts w:ascii="Arial" w:cs="Arial" w:eastAsia="Arial" w:hAnsi="Arial"/>
          <w:sz w:val="18"/>
          <w:szCs w:val="18"/>
          <w:color w:val="auto"/>
        </w:rPr>
        <w:t>”) to exercise the Nomination Right. If RS wishes to exercise the Nomination Right, RS must specify in the Nomination Notice (i) the number of Company Shares beneficially owned by the Nominating Shareholder as at the date of the Nomination Notice, (ii) the name of the individual(s) RS wishes to nominate for election to the board of directors of the Company, and (iii) confirm that the nominee(s) are eligible to act as director(s) under the Act or, if the Company is otherwise governed by another statue or regime, that the nominee(s) are eligible to act as a director under such statute or regime. As soon as reasonably possible after the request by the Company, duly completed forms and any other information in respect of the RS Nominated Directors, as required by the relevant stock exchange, shall be provided by the RS Nominated Directors.</w:t>
      </w:r>
    </w:p>
    <w:p>
      <w:pPr>
        <w:spacing w:after="0" w:line="189"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RS fails to deliver a Nomination Notice in response to a Company Notice within the Nomination Right Notice Period, then the Company will not be required to nominate individuals identified by RS for election to the board of directors of the Company at the Shareholder Meeting with respect to which RS failed to deliver the Nomination Notice, and RS shall have the right to nominate person(s) for election to the board of directors of the Company at the next Shareholder Meeting in accordance with this Part 28.</w:t>
      </w:r>
    </w:p>
    <w:p>
      <w:pPr>
        <w:spacing w:after="0" w:line="186" w:lineRule="exact"/>
        <w:rPr>
          <w:rFonts w:ascii="Arial" w:cs="Arial" w:eastAsia="Arial" w:hAnsi="Arial"/>
          <w:sz w:val="18"/>
          <w:szCs w:val="18"/>
          <w:color w:val="auto"/>
        </w:rPr>
      </w:pPr>
    </w:p>
    <w:p>
      <w:pPr>
        <w:jc w:val="both"/>
        <w:ind w:left="340" w:hanging="332"/>
        <w:spacing w:after="0" w:line="269"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RS delivers a Nomination Notice in response to a Company Notice within the Nomination Right Notice Period then, subject only to the nominee(s) identified in the Nomination Notice being eligible to act as director(s) of the Company, the Company shall (i) nominate the RS nominee(s) to stand for election to the board of directors of the Company at the Shareholder Meeting, and (ii) solicit proxies from the holders of Company Shares in respect thereof which will be satisfied by delivery of a form of proxy to the holders of Company Shares following standard procedures consistent with past practice. For greater certainty, the Company (x) shall not be required to retain a third party solicitation agent, and (y) shall include the name of the RS nominee(s) to stand for election to the board of directors of the Company in the proxy to be delivered to each holder of Company Shares in respect of the Shareholder Meeting. The Nominating Shareholder shall also provide to the Company such other information regarding the RS nominee(s) as may be reasonably requested by the Company so as to comply with applicable proxy disclosure requirements under applicable securities laws, together with such other information, including a biography of the RS Nominated Directors, that is consistent with the information the Company intends to publish about management nominees as directors of the Company in the information circular to be prepared by the Company in connection with the election of directors at a Shareholder Meeting.</w:t>
      </w:r>
    </w:p>
    <w:p>
      <w:pPr>
        <w:spacing w:after="0" w:line="183"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Pursuant to the Board Consent Resolutions dated April 23, 2018 approving the Agreement Re: Governance Amendments with Roivant Sciences LTD dated April 22, 2018, the Shareholders resolution amending Part 27 Transitional Governance Matters of the Articles of the Company passed at the January 11, 2018 Special Meeting was not implemented.</w:t>
      </w:r>
    </w:p>
    <w:p>
      <w:pPr>
        <w:spacing w:after="0" w:line="181" w:lineRule="exact"/>
        <w:rPr>
          <w:sz w:val="20"/>
          <w:szCs w:val="20"/>
          <w:color w:val="auto"/>
        </w:rPr>
      </w:pPr>
    </w:p>
    <w:p>
      <w:pPr>
        <w:jc w:val="both"/>
        <w:ind w:left="500" w:right="20"/>
        <w:spacing w:after="0" w:line="277" w:lineRule="auto"/>
        <w:rPr>
          <w:sz w:val="20"/>
          <w:szCs w:val="20"/>
          <w:color w:val="auto"/>
        </w:rPr>
      </w:pPr>
      <w:r>
        <w:rPr>
          <w:rFonts w:ascii="Arial" w:cs="Arial" w:eastAsia="Arial" w:hAnsi="Arial"/>
          <w:sz w:val="18"/>
          <w:szCs w:val="18"/>
          <w:color w:val="auto"/>
        </w:rPr>
        <w:t>Part 28 Director Election Matters replacing in its entirety the Part 28 to Articles by ordinary resolutions deposited at the Records Office on May 22, 2018.</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auto"/>
        </w:rPr>
        <w:t>28183|3947591_1|PHORTON</w:t>
      </w:r>
    </w:p>
    <w:p>
      <w:pPr>
        <w:sectPr>
          <w:pgSz w:w="11900" w:h="16838" w:orient="portrait"/>
          <w:cols w:equalWidth="0" w:num="1">
            <w:col w:w="11420"/>
          </w:cols>
          <w:pgMar w:left="240" w:top="132" w:right="239" w:bottom="1440" w:gutter="0" w:footer="0" w:header="0"/>
        </w:sectPr>
      </w:pPr>
    </w:p>
    <w:bookmarkStart w:id="39" w:name="page40"/>
    <w:bookmarkEnd w:id="39"/>
    <w:p>
      <w:pPr>
        <w:ind w:left="4220"/>
        <w:spacing w:after="0"/>
        <w:rPr>
          <w:sz w:val="20"/>
          <w:szCs w:val="20"/>
          <w:color w:val="auto"/>
        </w:rPr>
      </w:pPr>
      <w:r>
        <w:rPr>
          <w:rFonts w:ascii="Arial" w:cs="Arial" w:eastAsia="Arial" w:hAnsi="Arial"/>
          <w:sz w:val="18"/>
          <w:szCs w:val="18"/>
          <w:color w:val="auto"/>
        </w:rPr>
        <w:t xml:space="preserve">- 3 </w:t>
      </w:r>
      <w:r>
        <w:rPr>
          <w:rFonts w:ascii="Arial" w:cs="Arial" w:eastAsia="Arial" w:hAnsi="Arial"/>
          <w:sz w:val="21"/>
          <w:szCs w:val="21"/>
          <w:color w:val="auto"/>
        </w:rPr>
        <w: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Casual Vacancies</w:t>
      </w:r>
    </w:p>
    <w:p>
      <w:pPr>
        <w:spacing w:after="0" w:line="229" w:lineRule="exact"/>
        <w:rPr>
          <w:sz w:val="20"/>
          <w:szCs w:val="20"/>
          <w:color w:val="auto"/>
        </w:rPr>
      </w:pPr>
    </w:p>
    <w:p>
      <w:pPr>
        <w:jc w:val="both"/>
        <w:ind w:left="340" w:hanging="332"/>
        <w:spacing w:after="0" w:line="276"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director prior to the expiration of his or her term as a director, such vacancy on the board of directors shall be filled by the remaining directors with the nominee identified by RS promptly. The Company shall use all commercially reasonable steps, promptly upon receipt by it of a written notice from RS to fill such vacancy, as are necessary to call (no later than five (5) days following notice of such identified nominee by RS) a meeting of the board of directors to vote on the appointment of such Shareholder Designee to fill such vacancy (or to obtain a vote of the directors by way of unanimous written resolution) and take all such other steps as are required by the Act with respect to such appointment.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Transitional Period</w:t>
      </w:r>
    </w:p>
    <w:p>
      <w:pPr>
        <w:spacing w:after="0" w:line="229" w:lineRule="exact"/>
        <w:rPr>
          <w:sz w:val="20"/>
          <w:szCs w:val="20"/>
          <w:color w:val="auto"/>
        </w:rPr>
      </w:pPr>
    </w:p>
    <w:p>
      <w:pPr>
        <w:ind w:left="34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Part 28 shall remain in effect until the date that is the earlier of (i) forty-eight (48) months following the first issuance of Series A Preferred Shares and (ii) the date RS no longer has a right to nominate one or more directors under Section 1 of this Part 28.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Inconsistencies</w:t>
      </w:r>
    </w:p>
    <w:p>
      <w:pPr>
        <w:spacing w:after="0" w:line="243"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6"/>
          <w:szCs w:val="16"/>
          <w:color w:val="auto"/>
        </w:rPr>
        <w:t>In the event of an inconsistency between a provision of this Part 28 and any other provision of these Articles, the provision of this Part 28 shall prevail.</w:t>
      </w: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28183|3947591_1|PHORTON</w:t>
      </w:r>
    </w:p>
    <w:p>
      <w:pPr>
        <w:sectPr>
          <w:pgSz w:w="11900" w:h="16838" w:orient="portrait"/>
          <w:cols w:equalWidth="0" w:num="1">
            <w:col w:w="11420"/>
          </w:cols>
          <w:pgMar w:left="240" w:top="132" w:right="239" w:bottom="1440" w:gutter="0" w:footer="0" w:header="0"/>
        </w:sectPr>
      </w:pPr>
    </w:p>
    <w:bookmarkStart w:id="40" w:name="page41"/>
    <w:bookmarkEnd w:id="40"/>
    <w:p>
      <w:pPr>
        <w:jc w:val="center"/>
        <w:ind w:right="-39"/>
        <w:spacing w:after="0"/>
        <w:rPr>
          <w:sz w:val="20"/>
          <w:szCs w:val="20"/>
          <w:color w:val="auto"/>
        </w:rPr>
      </w:pPr>
      <w:r>
        <w:rPr>
          <w:rFonts w:ascii="Arial" w:cs="Arial" w:eastAsia="Arial" w:hAnsi="Arial"/>
          <w:sz w:val="22"/>
          <w:szCs w:val="22"/>
          <w:b w:val="1"/>
          <w:bCs w:val="1"/>
          <w:color w:val="auto"/>
        </w:rPr>
        <w:t>EXECUTIVE EMPLOYMENT AGREEMENT</w:t>
      </w:r>
    </w:p>
    <w:p>
      <w:pPr>
        <w:spacing w:after="0" w:line="220" w:lineRule="exact"/>
        <w:rPr>
          <w:sz w:val="20"/>
          <w:szCs w:val="20"/>
          <w:color w:val="auto"/>
        </w:rPr>
      </w:pPr>
    </w:p>
    <w:p>
      <w:pPr>
        <w:ind w:right="100" w:firstLine="648"/>
        <w:spacing w:after="0" w:line="350" w:lineRule="auto"/>
        <w:rPr>
          <w:sz w:val="20"/>
          <w:szCs w:val="20"/>
          <w:color w:val="auto"/>
        </w:rPr>
      </w:pPr>
      <w:r>
        <w:rPr>
          <w:rFonts w:ascii="Arial" w:cs="Arial" w:eastAsia="Arial" w:hAnsi="Arial"/>
          <w:sz w:val="19"/>
          <w:szCs w:val="19"/>
          <w:color w:val="auto"/>
        </w:rPr>
        <w:t>This Executive Employment Agreement (“</w:t>
      </w:r>
      <w:r>
        <w:rPr>
          <w:rFonts w:ascii="Arial" w:cs="Arial" w:eastAsia="Arial" w:hAnsi="Arial"/>
          <w:sz w:val="19"/>
          <w:szCs w:val="19"/>
          <w:b w:val="1"/>
          <w:bCs w:val="1"/>
          <w:u w:val="single" w:color="auto"/>
          <w:color w:val="auto"/>
        </w:rPr>
        <w:t>Agreement</w:t>
      </w:r>
      <w:r>
        <w:rPr>
          <w:rFonts w:ascii="Arial" w:cs="Arial" w:eastAsia="Arial" w:hAnsi="Arial"/>
          <w:sz w:val="19"/>
          <w:szCs w:val="19"/>
          <w:color w:val="auto"/>
        </w:rPr>
        <w:t>”) is made effective as of October 8, 2018 (the “</w:t>
      </w:r>
      <w:r>
        <w:rPr>
          <w:rFonts w:ascii="Arial" w:cs="Arial" w:eastAsia="Arial" w:hAnsi="Arial"/>
          <w:sz w:val="19"/>
          <w:szCs w:val="19"/>
          <w:b w:val="1"/>
          <w:bCs w:val="1"/>
          <w:u w:val="single" w:color="auto"/>
          <w:color w:val="auto"/>
        </w:rPr>
        <w:t>Effective Date</w:t>
      </w:r>
      <w:r>
        <w:rPr>
          <w:rFonts w:ascii="Arial" w:cs="Arial" w:eastAsia="Arial" w:hAnsi="Arial"/>
          <w:sz w:val="19"/>
          <w:szCs w:val="19"/>
          <w:color w:val="auto"/>
        </w:rPr>
        <w:t>”) by and between Arbutus Biopharma Inc. (the “</w:t>
      </w:r>
      <w:r>
        <w:rPr>
          <w:rFonts w:ascii="Arial" w:cs="Arial" w:eastAsia="Arial" w:hAnsi="Arial"/>
          <w:sz w:val="19"/>
          <w:szCs w:val="19"/>
          <w:b w:val="1"/>
          <w:bCs w:val="1"/>
          <w:u w:val="single" w:color="auto"/>
          <w:color w:val="auto"/>
        </w:rPr>
        <w:t>Company</w:t>
      </w:r>
      <w:r>
        <w:rPr>
          <w:rFonts w:ascii="Arial" w:cs="Arial" w:eastAsia="Arial" w:hAnsi="Arial"/>
          <w:sz w:val="19"/>
          <w:szCs w:val="19"/>
          <w:color w:val="auto"/>
        </w:rPr>
        <w:t>”), and Gaston Picchio (the “</w:t>
      </w:r>
      <w:r>
        <w:rPr>
          <w:rFonts w:ascii="Arial" w:cs="Arial" w:eastAsia="Arial" w:hAnsi="Arial"/>
          <w:sz w:val="19"/>
          <w:szCs w:val="19"/>
          <w:b w:val="1"/>
          <w:bCs w:val="1"/>
          <w:u w:val="single" w:color="auto"/>
          <w:color w:val="auto"/>
        </w:rPr>
        <w:t>Executive</w:t>
      </w:r>
      <w:r>
        <w:rPr>
          <w:rFonts w:ascii="Arial" w:cs="Arial" w:eastAsia="Arial" w:hAnsi="Arial"/>
          <w:sz w:val="19"/>
          <w:szCs w:val="19"/>
          <w:color w:val="auto"/>
        </w:rPr>
        <w:t>”) (together the “</w:t>
      </w:r>
      <w:r>
        <w:rPr>
          <w:rFonts w:ascii="Arial" w:cs="Arial" w:eastAsia="Arial" w:hAnsi="Arial"/>
          <w:sz w:val="19"/>
          <w:szCs w:val="19"/>
          <w:b w:val="1"/>
          <w:bCs w:val="1"/>
          <w:u w:val="single" w:color="auto"/>
          <w:color w:val="auto"/>
        </w:rPr>
        <w:t>Parties</w:t>
      </w:r>
      <w:r>
        <w:rPr>
          <w:rFonts w:ascii="Arial" w:cs="Arial" w:eastAsia="Arial" w:hAnsi="Arial"/>
          <w:sz w:val="19"/>
          <w:szCs w:val="19"/>
          <w:color w:val="auto"/>
        </w:rPr>
        <w:t>”).</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RECITALS</w:t>
      </w:r>
    </w:p>
    <w:p>
      <w:pPr>
        <w:spacing w:after="0" w:line="220" w:lineRule="exact"/>
        <w:rPr>
          <w:sz w:val="20"/>
          <w:szCs w:val="20"/>
          <w:color w:val="auto"/>
        </w:rPr>
      </w:pPr>
    </w:p>
    <w:p>
      <w:pPr>
        <w:ind w:left="980" w:right="620" w:hanging="324"/>
        <w:spacing w:after="0" w:line="263" w:lineRule="auto"/>
        <w:tabs>
          <w:tab w:leader="none" w:pos="9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WHEREAS, the Company desires to employ the Executive as Chief Development Officer in accordance with the provisions of this Agreement; and</w:t>
      </w:r>
    </w:p>
    <w:p>
      <w:pPr>
        <w:spacing w:after="0" w:line="174" w:lineRule="exact"/>
        <w:rPr>
          <w:rFonts w:ascii="Arial" w:cs="Arial" w:eastAsia="Arial" w:hAnsi="Arial"/>
          <w:sz w:val="22"/>
          <w:szCs w:val="22"/>
          <w:color w:val="auto"/>
        </w:rPr>
      </w:pPr>
    </w:p>
    <w:p>
      <w:pPr>
        <w:ind w:left="980" w:right="180" w:hanging="324"/>
        <w:spacing w:after="0" w:line="263" w:lineRule="auto"/>
        <w:tabs>
          <w:tab w:leader="none" w:pos="9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WHEREAS, Executive desires to serve the Company and accept employment under the terms and conditions stated in this Agreement; and</w:t>
      </w:r>
    </w:p>
    <w:p>
      <w:pPr>
        <w:spacing w:after="0" w:line="174" w:lineRule="exact"/>
        <w:rPr>
          <w:rFonts w:ascii="Arial" w:cs="Arial" w:eastAsia="Arial" w:hAnsi="Arial"/>
          <w:sz w:val="22"/>
          <w:szCs w:val="22"/>
          <w:color w:val="auto"/>
        </w:rPr>
      </w:pPr>
    </w:p>
    <w:p>
      <w:pPr>
        <w:ind w:left="980" w:right="80" w:hanging="324"/>
        <w:spacing w:after="0" w:line="263" w:lineRule="auto"/>
        <w:tabs>
          <w:tab w:leader="none" w:pos="9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WHEREAS, the Parties have freely negotiated the terms and conditions of this Agreement and have reached agreement on them.</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THEREFORE, the Parties agree as follows:</w:t>
      </w:r>
    </w:p>
    <w:p>
      <w:pPr>
        <w:spacing w:after="0" w:line="220" w:lineRule="exact"/>
        <w:rPr>
          <w:sz w:val="20"/>
          <w:szCs w:val="20"/>
          <w:color w:val="auto"/>
        </w:rPr>
      </w:pPr>
    </w:p>
    <w:p>
      <w:pPr>
        <w:ind w:firstLine="648"/>
        <w:spacing w:after="0" w:line="260" w:lineRule="auto"/>
        <w:rPr>
          <w:sz w:val="20"/>
          <w:szCs w:val="20"/>
          <w:color w:val="auto"/>
        </w:rPr>
      </w:pPr>
      <w:r>
        <w:rPr>
          <w:rFonts w:ascii="Arial" w:cs="Arial" w:eastAsia="Arial" w:hAnsi="Arial"/>
          <w:sz w:val="21"/>
          <w:szCs w:val="21"/>
          <w:color w:val="auto"/>
        </w:rPr>
        <w:t xml:space="preserve">Section 1. </w:t>
      </w:r>
      <w:r>
        <w:rPr>
          <w:rFonts w:ascii="Arial" w:cs="Arial" w:eastAsia="Arial" w:hAnsi="Arial"/>
          <w:sz w:val="21"/>
          <w:szCs w:val="21"/>
          <w:u w:val="single" w:color="auto"/>
          <w:color w:val="auto"/>
        </w:rPr>
        <w:t>Position and Duties</w:t>
      </w:r>
      <w:r>
        <w:rPr>
          <w:rFonts w:ascii="Arial" w:cs="Arial" w:eastAsia="Arial" w:hAnsi="Arial"/>
          <w:sz w:val="21"/>
          <w:szCs w:val="21"/>
          <w:color w:val="auto"/>
        </w:rPr>
        <w:t xml:space="preserve">. The Executive will serve as </w:t>
      </w:r>
      <w:r>
        <w:rPr>
          <w:rFonts w:ascii="Arial" w:cs="Arial" w:eastAsia="Arial" w:hAnsi="Arial"/>
          <w:sz w:val="21"/>
          <w:szCs w:val="21"/>
          <w:u w:val="single" w:color="auto"/>
          <w:color w:val="auto"/>
        </w:rPr>
        <w:t>Chief Development Officer</w:t>
      </w:r>
      <w:r>
        <w:rPr>
          <w:rFonts w:ascii="Arial" w:cs="Arial" w:eastAsia="Arial" w:hAnsi="Arial"/>
          <w:sz w:val="21"/>
          <w:szCs w:val="21"/>
          <w:color w:val="auto"/>
        </w:rPr>
        <w:t xml:space="preserve"> of the Company, and will have powers and duties consistent with such position as may from time to time be prescribed by the Chief Executive Officer of the Company. As </w:t>
      </w:r>
      <w:r>
        <w:rPr>
          <w:rFonts w:ascii="Arial" w:cs="Arial" w:eastAsia="Arial" w:hAnsi="Arial"/>
          <w:sz w:val="21"/>
          <w:szCs w:val="21"/>
          <w:u w:val="single" w:color="auto"/>
          <w:color w:val="auto"/>
        </w:rPr>
        <w:t>Chief Development Officer</w:t>
      </w:r>
      <w:r>
        <w:rPr>
          <w:rFonts w:ascii="Arial" w:cs="Arial" w:eastAsia="Arial" w:hAnsi="Arial"/>
          <w:sz w:val="21"/>
          <w:szCs w:val="21"/>
          <w:color w:val="auto"/>
        </w:rPr>
        <w:t xml:space="preserve"> of the Company, the Executive shall devote his full working time and efforts to the business and affairs of the Company. Notwithstanding the foregoing, the Executive may manage his personal investments or engage in charitable or other community activities except as restricted or prohibited by the terms of a confidentiality agreement between the Executive and the Company and as long as those engagements, services and activities, individually or in the aggregate, do not interfere with the Executive’s performance of his duties to the Company.</w:t>
      </w:r>
    </w:p>
    <w:p>
      <w:pPr>
        <w:spacing w:after="0" w:line="181"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Compensation and Related Matters</w:t>
      </w:r>
      <w:r>
        <w:rPr>
          <w:rFonts w:ascii="Arial" w:cs="Arial" w:eastAsia="Arial" w:hAnsi="Arial"/>
          <w:sz w:val="19"/>
          <w:szCs w:val="19"/>
          <w:color w:val="auto"/>
        </w:rPr>
        <w:t>.</w:t>
      </w:r>
    </w:p>
    <w:p>
      <w:pPr>
        <w:spacing w:after="0" w:line="220" w:lineRule="exact"/>
        <w:rPr>
          <w:sz w:val="20"/>
          <w:szCs w:val="20"/>
          <w:color w:val="auto"/>
        </w:rPr>
      </w:pPr>
    </w:p>
    <w:p>
      <w:pPr>
        <w:ind w:right="80" w:firstLine="1297"/>
        <w:spacing w:after="0" w:line="297" w:lineRule="auto"/>
        <w:rPr>
          <w:sz w:val="20"/>
          <w:szCs w:val="20"/>
          <w:color w:val="auto"/>
        </w:rPr>
      </w:pPr>
      <w:r>
        <w:rPr>
          <w:rFonts w:ascii="Arial" w:cs="Arial" w:eastAsia="Arial" w:hAnsi="Arial"/>
          <w:sz w:val="19"/>
          <w:szCs w:val="19"/>
          <w:color w:val="auto"/>
        </w:rPr>
        <w:t xml:space="preserve">(a) </w:t>
      </w:r>
      <w:r>
        <w:rPr>
          <w:rFonts w:ascii="Arial" w:cs="Arial" w:eastAsia="Arial" w:hAnsi="Arial"/>
          <w:sz w:val="19"/>
          <w:szCs w:val="19"/>
          <w:u w:val="single" w:color="auto"/>
          <w:color w:val="auto"/>
        </w:rPr>
        <w:t>Base Salary</w:t>
      </w:r>
      <w:r>
        <w:rPr>
          <w:rFonts w:ascii="Arial" w:cs="Arial" w:eastAsia="Arial" w:hAnsi="Arial"/>
          <w:sz w:val="19"/>
          <w:szCs w:val="19"/>
          <w:color w:val="auto"/>
        </w:rPr>
        <w:t>. The Executive’s base salary will be US$375,000 per year. The Executive’s base salary will be reviewed annually by the Chief Executive Officer of the Company and is subject to increase but not decrease except for an across-the-board salary reduction affecting all senior executives of the Company. The base salary in effect at any given time is referred to as “</w:t>
      </w:r>
      <w:r>
        <w:rPr>
          <w:rFonts w:ascii="Arial" w:cs="Arial" w:eastAsia="Arial" w:hAnsi="Arial"/>
          <w:sz w:val="19"/>
          <w:szCs w:val="19"/>
          <w:b w:val="1"/>
          <w:bCs w:val="1"/>
          <w:u w:val="single" w:color="auto"/>
          <w:color w:val="auto"/>
        </w:rPr>
        <w:t>Base Salary</w:t>
      </w:r>
      <w:r>
        <w:rPr>
          <w:rFonts w:ascii="Arial" w:cs="Arial" w:eastAsia="Arial" w:hAnsi="Arial"/>
          <w:sz w:val="19"/>
          <w:szCs w:val="19"/>
          <w:color w:val="auto"/>
        </w:rPr>
        <w:t>” and this Agreement need not be modified to reflect a change in Base Salary. The Base Salary is subject to withholding and payable in a manner that is consistent with the Company’s usual payroll practices for senior executives.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860" w:type="dxa"/>
            <w:vAlign w:val="bottom"/>
          </w:tcPr>
          <w:p>
            <w:pPr>
              <w:ind w:left="1300"/>
              <w:spacing w:after="0"/>
              <w:rPr>
                <w:sz w:val="20"/>
                <w:szCs w:val="20"/>
                <w:color w:val="auto"/>
              </w:rPr>
            </w:pPr>
            <w:r>
              <w:rPr>
                <w:rFonts w:ascii="Arial" w:cs="Arial" w:eastAsia="Arial" w:hAnsi="Arial"/>
                <w:sz w:val="22"/>
                <w:szCs w:val="22"/>
                <w:color w:val="auto"/>
              </w:rPr>
              <w:t>(b)</w:t>
            </w:r>
          </w:p>
        </w:tc>
        <w:tc>
          <w:tcPr>
            <w:tcW w:w="8400" w:type="dxa"/>
            <w:vAlign w:val="bottom"/>
            <w:gridSpan w:val="5"/>
          </w:tcPr>
          <w:p>
            <w:pPr>
              <w:spacing w:after="0"/>
              <w:rPr>
                <w:sz w:val="20"/>
                <w:szCs w:val="20"/>
                <w:color w:val="auto"/>
              </w:rPr>
            </w:pPr>
            <w:r>
              <w:rPr>
                <w:rFonts w:ascii="Arial" w:cs="Arial" w:eastAsia="Arial" w:hAnsi="Arial"/>
                <w:sz w:val="22"/>
                <w:szCs w:val="22"/>
                <w:color w:val="auto"/>
                <w:w w:val="89"/>
              </w:rPr>
              <w:t>Bonus. The Executive is eligible to be considered for an annual discretionary bonus of up to 40%</w:t>
            </w:r>
          </w:p>
        </w:tc>
      </w:tr>
      <w:tr>
        <w:trPr>
          <w:trHeight w:val="20"/>
        </w:trPr>
        <w:tc>
          <w:tcPr>
            <w:tcW w:w="28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r>
      <w:tr>
        <w:trPr>
          <w:trHeight w:val="263"/>
        </w:trPr>
        <w:tc>
          <w:tcPr>
            <w:tcW w:w="11260" w:type="dxa"/>
            <w:vAlign w:val="bottom"/>
            <w:gridSpan w:val="6"/>
          </w:tcPr>
          <w:p>
            <w:pPr>
              <w:spacing w:after="0"/>
              <w:rPr>
                <w:sz w:val="20"/>
                <w:szCs w:val="20"/>
                <w:color w:val="auto"/>
              </w:rPr>
            </w:pPr>
            <w:r>
              <w:rPr>
                <w:rFonts w:ascii="Arial" w:cs="Arial" w:eastAsia="Arial" w:hAnsi="Arial"/>
                <w:sz w:val="22"/>
                <w:szCs w:val="22"/>
                <w:color w:val="auto"/>
                <w:w w:val="93"/>
              </w:rPr>
              <w:t>of Base Salary (such bonus, the “</w:t>
            </w:r>
            <w:r>
              <w:rPr>
                <w:rFonts w:ascii="Arial" w:cs="Arial" w:eastAsia="Arial" w:hAnsi="Arial"/>
                <w:sz w:val="22"/>
                <w:szCs w:val="22"/>
                <w:b w:val="1"/>
                <w:bCs w:val="1"/>
                <w:color w:val="auto"/>
                <w:w w:val="93"/>
              </w:rPr>
              <w:t>Target Bonus</w:t>
            </w:r>
            <w:r>
              <w:rPr>
                <w:rFonts w:ascii="Arial" w:cs="Arial" w:eastAsia="Arial" w:hAnsi="Arial"/>
                <w:sz w:val="22"/>
                <w:szCs w:val="22"/>
                <w:color w:val="auto"/>
                <w:w w:val="93"/>
              </w:rPr>
              <w:t>”). The Target Bonus shall be subject to the terms of the bonus plan and the</w:t>
            </w:r>
          </w:p>
        </w:tc>
      </w:tr>
      <w:tr>
        <w:trPr>
          <w:trHeight w:val="230"/>
        </w:trPr>
        <w:tc>
          <w:tcPr>
            <w:tcW w:w="11260" w:type="dxa"/>
            <w:vAlign w:val="bottom"/>
            <w:gridSpan w:val="6"/>
          </w:tcPr>
          <w:p>
            <w:pPr>
              <w:spacing w:after="0" w:line="230" w:lineRule="exact"/>
              <w:rPr>
                <w:sz w:val="20"/>
                <w:szCs w:val="20"/>
                <w:color w:val="auto"/>
              </w:rPr>
            </w:pPr>
            <w:r>
              <w:rPr>
                <w:rFonts w:ascii="Arial" w:cs="Arial" w:eastAsia="Arial" w:hAnsi="Arial"/>
                <w:sz w:val="22"/>
                <w:szCs w:val="22"/>
                <w:color w:val="auto"/>
              </w:rPr>
              <w:t>approval of the Company’s Board of Directors (the “</w:t>
            </w:r>
            <w:r>
              <w:rPr>
                <w:rFonts w:ascii="Arial" w:cs="Arial" w:eastAsia="Arial" w:hAnsi="Arial"/>
                <w:sz w:val="22"/>
                <w:szCs w:val="22"/>
                <w:b w:val="1"/>
                <w:bCs w:val="1"/>
                <w:color w:val="auto"/>
              </w:rPr>
              <w:t>Board</w:t>
            </w:r>
            <w:r>
              <w:rPr>
                <w:rFonts w:ascii="Arial" w:cs="Arial" w:eastAsia="Arial" w:hAnsi="Arial"/>
                <w:sz w:val="22"/>
                <w:szCs w:val="22"/>
                <w:color w:val="auto"/>
              </w:rPr>
              <w:t>”), in its sole discretion, on an annual basis.</w:t>
            </w:r>
          </w:p>
        </w:tc>
      </w:tr>
      <w:tr>
        <w:trPr>
          <w:trHeight w:val="20"/>
        </w:trPr>
        <w:tc>
          <w:tcPr>
            <w:tcW w:w="28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r>
      <w:tr>
        <w:trPr>
          <w:trHeight w:val="453"/>
        </w:trPr>
        <w:tc>
          <w:tcPr>
            <w:tcW w:w="2860" w:type="dxa"/>
            <w:vAlign w:val="bottom"/>
          </w:tcPr>
          <w:p>
            <w:pPr>
              <w:ind w:left="1300"/>
              <w:spacing w:after="0"/>
              <w:rPr>
                <w:sz w:val="20"/>
                <w:szCs w:val="20"/>
                <w:color w:val="auto"/>
              </w:rPr>
            </w:pPr>
            <w:r>
              <w:rPr>
                <w:rFonts w:ascii="Arial" w:cs="Arial" w:eastAsia="Arial" w:hAnsi="Arial"/>
                <w:sz w:val="22"/>
                <w:szCs w:val="22"/>
                <w:color w:val="auto"/>
              </w:rPr>
              <w:t>(c)</w:t>
            </w:r>
          </w:p>
        </w:tc>
        <w:tc>
          <w:tcPr>
            <w:tcW w:w="8400" w:type="dxa"/>
            <w:vAlign w:val="bottom"/>
            <w:gridSpan w:val="5"/>
          </w:tcPr>
          <w:p>
            <w:pPr>
              <w:spacing w:after="0"/>
              <w:rPr>
                <w:sz w:val="20"/>
                <w:szCs w:val="20"/>
                <w:color w:val="auto"/>
              </w:rPr>
            </w:pPr>
            <w:r>
              <w:rPr>
                <w:rFonts w:ascii="Arial" w:cs="Arial" w:eastAsia="Arial" w:hAnsi="Arial"/>
                <w:sz w:val="22"/>
                <w:szCs w:val="22"/>
                <w:color w:val="auto"/>
                <w:w w:val="88"/>
              </w:rPr>
              <w:t>Expenses. The Executive is entitled to receive prompt reimbursement for all reasonable expenses</w:t>
            </w:r>
          </w:p>
        </w:tc>
      </w:tr>
      <w:tr>
        <w:trPr>
          <w:trHeight w:val="20"/>
        </w:trPr>
        <w:tc>
          <w:tcPr>
            <w:tcW w:w="28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r>
    </w:tbl>
    <w:p>
      <w:pPr>
        <w:spacing w:after="0" w:line="19" w:lineRule="exact"/>
        <w:rPr>
          <w:sz w:val="20"/>
          <w:szCs w:val="20"/>
          <w:color w:val="auto"/>
        </w:rPr>
      </w:pPr>
    </w:p>
    <w:p>
      <w:pPr>
        <w:ind w:right="360"/>
        <w:spacing w:after="0" w:line="263" w:lineRule="auto"/>
        <w:rPr>
          <w:sz w:val="20"/>
          <w:szCs w:val="20"/>
          <w:color w:val="auto"/>
        </w:rPr>
      </w:pPr>
      <w:r>
        <w:rPr>
          <w:rFonts w:ascii="Arial" w:cs="Arial" w:eastAsia="Arial" w:hAnsi="Arial"/>
          <w:sz w:val="22"/>
          <w:szCs w:val="22"/>
          <w:color w:val="auto"/>
        </w:rPr>
        <w:t>incurred by him in performing services under this Agreement, in accordance with the policies and procedures then in effect and established by the Company for its senior executives.</w:t>
      </w:r>
    </w:p>
    <w:p>
      <w:pPr>
        <w:spacing w:after="0" w:line="175" w:lineRule="exact"/>
        <w:rPr>
          <w:sz w:val="20"/>
          <w:szCs w:val="20"/>
          <w:color w:val="auto"/>
        </w:rPr>
      </w:pPr>
    </w:p>
    <w:p>
      <w:pPr>
        <w:jc w:val="both"/>
        <w:ind w:right="80" w:firstLine="1297"/>
        <w:spacing w:after="0" w:line="253" w:lineRule="auto"/>
        <w:rPr>
          <w:sz w:val="20"/>
          <w:szCs w:val="20"/>
          <w:color w:val="auto"/>
        </w:rPr>
      </w:pPr>
      <w:r>
        <w:rPr>
          <w:rFonts w:ascii="Arial" w:cs="Arial" w:eastAsia="Arial" w:hAnsi="Arial"/>
          <w:sz w:val="22"/>
          <w:szCs w:val="22"/>
          <w:color w:val="auto"/>
        </w:rPr>
        <w:t xml:space="preserve">(d) </w:t>
      </w:r>
      <w:r>
        <w:rPr>
          <w:rFonts w:ascii="Arial" w:cs="Arial" w:eastAsia="Arial" w:hAnsi="Arial"/>
          <w:sz w:val="22"/>
          <w:szCs w:val="22"/>
          <w:u w:val="single" w:color="auto"/>
          <w:color w:val="auto"/>
        </w:rPr>
        <w:t>Other Benefits</w:t>
      </w:r>
      <w:r>
        <w:rPr>
          <w:rFonts w:ascii="Arial" w:cs="Arial" w:eastAsia="Arial" w:hAnsi="Arial"/>
          <w:sz w:val="22"/>
          <w:szCs w:val="22"/>
          <w:color w:val="auto"/>
        </w:rPr>
        <w:t>. The Executive is entitled to participate in or receive benefits consistent with other senior executives under the Company’s employee benefit plans as they may be adopted and amended from time to time, subject to the terms and conditions of those employee benefit plans.</w:t>
      </w:r>
    </w:p>
    <w:p>
      <w:pPr>
        <w:spacing w:after="0" w:line="186" w:lineRule="exact"/>
        <w:rPr>
          <w:sz w:val="20"/>
          <w:szCs w:val="20"/>
          <w:color w:val="auto"/>
        </w:rPr>
      </w:pPr>
    </w:p>
    <w:p>
      <w:pPr>
        <w:ind w:right="60" w:firstLine="1297"/>
        <w:spacing w:after="0" w:line="246" w:lineRule="auto"/>
        <w:rPr>
          <w:sz w:val="20"/>
          <w:szCs w:val="20"/>
          <w:color w:val="auto"/>
        </w:rPr>
      </w:pPr>
      <w:r>
        <w:rPr>
          <w:rFonts w:ascii="Arial" w:cs="Arial" w:eastAsia="Arial" w:hAnsi="Arial"/>
          <w:sz w:val="22"/>
          <w:szCs w:val="22"/>
          <w:color w:val="auto"/>
        </w:rPr>
        <w:t xml:space="preserve">(e) </w:t>
      </w:r>
      <w:r>
        <w:rPr>
          <w:rFonts w:ascii="Arial" w:cs="Arial" w:eastAsia="Arial" w:hAnsi="Arial"/>
          <w:sz w:val="22"/>
          <w:szCs w:val="22"/>
          <w:u w:val="single" w:color="auto"/>
          <w:color w:val="auto"/>
        </w:rPr>
        <w:t>Equity Compensation</w:t>
      </w:r>
      <w:r>
        <w:rPr>
          <w:rFonts w:ascii="Arial" w:cs="Arial" w:eastAsia="Arial" w:hAnsi="Arial"/>
          <w:sz w:val="22"/>
          <w:szCs w:val="22"/>
          <w:color w:val="auto"/>
        </w:rPr>
        <w:t>. Subject to the discretionary approval of the Company’s Board of Directors, and in accordance with the Company’s annual performance and compensation review process, the Executive shall be eligible to receive equity awards under the Arbutus Biopharma Corporation 2016 Omnibus Share and Incentive Plan and or any other similar equity incentive plan (the “</w:t>
      </w:r>
      <w:r>
        <w:rPr>
          <w:rFonts w:ascii="Arial" w:cs="Arial" w:eastAsia="Arial" w:hAnsi="Arial"/>
          <w:sz w:val="22"/>
          <w:szCs w:val="22"/>
          <w:b w:val="1"/>
          <w:bCs w:val="1"/>
          <w:u w:val="single" w:color="auto"/>
          <w:color w:val="auto"/>
        </w:rPr>
        <w:t>Equity Plan</w:t>
      </w:r>
      <w:r>
        <w:rPr>
          <w:rFonts w:ascii="Arial" w:cs="Arial" w:eastAsia="Arial" w:hAnsi="Arial"/>
          <w:sz w:val="22"/>
          <w:szCs w:val="22"/>
          <w:color w:val="auto"/>
        </w:rPr>
        <w:t>”) to the same extent as other executives of the Company. The Company’s President and CEO will promptly recommend to the Board that the Executive receive an option grant in the amount of 200,000 shares of the Company, subject to the terms of the Equity Plan, the terms of a notice of grant and any other terms as may be required by the Board.</w:t>
      </w:r>
    </w:p>
    <w:p>
      <w:pPr>
        <w:spacing w:after="0" w:line="197" w:lineRule="exact"/>
        <w:rPr>
          <w:sz w:val="20"/>
          <w:szCs w:val="20"/>
          <w:color w:val="auto"/>
        </w:rPr>
      </w:pPr>
    </w:p>
    <w:p>
      <w:pPr>
        <w:ind w:right="140" w:firstLine="1297"/>
        <w:spacing w:after="0" w:line="265" w:lineRule="auto"/>
        <w:rPr>
          <w:sz w:val="20"/>
          <w:szCs w:val="20"/>
          <w:color w:val="auto"/>
        </w:rPr>
      </w:pPr>
      <w:r>
        <w:rPr>
          <w:rFonts w:ascii="Arial" w:cs="Arial" w:eastAsia="Arial" w:hAnsi="Arial"/>
          <w:sz w:val="21"/>
          <w:szCs w:val="21"/>
          <w:color w:val="auto"/>
        </w:rPr>
        <w:t xml:space="preserve">(f) </w:t>
      </w:r>
      <w:r>
        <w:rPr>
          <w:rFonts w:ascii="Arial" w:cs="Arial" w:eastAsia="Arial" w:hAnsi="Arial"/>
          <w:sz w:val="21"/>
          <w:szCs w:val="21"/>
          <w:u w:val="single" w:color="auto"/>
          <w:color w:val="auto"/>
        </w:rPr>
        <w:t>Vacations</w:t>
      </w:r>
      <w:r>
        <w:rPr>
          <w:rFonts w:ascii="Arial" w:cs="Arial" w:eastAsia="Arial" w:hAnsi="Arial"/>
          <w:sz w:val="21"/>
          <w:szCs w:val="21"/>
          <w:color w:val="auto"/>
        </w:rPr>
        <w:t>. The Executive is entitled to paid vacation each year, in addition to sick leave and observed holidays in accordance with the policies and practices of the Company, as may be amended from time to time. Vacation may be taken at such times and intervals as the Executive shall determine, subject to the business needs of the Company. Vacation does not accrue and, accordingly, will not be paid out upon termination of employment.</w:t>
      </w:r>
    </w:p>
    <w:p>
      <w:pPr>
        <w:spacing w:after="0" w:line="176"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Non-Competition and Non-Solicitation</w:t>
      </w:r>
    </w:p>
    <w:p>
      <w:pPr>
        <w:spacing w:after="0" w:line="220" w:lineRule="exact"/>
        <w:rPr>
          <w:sz w:val="20"/>
          <w:szCs w:val="20"/>
          <w:color w:val="auto"/>
        </w:rPr>
      </w:pPr>
    </w:p>
    <w:p>
      <w:pPr>
        <w:ind w:right="180" w:firstLine="1305"/>
        <w:spacing w:after="0" w:line="260" w:lineRule="auto"/>
        <w:tabs>
          <w:tab w:leader="none" w:pos="1716"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Executive acknowledges that the Company’s industry is highly competitive and employees leaving the employ of the Company have the ability to cause significant damage to the Company’s interests if they join a competing business immediately upon leaving the Company.</w:t>
      </w:r>
    </w:p>
    <w:p>
      <w:pPr>
        <w:spacing w:after="0" w:line="177" w:lineRule="exact"/>
        <w:rPr>
          <w:rFonts w:ascii="Arial" w:cs="Arial" w:eastAsia="Arial" w:hAnsi="Arial"/>
          <w:sz w:val="22"/>
          <w:szCs w:val="22"/>
          <w:color w:val="auto"/>
        </w:rPr>
      </w:pPr>
    </w:p>
    <w:p>
      <w:pPr>
        <w:ind w:left="1740" w:hanging="435"/>
        <w:spacing w:after="0"/>
        <w:tabs>
          <w:tab w:leader="none" w:pos="1740"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Definitions:</w:t>
      </w:r>
    </w:p>
    <w:p>
      <w:pPr>
        <w:sectPr>
          <w:pgSz w:w="11900" w:h="16838" w:orient="portrait"/>
          <w:cols w:equalWidth="0" w:num="1">
            <w:col w:w="11380"/>
          </w:cols>
          <w:pgMar w:left="240" w:top="369" w:right="279" w:bottom="0" w:gutter="0" w:footer="0" w:header="0"/>
        </w:sectPr>
      </w:pPr>
    </w:p>
    <w:bookmarkStart w:id="41" w:name="page42"/>
    <w:bookmarkEnd w:id="41"/>
    <w:p>
      <w:pPr>
        <w:ind w:right="80" w:firstLine="1953"/>
        <w:spacing w:after="0" w:line="276" w:lineRule="auto"/>
        <w:tabs>
          <w:tab w:leader="none" w:pos="2329" w:val="left"/>
        </w:tabs>
        <w:numPr>
          <w:ilvl w:val="1"/>
          <w:numId w:val="31"/>
        </w:numPr>
        <w:rPr>
          <w:rFonts w:ascii="Arial" w:cs="Arial" w:eastAsia="Arial" w:hAnsi="Arial"/>
          <w:sz w:val="22"/>
          <w:szCs w:val="22"/>
          <w:color w:val="auto"/>
        </w:rPr>
      </w:pPr>
      <w:r>
        <w:rPr>
          <w:rFonts w:ascii="Arial" w:cs="Arial" w:eastAsia="Arial" w:hAnsi="Arial"/>
          <w:sz w:val="22"/>
          <w:szCs w:val="22"/>
          <w:color w:val="auto"/>
        </w:rPr>
        <w:t>“Affiliate” means any person or entity directly or indirectly controlling, controlled by or under common control with the Company, where control may be by either management authority or equity interest.</w:t>
      </w:r>
    </w:p>
    <w:p>
      <w:pPr>
        <w:spacing w:after="0" w:line="160" w:lineRule="exact"/>
        <w:rPr>
          <w:rFonts w:ascii="Arial" w:cs="Arial" w:eastAsia="Arial" w:hAnsi="Arial"/>
          <w:sz w:val="22"/>
          <w:szCs w:val="22"/>
          <w:color w:val="auto"/>
        </w:rPr>
      </w:pPr>
    </w:p>
    <w:p>
      <w:pPr>
        <w:jc w:val="both"/>
        <w:ind w:right="20" w:firstLine="1953"/>
        <w:spacing w:after="0" w:line="254" w:lineRule="auto"/>
        <w:tabs>
          <w:tab w:leader="none" w:pos="2389" w:val="left"/>
        </w:tabs>
        <w:numPr>
          <w:ilvl w:val="1"/>
          <w:numId w:val="31"/>
        </w:numPr>
        <w:rPr>
          <w:rFonts w:ascii="Arial" w:cs="Arial" w:eastAsia="Arial" w:hAnsi="Arial"/>
          <w:sz w:val="22"/>
          <w:szCs w:val="22"/>
          <w:color w:val="auto"/>
        </w:rPr>
      </w:pPr>
      <w:r>
        <w:rPr>
          <w:rFonts w:ascii="Arial" w:cs="Arial" w:eastAsia="Arial" w:hAnsi="Arial"/>
          <w:sz w:val="22"/>
          <w:szCs w:val="22"/>
          <w:color w:val="auto"/>
        </w:rPr>
        <w:t>“Business” or “Business of the Company” means (a) researching, developing, producing and marketing any treatment for hepatitis B virus infection in humans or (b) any other treatment area in which the Company has an active research and development program on the date this Agreement terminates and in connection with which the Executive directly provided service or had direct supervisory responsibilities.</w:t>
      </w:r>
    </w:p>
    <w:p>
      <w:pPr>
        <w:spacing w:after="0" w:line="185" w:lineRule="exact"/>
        <w:rPr>
          <w:rFonts w:ascii="Arial" w:cs="Arial" w:eastAsia="Arial" w:hAnsi="Arial"/>
          <w:sz w:val="22"/>
          <w:szCs w:val="22"/>
          <w:color w:val="auto"/>
        </w:rPr>
      </w:pPr>
    </w:p>
    <w:p>
      <w:pPr>
        <w:ind w:right="180" w:firstLine="1953"/>
        <w:spacing w:after="0" w:line="276" w:lineRule="auto"/>
        <w:tabs>
          <w:tab w:leader="none" w:pos="2449" w:val="left"/>
        </w:tabs>
        <w:numPr>
          <w:ilvl w:val="1"/>
          <w:numId w:val="31"/>
        </w:numPr>
        <w:rPr>
          <w:rFonts w:ascii="Arial" w:cs="Arial" w:eastAsia="Arial" w:hAnsi="Arial"/>
          <w:sz w:val="22"/>
          <w:szCs w:val="22"/>
          <w:color w:val="auto"/>
        </w:rPr>
      </w:pPr>
      <w:r>
        <w:rPr>
          <w:rFonts w:ascii="Arial" w:cs="Arial" w:eastAsia="Arial" w:hAnsi="Arial"/>
          <w:sz w:val="22"/>
          <w:szCs w:val="22"/>
          <w:color w:val="auto"/>
        </w:rPr>
        <w:t>“Competing Business” means any endeavor, activity or business which is competitive in any material way with the Business of the Company worldwide.</w:t>
      </w:r>
    </w:p>
    <w:p>
      <w:pPr>
        <w:spacing w:after="0" w:line="160" w:lineRule="exact"/>
        <w:rPr>
          <w:rFonts w:ascii="Arial" w:cs="Arial" w:eastAsia="Arial" w:hAnsi="Arial"/>
          <w:sz w:val="22"/>
          <w:szCs w:val="22"/>
          <w:color w:val="auto"/>
        </w:rPr>
      </w:pPr>
    </w:p>
    <w:p>
      <w:pPr>
        <w:jc w:val="both"/>
        <w:ind w:right="440" w:firstLine="1953"/>
        <w:spacing w:after="0" w:line="254" w:lineRule="auto"/>
        <w:tabs>
          <w:tab w:leader="none" w:pos="2437" w:val="left"/>
        </w:tabs>
        <w:numPr>
          <w:ilvl w:val="1"/>
          <w:numId w:val="31"/>
        </w:numPr>
        <w:rPr>
          <w:rFonts w:ascii="Arial" w:cs="Arial" w:eastAsia="Arial" w:hAnsi="Arial"/>
          <w:sz w:val="22"/>
          <w:szCs w:val="22"/>
          <w:color w:val="auto"/>
        </w:rPr>
      </w:pPr>
      <w:r>
        <w:rPr>
          <w:rFonts w:ascii="Arial" w:cs="Arial" w:eastAsia="Arial" w:hAnsi="Arial"/>
          <w:sz w:val="22"/>
          <w:szCs w:val="22"/>
          <w:color w:val="auto"/>
        </w:rPr>
        <w:t>“Contact” means any person, firm, corporation or other entity that was a client, customer, supplier, principal, shareholder, investor, collaborator, strategic partner, licensee, contact or prospect of the Company (or of its partners, funders or Affiliates) with whom the Executive dealt or otherwise became aware of during the term of his employment in any capacity with the Company.</w:t>
      </w:r>
    </w:p>
    <w:p>
      <w:pPr>
        <w:spacing w:after="0" w:line="185" w:lineRule="exact"/>
        <w:rPr>
          <w:rFonts w:ascii="Arial" w:cs="Arial" w:eastAsia="Arial" w:hAnsi="Arial"/>
          <w:sz w:val="22"/>
          <w:szCs w:val="22"/>
          <w:color w:val="auto"/>
        </w:rPr>
      </w:pPr>
    </w:p>
    <w:p>
      <w:pPr>
        <w:ind w:right="20" w:firstLine="1953"/>
        <w:spacing w:after="0" w:line="260" w:lineRule="auto"/>
        <w:tabs>
          <w:tab w:leader="none" w:pos="2377" w:val="left"/>
        </w:tabs>
        <w:numPr>
          <w:ilvl w:val="1"/>
          <w:numId w:val="31"/>
        </w:numPr>
        <w:rPr>
          <w:rFonts w:ascii="Arial" w:cs="Arial" w:eastAsia="Arial" w:hAnsi="Arial"/>
          <w:sz w:val="22"/>
          <w:szCs w:val="22"/>
          <w:color w:val="auto"/>
        </w:rPr>
      </w:pPr>
      <w:r>
        <w:rPr>
          <w:rFonts w:ascii="Arial" w:cs="Arial" w:eastAsia="Arial" w:hAnsi="Arial"/>
          <w:sz w:val="22"/>
          <w:szCs w:val="22"/>
          <w:color w:val="auto"/>
        </w:rPr>
        <w:t>“Restricted Period” means: (a) with respect to Section 3(d) the eighteen (18) month period commencing immediately after the Executive’s employment terminates and (b) with respect to Section 3(f), the twelve (12) month period commencing immediately after the Executive’s employment terminates.</w:t>
      </w:r>
    </w:p>
    <w:p>
      <w:pPr>
        <w:spacing w:after="0" w:line="177" w:lineRule="exact"/>
        <w:rPr>
          <w:rFonts w:ascii="Arial" w:cs="Arial" w:eastAsia="Arial" w:hAnsi="Arial"/>
          <w:sz w:val="22"/>
          <w:szCs w:val="22"/>
          <w:color w:val="auto"/>
        </w:rPr>
      </w:pPr>
    </w:p>
    <w:p>
      <w:pPr>
        <w:ind w:left="1720" w:hanging="415"/>
        <w:spacing w:after="0"/>
        <w:tabs>
          <w:tab w:leader="none" w:pos="172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Reasonableness</w:t>
      </w:r>
      <w:r>
        <w:rPr>
          <w:rFonts w:ascii="Arial" w:cs="Arial" w:eastAsia="Arial" w:hAnsi="Arial"/>
          <w:sz w:val="22"/>
          <w:szCs w:val="22"/>
          <w:color w:val="auto"/>
        </w:rPr>
        <w:t>. The Executive hereby acknowledges and agrees that:</w:t>
      </w:r>
    </w:p>
    <w:p>
      <w:pPr>
        <w:spacing w:after="0" w:line="233" w:lineRule="exact"/>
        <w:rPr>
          <w:rFonts w:ascii="Arial" w:cs="Arial" w:eastAsia="Arial" w:hAnsi="Arial"/>
          <w:sz w:val="22"/>
          <w:szCs w:val="22"/>
          <w:color w:val="auto"/>
        </w:rPr>
      </w:pPr>
    </w:p>
    <w:p>
      <w:pPr>
        <w:ind w:right="160" w:firstLine="1953"/>
        <w:spacing w:after="0" w:line="276" w:lineRule="auto"/>
        <w:tabs>
          <w:tab w:leader="none" w:pos="2329" w:val="left"/>
        </w:tabs>
        <w:numPr>
          <w:ilvl w:val="1"/>
          <w:numId w:val="32"/>
        </w:numPr>
        <w:rPr>
          <w:rFonts w:ascii="Arial" w:cs="Arial" w:eastAsia="Arial" w:hAnsi="Arial"/>
          <w:sz w:val="22"/>
          <w:szCs w:val="22"/>
          <w:color w:val="auto"/>
        </w:rPr>
      </w:pPr>
      <w:r>
        <w:rPr>
          <w:rFonts w:ascii="Arial" w:cs="Arial" w:eastAsia="Arial" w:hAnsi="Arial"/>
          <w:sz w:val="22"/>
          <w:szCs w:val="22"/>
          <w:color w:val="auto"/>
        </w:rPr>
        <w:t>both before and since the Effective Date the Company has operated and competed and will operate and compete worldwide, with respect to the Business of the Company;</w:t>
      </w:r>
    </w:p>
    <w:p>
      <w:pPr>
        <w:spacing w:after="0" w:line="160" w:lineRule="exact"/>
        <w:rPr>
          <w:rFonts w:ascii="Arial" w:cs="Arial" w:eastAsia="Arial" w:hAnsi="Arial"/>
          <w:sz w:val="22"/>
          <w:szCs w:val="22"/>
          <w:color w:val="auto"/>
        </w:rPr>
      </w:pPr>
    </w:p>
    <w:p>
      <w:pPr>
        <w:ind w:left="2400" w:hanging="447"/>
        <w:spacing w:after="0"/>
        <w:tabs>
          <w:tab w:leader="none" w:pos="2400" w:val="left"/>
        </w:tabs>
        <w:numPr>
          <w:ilvl w:val="1"/>
          <w:numId w:val="32"/>
        </w:numPr>
        <w:rPr>
          <w:rFonts w:ascii="Arial" w:cs="Arial" w:eastAsia="Arial" w:hAnsi="Arial"/>
          <w:sz w:val="22"/>
          <w:szCs w:val="22"/>
          <w:color w:val="auto"/>
        </w:rPr>
      </w:pPr>
      <w:r>
        <w:rPr>
          <w:rFonts w:ascii="Arial" w:cs="Arial" w:eastAsia="Arial" w:hAnsi="Arial"/>
          <w:sz w:val="22"/>
          <w:szCs w:val="22"/>
          <w:color w:val="auto"/>
        </w:rPr>
        <w:t>competitors of the Company and the Business are located worldwide;</w:t>
      </w:r>
    </w:p>
    <w:p>
      <w:pPr>
        <w:spacing w:after="0" w:line="233" w:lineRule="exact"/>
        <w:rPr>
          <w:rFonts w:ascii="Arial" w:cs="Arial" w:eastAsia="Arial" w:hAnsi="Arial"/>
          <w:sz w:val="22"/>
          <w:szCs w:val="22"/>
          <w:color w:val="auto"/>
        </w:rPr>
      </w:pPr>
    </w:p>
    <w:p>
      <w:pPr>
        <w:ind w:right="180" w:firstLine="1953"/>
        <w:spacing w:after="0" w:line="358" w:lineRule="auto"/>
        <w:tabs>
          <w:tab w:leader="none" w:pos="2449" w:val="left"/>
        </w:tabs>
        <w:numPr>
          <w:ilvl w:val="1"/>
          <w:numId w:val="32"/>
        </w:numPr>
        <w:rPr>
          <w:rFonts w:ascii="Arial" w:cs="Arial" w:eastAsia="Arial" w:hAnsi="Arial"/>
          <w:sz w:val="19"/>
          <w:szCs w:val="19"/>
          <w:color w:val="auto"/>
        </w:rPr>
      </w:pPr>
      <w:r>
        <w:rPr>
          <w:rFonts w:ascii="Arial" w:cs="Arial" w:eastAsia="Arial" w:hAnsi="Arial"/>
          <w:sz w:val="19"/>
          <w:szCs w:val="19"/>
          <w:color w:val="auto"/>
        </w:rPr>
        <w:t>in order to protect the Company adequately, any enjoinder of competition would have to apply to any country in which the Company, during the term of the Executive’s employment, had material business relationships;</w:t>
      </w:r>
    </w:p>
    <w:p>
      <w:pPr>
        <w:spacing w:after="0" w:line="90" w:lineRule="exact"/>
        <w:rPr>
          <w:rFonts w:ascii="Arial" w:cs="Arial" w:eastAsia="Arial" w:hAnsi="Arial"/>
          <w:sz w:val="19"/>
          <w:szCs w:val="19"/>
          <w:color w:val="auto"/>
        </w:rPr>
      </w:pPr>
    </w:p>
    <w:p>
      <w:pPr>
        <w:jc w:val="both"/>
        <w:ind w:right="60" w:firstLine="1953"/>
        <w:spacing w:after="0" w:line="307" w:lineRule="auto"/>
        <w:tabs>
          <w:tab w:leader="none" w:pos="2437" w:val="left"/>
        </w:tabs>
        <w:numPr>
          <w:ilvl w:val="1"/>
          <w:numId w:val="32"/>
        </w:numPr>
        <w:rPr>
          <w:rFonts w:ascii="Arial" w:cs="Arial" w:eastAsia="Arial" w:hAnsi="Arial"/>
          <w:sz w:val="19"/>
          <w:szCs w:val="19"/>
          <w:color w:val="auto"/>
        </w:rPr>
      </w:pPr>
      <w:r>
        <w:rPr>
          <w:rFonts w:ascii="Arial" w:cs="Arial" w:eastAsia="Arial" w:hAnsi="Arial"/>
          <w:sz w:val="19"/>
          <w:szCs w:val="19"/>
          <w:color w:val="auto"/>
        </w:rPr>
        <w:t>during the course of the Executive’s employment with the Company, on behalf of the Company, the Executive will acquire knowledge of, and will come into contact with, initiate and establish relationships with, both existing and new clients, customers, suppliers, principals, contacts and prospects of the Company, and that in some circumstances the Executive may become the senior or sole representative of the Company dealing with such persons; and</w:t>
      </w:r>
    </w:p>
    <w:p>
      <w:pPr>
        <w:spacing w:after="0" w:line="138" w:lineRule="exact"/>
        <w:rPr>
          <w:rFonts w:ascii="Arial" w:cs="Arial" w:eastAsia="Arial" w:hAnsi="Arial"/>
          <w:sz w:val="19"/>
          <w:szCs w:val="19"/>
          <w:color w:val="auto"/>
        </w:rPr>
      </w:pPr>
    </w:p>
    <w:p>
      <w:pPr>
        <w:ind w:right="360" w:firstLine="1953"/>
        <w:spacing w:after="0" w:line="276" w:lineRule="auto"/>
        <w:tabs>
          <w:tab w:leader="none" w:pos="2377" w:val="left"/>
        </w:tabs>
        <w:numPr>
          <w:ilvl w:val="1"/>
          <w:numId w:val="32"/>
        </w:numPr>
        <w:rPr>
          <w:rFonts w:ascii="Arial" w:cs="Arial" w:eastAsia="Arial" w:hAnsi="Arial"/>
          <w:sz w:val="22"/>
          <w:szCs w:val="22"/>
          <w:color w:val="auto"/>
        </w:rPr>
      </w:pPr>
      <w:r>
        <w:rPr>
          <w:rFonts w:ascii="Arial" w:cs="Arial" w:eastAsia="Arial" w:hAnsi="Arial"/>
          <w:sz w:val="22"/>
          <w:szCs w:val="22"/>
          <w:color w:val="auto"/>
        </w:rPr>
        <w:t>in light of the foregoing, the provisions of this Section 3 are reasonable and necessary for the proper protection of the Business of the Company.</w:t>
      </w:r>
    </w:p>
    <w:p>
      <w:pPr>
        <w:spacing w:after="0" w:line="160" w:lineRule="exact"/>
        <w:rPr>
          <w:rFonts w:ascii="Arial" w:cs="Arial" w:eastAsia="Arial" w:hAnsi="Arial"/>
          <w:sz w:val="22"/>
          <w:szCs w:val="22"/>
          <w:color w:val="auto"/>
        </w:rPr>
      </w:pPr>
    </w:p>
    <w:p>
      <w:pPr>
        <w:ind w:right="100" w:firstLine="1305"/>
        <w:spacing w:after="0" w:line="294" w:lineRule="auto"/>
        <w:tabs>
          <w:tab w:leader="none" w:pos="1728"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Restrictive Covenant</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attached hereto, during the term of the Executive’s employment and for the Restricted Period after the termination thereof, the Executive shall not, without the advance written consent of the Board, such consent to be granted or withheld in the Board’s sole discretion, within the geographic scope of any country in which the Company, during the term of the Executive’s employment, had material business relationships, carry on or be employed by or engaged in or have any financial or other interest in or be otherwise commercially involved in a Competing Business, directly or indirectly, either individually or in partnership or jointly or in conjunction with any person, firm, corporation or other entity, as principal, agent, consultant, advisor, employee, shareholder or in any manner whatsoever.</w:t>
      </w:r>
    </w:p>
    <w:p>
      <w:pPr>
        <w:spacing w:after="0" w:line="152" w:lineRule="exact"/>
        <w:rPr>
          <w:rFonts w:ascii="Arial" w:cs="Arial" w:eastAsia="Arial" w:hAnsi="Arial"/>
          <w:sz w:val="19"/>
          <w:szCs w:val="19"/>
          <w:color w:val="auto"/>
        </w:rPr>
      </w:pPr>
    </w:p>
    <w:p>
      <w:pPr>
        <w:ind w:left="1720" w:hanging="415"/>
        <w:spacing w:after="0"/>
        <w:tabs>
          <w:tab w:leader="none" w:pos="172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Exception</w:t>
      </w:r>
      <w:r>
        <w:rPr>
          <w:rFonts w:ascii="Arial" w:cs="Arial" w:eastAsia="Arial" w:hAnsi="Arial"/>
          <w:sz w:val="22"/>
          <w:szCs w:val="22"/>
          <w:color w:val="auto"/>
        </w:rPr>
        <w:t>. The Executive shall not be in default of Section 3(d) by virtue of the Executive:</w:t>
      </w:r>
    </w:p>
    <w:p>
      <w:pPr>
        <w:spacing w:after="0" w:line="233" w:lineRule="exact"/>
        <w:rPr>
          <w:rFonts w:ascii="Arial" w:cs="Arial" w:eastAsia="Arial" w:hAnsi="Arial"/>
          <w:sz w:val="22"/>
          <w:szCs w:val="22"/>
          <w:color w:val="auto"/>
        </w:rPr>
      </w:pPr>
    </w:p>
    <w:p>
      <w:pPr>
        <w:ind w:right="220" w:firstLine="1953"/>
        <w:spacing w:after="0" w:line="260" w:lineRule="auto"/>
        <w:tabs>
          <w:tab w:leader="none" w:pos="2329" w:val="left"/>
        </w:tabs>
        <w:numPr>
          <w:ilvl w:val="1"/>
          <w:numId w:val="32"/>
        </w:numPr>
        <w:rPr>
          <w:rFonts w:ascii="Arial" w:cs="Arial" w:eastAsia="Arial" w:hAnsi="Arial"/>
          <w:sz w:val="22"/>
          <w:szCs w:val="22"/>
          <w:color w:val="auto"/>
        </w:rPr>
      </w:pPr>
      <w:r>
        <w:rPr>
          <w:rFonts w:ascii="Arial" w:cs="Arial" w:eastAsia="Arial" w:hAnsi="Arial"/>
          <w:sz w:val="22"/>
          <w:szCs w:val="22"/>
          <w:color w:val="auto"/>
        </w:rPr>
        <w:t>following the termination of employment, holding, strictly for portfolio purposes and as a passive investor, no more than five percent (5%) of the issued and outstanding shares of, or any other interest in, any corporation or other entity that is a Competing Business; or</w:t>
      </w:r>
    </w:p>
    <w:p>
      <w:pPr>
        <w:spacing w:after="0" w:line="177" w:lineRule="exact"/>
        <w:rPr>
          <w:rFonts w:ascii="Arial" w:cs="Arial" w:eastAsia="Arial" w:hAnsi="Arial"/>
          <w:sz w:val="22"/>
          <w:szCs w:val="22"/>
          <w:color w:val="auto"/>
        </w:rPr>
      </w:pPr>
    </w:p>
    <w:p>
      <w:pPr>
        <w:ind w:right="40" w:firstLine="1953"/>
        <w:spacing w:after="0" w:line="307" w:lineRule="auto"/>
        <w:tabs>
          <w:tab w:leader="none" w:pos="2389" w:val="left"/>
        </w:tabs>
        <w:numPr>
          <w:ilvl w:val="1"/>
          <w:numId w:val="32"/>
        </w:numPr>
        <w:rPr>
          <w:rFonts w:ascii="Arial" w:cs="Arial" w:eastAsia="Arial" w:hAnsi="Arial"/>
          <w:sz w:val="19"/>
          <w:szCs w:val="19"/>
          <w:color w:val="auto"/>
        </w:rPr>
      </w:pPr>
      <w:r>
        <w:rPr>
          <w:rFonts w:ascii="Arial" w:cs="Arial" w:eastAsia="Arial" w:hAnsi="Arial"/>
          <w:sz w:val="19"/>
          <w:szCs w:val="19"/>
          <w:color w:val="auto"/>
        </w:rPr>
        <w:t>during the term of his employment, holding, strictly for portfolio purposes and as a passive investor, issued and outstanding shares of, or any other interest in, any corporation or other entity, the business of which corporation or other entity is in the same Business as the Company provided such corporation is not a Competing Business, and provided further that the Executive first obtains the Company’s written consent, which consent will not be unreasonably withheld.</w:t>
      </w:r>
    </w:p>
    <w:p>
      <w:pPr>
        <w:spacing w:after="0" w:line="13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If the Executive holds issued and outstanding shares or any other interest in a corporation or other entity pursuant to Section 3(e)(ii) above, and following the acquisition of such shares or other interest the business of the corporation or other entity becomes a Competing Business, the Executive will promptly dispose of the Executive’s shares or other interest in such corporation or other entity.</w:t>
      </w:r>
    </w:p>
    <w:p>
      <w:pPr>
        <w:spacing w:after="0" w:line="188" w:lineRule="exact"/>
        <w:rPr>
          <w:sz w:val="20"/>
          <w:szCs w:val="20"/>
          <w:color w:val="auto"/>
        </w:rPr>
      </w:pPr>
    </w:p>
    <w:p>
      <w:pPr>
        <w:jc w:val="both"/>
        <w:ind w:firstLine="1305"/>
        <w:spacing w:after="0" w:line="358" w:lineRule="auto"/>
        <w:tabs>
          <w:tab w:leader="none" w:pos="1692"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Non-Solicitation</w:t>
      </w:r>
      <w:r>
        <w:rPr>
          <w:rFonts w:ascii="Arial" w:cs="Arial" w:eastAsia="Arial" w:hAnsi="Arial"/>
          <w:sz w:val="19"/>
          <w:szCs w:val="19"/>
          <w:color w:val="auto"/>
        </w:rPr>
        <w:t>. The Executive shall not, during the term of his employment and for the Restricted Period after the termination thereof for any reason, whether legal or illegal, either individually or in partnership or jointly or in conjunction with</w:t>
      </w:r>
    </w:p>
    <w:p>
      <w:pPr>
        <w:sectPr>
          <w:pgSz w:w="11900" w:h="16838" w:orient="portrait"/>
          <w:cols w:equalWidth="0" w:num="1">
            <w:col w:w="11400"/>
          </w:cols>
          <w:pgMar w:left="240" w:top="294" w:right="259" w:bottom="0" w:gutter="0" w:footer="0" w:header="0"/>
        </w:sectPr>
      </w:pPr>
    </w:p>
    <w:bookmarkStart w:id="42" w:name="page43"/>
    <w:bookmarkEnd w:id="42"/>
    <w:p>
      <w:pPr>
        <w:ind w:right="620"/>
        <w:spacing w:after="0" w:line="287" w:lineRule="auto"/>
        <w:rPr>
          <w:sz w:val="20"/>
          <w:szCs w:val="20"/>
          <w:color w:val="auto"/>
        </w:rPr>
      </w:pPr>
      <w:r>
        <w:rPr>
          <w:rFonts w:ascii="Arial" w:cs="Arial" w:eastAsia="Arial" w:hAnsi="Arial"/>
          <w:sz w:val="21"/>
          <w:szCs w:val="21"/>
          <w:color w:val="auto"/>
        </w:rPr>
        <w:t>any person, firm, corporation or other entity, as principal, agent, consultant, advisor, employee, shareholder or in any manner whatsoever, without the prior written and informed consent of the Company, directly or indirectly:</w:t>
      </w:r>
    </w:p>
    <w:p>
      <w:pPr>
        <w:spacing w:after="0" w:line="152" w:lineRule="exact"/>
        <w:rPr>
          <w:sz w:val="20"/>
          <w:szCs w:val="20"/>
          <w:color w:val="auto"/>
        </w:rPr>
      </w:pPr>
    </w:p>
    <w:p>
      <w:pPr>
        <w:ind w:right="320" w:firstLine="1953"/>
        <w:spacing w:after="0" w:line="276" w:lineRule="auto"/>
        <w:tabs>
          <w:tab w:leader="none" w:pos="2329" w:val="left"/>
        </w:tabs>
        <w:numPr>
          <w:ilvl w:val="1"/>
          <w:numId w:val="34"/>
        </w:numPr>
        <w:rPr>
          <w:rFonts w:ascii="Arial" w:cs="Arial" w:eastAsia="Arial" w:hAnsi="Arial"/>
          <w:sz w:val="22"/>
          <w:szCs w:val="22"/>
          <w:color w:val="auto"/>
        </w:rPr>
      </w:pPr>
      <w:r>
        <w:rPr>
          <w:rFonts w:ascii="Arial" w:cs="Arial" w:eastAsia="Arial" w:hAnsi="Arial"/>
          <w:sz w:val="22"/>
          <w:szCs w:val="22"/>
          <w:color w:val="auto"/>
        </w:rPr>
        <w:t>solicit, induce or encourage any Contact to curtail or cease its relationship with the Company, for any purpose which is competitive with the Business; or</w:t>
      </w:r>
    </w:p>
    <w:p>
      <w:pPr>
        <w:spacing w:after="0" w:line="160" w:lineRule="exact"/>
        <w:rPr>
          <w:rFonts w:ascii="Arial" w:cs="Arial" w:eastAsia="Arial" w:hAnsi="Arial"/>
          <w:sz w:val="22"/>
          <w:szCs w:val="22"/>
          <w:color w:val="auto"/>
        </w:rPr>
      </w:pPr>
    </w:p>
    <w:p>
      <w:pPr>
        <w:ind w:right="720" w:firstLine="1953"/>
        <w:spacing w:after="0" w:line="276" w:lineRule="auto"/>
        <w:tabs>
          <w:tab w:leader="none" w:pos="2389" w:val="left"/>
        </w:tabs>
        <w:numPr>
          <w:ilvl w:val="1"/>
          <w:numId w:val="34"/>
        </w:numPr>
        <w:rPr>
          <w:rFonts w:ascii="Arial" w:cs="Arial" w:eastAsia="Arial" w:hAnsi="Arial"/>
          <w:sz w:val="22"/>
          <w:szCs w:val="22"/>
          <w:color w:val="auto"/>
        </w:rPr>
      </w:pPr>
      <w:r>
        <w:rPr>
          <w:rFonts w:ascii="Arial" w:cs="Arial" w:eastAsia="Arial" w:hAnsi="Arial"/>
          <w:sz w:val="22"/>
          <w:szCs w:val="22"/>
          <w:color w:val="auto"/>
        </w:rPr>
        <w:t>accept (or procure or assist the acceptance of) any business from any Contact if such business is competitive with the Business; or</w:t>
      </w:r>
    </w:p>
    <w:p>
      <w:pPr>
        <w:spacing w:after="0" w:line="160" w:lineRule="exact"/>
        <w:rPr>
          <w:rFonts w:ascii="Arial" w:cs="Arial" w:eastAsia="Arial" w:hAnsi="Arial"/>
          <w:sz w:val="22"/>
          <w:szCs w:val="22"/>
          <w:color w:val="auto"/>
        </w:rPr>
      </w:pPr>
    </w:p>
    <w:p>
      <w:pPr>
        <w:ind w:right="140" w:firstLine="1953"/>
        <w:spacing w:after="0" w:line="276" w:lineRule="auto"/>
        <w:tabs>
          <w:tab w:leader="none" w:pos="2449" w:val="left"/>
        </w:tabs>
        <w:numPr>
          <w:ilvl w:val="1"/>
          <w:numId w:val="34"/>
        </w:numPr>
        <w:rPr>
          <w:rFonts w:ascii="Arial" w:cs="Arial" w:eastAsia="Arial" w:hAnsi="Arial"/>
          <w:sz w:val="22"/>
          <w:szCs w:val="22"/>
          <w:color w:val="auto"/>
        </w:rPr>
      </w:pPr>
      <w:r>
        <w:rPr>
          <w:rFonts w:ascii="Arial" w:cs="Arial" w:eastAsia="Arial" w:hAnsi="Arial"/>
          <w:sz w:val="22"/>
          <w:szCs w:val="22"/>
          <w:color w:val="auto"/>
        </w:rPr>
        <w:t>be employed by or supply (or procure or assist the supply of) any goods or services to any Contact for any purpose which the Executive knows or has reason to know is competitive with the Business; or</w:t>
      </w:r>
    </w:p>
    <w:p>
      <w:pPr>
        <w:spacing w:after="0" w:line="160" w:lineRule="exact"/>
        <w:rPr>
          <w:rFonts w:ascii="Arial" w:cs="Arial" w:eastAsia="Arial" w:hAnsi="Arial"/>
          <w:sz w:val="22"/>
          <w:szCs w:val="22"/>
          <w:color w:val="auto"/>
        </w:rPr>
      </w:pPr>
    </w:p>
    <w:p>
      <w:pPr>
        <w:ind w:right="40" w:firstLine="1953"/>
        <w:spacing w:after="0" w:line="264" w:lineRule="auto"/>
        <w:tabs>
          <w:tab w:leader="none" w:pos="2437" w:val="left"/>
        </w:tabs>
        <w:numPr>
          <w:ilvl w:val="1"/>
          <w:numId w:val="34"/>
        </w:numPr>
        <w:rPr>
          <w:rFonts w:ascii="Arial" w:cs="Arial" w:eastAsia="Arial" w:hAnsi="Arial"/>
          <w:sz w:val="21"/>
          <w:szCs w:val="21"/>
          <w:color w:val="auto"/>
        </w:rPr>
      </w:pPr>
      <w:r>
        <w:rPr>
          <w:rFonts w:ascii="Arial" w:cs="Arial" w:eastAsia="Arial" w:hAnsi="Arial"/>
          <w:sz w:val="21"/>
          <w:szCs w:val="21"/>
          <w:color w:val="auto"/>
        </w:rPr>
        <w:t>employ, engage, offer employment or engagement to or solicit the employment or engagement of or otherwise entice away from or solicit, induce or encourage to leave the employment or engagement of the Company, any individual who is employed or engaged by the Company at the time of any such offer, solicitation or enticement whether or not such individual would commit any breach of his contract or terms of employment or engagement by leaving the employ or the engagement of the Company, provided that the Executive shall be permitted, solely in a personal capacity, to provide letters of reference for individuals who are employed by the Company.</w:t>
      </w:r>
    </w:p>
    <w:p>
      <w:pPr>
        <w:spacing w:after="0" w:line="175" w:lineRule="exact"/>
        <w:rPr>
          <w:rFonts w:ascii="Arial" w:cs="Arial" w:eastAsia="Arial" w:hAnsi="Arial"/>
          <w:sz w:val="21"/>
          <w:szCs w:val="21"/>
          <w:color w:val="auto"/>
        </w:rPr>
      </w:pPr>
    </w:p>
    <w:p>
      <w:pPr>
        <w:ind w:firstLine="1305"/>
        <w:spacing w:after="0" w:line="292" w:lineRule="auto"/>
        <w:tabs>
          <w:tab w:leader="none" w:pos="1728"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Validity</w:t>
      </w:r>
      <w:r>
        <w:rPr>
          <w:rFonts w:ascii="Arial" w:cs="Arial" w:eastAsia="Arial" w:hAnsi="Arial"/>
          <w:sz w:val="19"/>
          <w:szCs w:val="19"/>
          <w:color w:val="auto"/>
        </w:rPr>
        <w:t>. The Executive expressly recognizes and acknowledges that it is the intent of the parties that the Executive’s activities following the termination of the Executive’s employment with the Company be restricted in the manner described in this Section 3, and acknowledges that good, valuable, and sufficient consideration has been provided in exchange for such restrictions. The Executive agrees that should any of the restrictions contained in this Section 3 be found to be unreasonable to any extent by a court of competent jurisdiction adjudicating upon the validity of the restriction, whether as to the scope of the restriction, the area of the restriction or the duration of the restriction, then such restriction shall be reduced to that which is in fact declared reasonable by such court, or a subsequent court of competent jurisdiction, requested to make such a declaration, in order to ensure that the intention of the parties is given the greatest possible effect.</w:t>
      </w:r>
    </w:p>
    <w:p>
      <w:pPr>
        <w:spacing w:after="0" w:line="156"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 The Executive’s employment by the Company may be terminated without any breach of this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Agreement under the following circumstances:</w:t>
      </w:r>
    </w:p>
    <w:p>
      <w:pPr>
        <w:spacing w:after="0" w:line="202" w:lineRule="exact"/>
        <w:rPr>
          <w:sz w:val="20"/>
          <w:szCs w:val="20"/>
          <w:color w:val="auto"/>
        </w:rPr>
      </w:pPr>
    </w:p>
    <w:p>
      <w:pPr>
        <w:ind w:left="1720" w:hanging="415"/>
        <w:spacing w:after="0"/>
        <w:tabs>
          <w:tab w:leader="none" w:pos="172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The Executive’s employment hereunder terminates upon his death.</w:t>
      </w:r>
    </w:p>
    <w:p>
      <w:pPr>
        <w:spacing w:after="0" w:line="233" w:lineRule="exact"/>
        <w:rPr>
          <w:rFonts w:ascii="Arial" w:cs="Arial" w:eastAsia="Arial" w:hAnsi="Arial"/>
          <w:sz w:val="22"/>
          <w:szCs w:val="22"/>
          <w:color w:val="auto"/>
        </w:rPr>
      </w:pPr>
    </w:p>
    <w:p>
      <w:pPr>
        <w:ind w:firstLine="1305"/>
        <w:spacing w:after="0" w:line="300" w:lineRule="auto"/>
        <w:tabs>
          <w:tab w:leader="none" w:pos="1728"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The Company may terminate the Executive’s employment if he is disabled (as determined by the Chief Executive Officer) in a manner that renders the Executive unable to perform the essential functions of his then existing position or positions under this Agreement with or without reasonable accommodation for a period of six months or more. Nothing in this Section 4(b) is to be construed to waive the Executive’s rights, if any, under existing law including, without limitation, the Family and Medical Leave Act of 1993, 29 U.S.C. §2601 et seq., and the Americans with Disabilities Act, 42 U.S.C. §12101 et seq.</w:t>
      </w:r>
    </w:p>
    <w:p>
      <w:pPr>
        <w:spacing w:after="0" w:line="147" w:lineRule="exact"/>
        <w:rPr>
          <w:rFonts w:ascii="Arial" w:cs="Arial" w:eastAsia="Arial" w:hAnsi="Arial"/>
          <w:sz w:val="19"/>
          <w:szCs w:val="19"/>
          <w:color w:val="auto"/>
        </w:rPr>
      </w:pPr>
    </w:p>
    <w:p>
      <w:pPr>
        <w:ind w:right="80" w:firstLine="1305"/>
        <w:spacing w:after="0" w:line="291" w:lineRule="auto"/>
        <w:tabs>
          <w:tab w:leader="none" w:pos="1716"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Termination by Company for Cause</w:t>
      </w:r>
      <w:r>
        <w:rPr>
          <w:rFonts w:ascii="Arial" w:cs="Arial" w:eastAsia="Arial" w:hAnsi="Arial"/>
          <w:sz w:val="19"/>
          <w:szCs w:val="19"/>
          <w:color w:val="auto"/>
        </w:rPr>
        <w:t>. For purposes of this Agreement, “For Cause” shall mean: (i) Employee is charged with a felony (excluding a DUI) or any violation of state or federal securities laws; (ii) Employee willfully engages in conduct that is in bad faith and materially injurious to the Company, including but not limited to, misappropriation of trade secrets, fraud or embezzlement; (iii) Employee commits a material breach of this Agreement; (iv) Employee willfully refuses to implement or follow a lawful policy or directive of the Company; or (v) Employee engages in misfeasance or malfeasance demonstrated by a pattern of failure to perform job duties diligently and professionally. The Company may terminate Employee’s employment For Cause at any time, without any advance notice. The Company shall pay Employee all compensation to which Employee is entitled up through the date of termination, subject to any other rights or remedies of the Company under law; and thereafter all obligations of the Company under this Agreement shall cease.</w:t>
      </w:r>
    </w:p>
    <w:p>
      <w:pPr>
        <w:spacing w:after="0" w:line="154" w:lineRule="exact"/>
        <w:rPr>
          <w:rFonts w:ascii="Arial" w:cs="Arial" w:eastAsia="Arial" w:hAnsi="Arial"/>
          <w:sz w:val="19"/>
          <w:szCs w:val="19"/>
          <w:color w:val="auto"/>
        </w:rPr>
      </w:pPr>
    </w:p>
    <w:p>
      <w:pPr>
        <w:ind w:right="120" w:firstLine="1305"/>
        <w:spacing w:after="0" w:line="287" w:lineRule="auto"/>
        <w:tabs>
          <w:tab w:leader="none" w:pos="1728"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Termination by the Company Without Cause or by the Executive for Good Reason</w:t>
      </w:r>
      <w:r>
        <w:rPr>
          <w:rFonts w:ascii="Arial" w:cs="Arial" w:eastAsia="Arial" w:hAnsi="Arial"/>
          <w:sz w:val="19"/>
          <w:szCs w:val="19"/>
          <w:color w:val="auto"/>
        </w:rPr>
        <w:t>. The Company may terminate the Executive’s employment under this Agreement at any time without Cause and the Executive may terminate his employment with Good Reason. For purposes of this Agreement, “Good Reason” means the occurrence of any of the following events without the Executive's prior written consent: (i) the failure of the Executive to be appointed to the position set forth in Section 1, if not promptly cured after written notice; (ii) a reduction by the Company of the Executive's Base Salary or Target Bonus percentage, except for an across-the-board salary reduction affecting all senior executives of the Company; (iii) a relocation of Employee’s principal place of employment by more than fifty (50) miles; (iv) a termination of the Executive’s employment by the Company; and (v) a substantial and adverse change to the Executive’s duties and responsibilities. For purposes of this Agreement, except for the Company terminating the Executive’s employment, termination for Good Reason requires Executive to comply with the “Good Reason Process,” which means that (i) the Executive reasonably determines in good faith that a Good Reason condition has occurred; (ii) the Executive notifies the Company in writing of the first occurrence of the Good Reason condition within 30 days of the first occurrence of such condition; (iii) the Executive cooperates in good faith with the Company’s efforts, for a period of not less than 30 days following that notice (the “</w:t>
      </w:r>
      <w:r>
        <w:rPr>
          <w:rFonts w:ascii="Arial" w:cs="Arial" w:eastAsia="Arial" w:hAnsi="Arial"/>
          <w:sz w:val="19"/>
          <w:szCs w:val="19"/>
          <w:b w:val="1"/>
          <w:bCs w:val="1"/>
          <w:u w:val="single" w:color="auto"/>
          <w:color w:val="auto"/>
        </w:rPr>
        <w:t>Cure Period</w:t>
      </w:r>
      <w:r>
        <w:rPr>
          <w:rFonts w:ascii="Arial" w:cs="Arial" w:eastAsia="Arial" w:hAnsi="Arial"/>
          <w:sz w:val="19"/>
          <w:szCs w:val="19"/>
          <w:color w:val="auto"/>
        </w:rPr>
        <w:t>”) to remedy the condition; (iv) notwithstanding the Company’s efforts, the Good Reason condition continues to exist; and (v) the Executive terminates his employment within 30 days after the end of the Cure Period. If the Company cures the Good Reason condition during the Cure Period, Good Reason is deemed not to have occurred.</w:t>
      </w:r>
    </w:p>
    <w:p>
      <w:pPr>
        <w:sectPr>
          <w:pgSz w:w="11900" w:h="16838" w:orient="portrait"/>
          <w:cols w:equalWidth="0" w:num="1">
            <w:col w:w="11420"/>
          </w:cols>
          <w:pgMar w:left="240" w:top="132" w:right="239" w:bottom="0" w:gutter="0" w:footer="0" w:header="0"/>
        </w:sectPr>
      </w:pPr>
    </w:p>
    <w:bookmarkStart w:id="43" w:name="page44"/>
    <w:bookmarkEnd w:id="43"/>
    <w:p>
      <w:pPr>
        <w:ind w:right="60"/>
        <w:spacing w:after="0" w:line="253" w:lineRule="auto"/>
        <w:rPr>
          <w:sz w:val="20"/>
          <w:szCs w:val="20"/>
          <w:color w:val="auto"/>
        </w:rPr>
      </w:pPr>
      <w:r>
        <w:rPr>
          <w:rFonts w:ascii="Arial" w:cs="Arial" w:eastAsia="Arial" w:hAnsi="Arial"/>
          <w:sz w:val="22"/>
          <w:szCs w:val="22"/>
          <w:color w:val="auto"/>
        </w:rPr>
        <w:t>Any termination by the Company of the Executive’s employment under this Agreement that does not constitute a termination for Cause under Section 4(c) and does not result from the death or disability of the Executive under Section 4(a) or (b) is a termination without Cause.</w:t>
      </w:r>
    </w:p>
    <w:p>
      <w:pPr>
        <w:spacing w:after="0" w:line="186" w:lineRule="exact"/>
        <w:rPr>
          <w:sz w:val="20"/>
          <w:szCs w:val="20"/>
          <w:color w:val="auto"/>
        </w:rPr>
      </w:pPr>
    </w:p>
    <w:p>
      <w:pPr>
        <w:ind w:right="60" w:firstLine="1305"/>
        <w:spacing w:after="0" w:line="266" w:lineRule="auto"/>
        <w:tabs>
          <w:tab w:leader="none" w:pos="1716"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Termination by the Executive</w:t>
      </w:r>
      <w:r>
        <w:rPr>
          <w:rFonts w:ascii="Arial" w:cs="Arial" w:eastAsia="Arial" w:hAnsi="Arial"/>
          <w:sz w:val="21"/>
          <w:szCs w:val="21"/>
          <w:color w:val="auto"/>
        </w:rPr>
        <w:t>. Executive may terminate employment with the Company without Good Reason at any time for any reason or no reason at all, upon thirty (30) days’ advance written notice. The Company shall have the option, in its sole discretion, to make Executive’s termination effective or to direct the Executive to perform no work and/or remain off premises at any time prior to the end of such notice period as long as the Company pays Executive all compensation to which Executive is entitled up through the last day of the 30 day notice period.</w:t>
      </w:r>
    </w:p>
    <w:p>
      <w:pPr>
        <w:spacing w:after="0" w:line="174" w:lineRule="exact"/>
        <w:rPr>
          <w:rFonts w:ascii="Arial" w:cs="Arial" w:eastAsia="Arial" w:hAnsi="Arial"/>
          <w:sz w:val="21"/>
          <w:szCs w:val="21"/>
          <w:color w:val="auto"/>
        </w:rPr>
      </w:pPr>
    </w:p>
    <w:p>
      <w:pPr>
        <w:ind w:right="140" w:firstLine="1305"/>
        <w:spacing w:after="0" w:line="270" w:lineRule="auto"/>
        <w:tabs>
          <w:tab w:leader="none" w:pos="1692"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Notice of Termination</w:t>
      </w:r>
      <w:r>
        <w:rPr>
          <w:rFonts w:ascii="Arial" w:cs="Arial" w:eastAsia="Arial" w:hAnsi="Arial"/>
          <w:sz w:val="21"/>
          <w:szCs w:val="21"/>
          <w:color w:val="auto"/>
        </w:rPr>
        <w:t>. Except for termination as specified in Section 4(a), any termination of the Executive’s employment by the Company or any termination of his employment by the Executive must be communicated by written Notice of Termination to the other party. For purposes of this Agreement, a “</w:t>
      </w:r>
      <w:r>
        <w:rPr>
          <w:rFonts w:ascii="Arial" w:cs="Arial" w:eastAsia="Arial" w:hAnsi="Arial"/>
          <w:sz w:val="21"/>
          <w:szCs w:val="21"/>
          <w:b w:val="1"/>
          <w:bCs w:val="1"/>
          <w:u w:val="single" w:color="auto"/>
          <w:color w:val="auto"/>
        </w:rPr>
        <w:t>Notice of Termination</w:t>
      </w:r>
      <w:r>
        <w:rPr>
          <w:rFonts w:ascii="Arial" w:cs="Arial" w:eastAsia="Arial" w:hAnsi="Arial"/>
          <w:sz w:val="21"/>
          <w:szCs w:val="21"/>
          <w:color w:val="auto"/>
        </w:rPr>
        <w:t>” means a notice that indicates the specific termination provision in this Agreement that the termination is based upon.</w:t>
      </w:r>
    </w:p>
    <w:p>
      <w:pPr>
        <w:spacing w:after="0" w:line="163" w:lineRule="exact"/>
        <w:rPr>
          <w:rFonts w:ascii="Arial" w:cs="Arial" w:eastAsia="Arial" w:hAnsi="Arial"/>
          <w:sz w:val="21"/>
          <w:szCs w:val="21"/>
          <w:color w:val="auto"/>
        </w:rPr>
      </w:pPr>
    </w:p>
    <w:p>
      <w:pPr>
        <w:ind w:right="60" w:firstLine="1305"/>
        <w:spacing w:after="0" w:line="260" w:lineRule="auto"/>
        <w:tabs>
          <w:tab w:leader="none" w:pos="1728"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Date of Termination</w:t>
      </w:r>
      <w:r>
        <w:rPr>
          <w:rFonts w:ascii="Arial" w:cs="Arial" w:eastAsia="Arial" w:hAnsi="Arial"/>
          <w:sz w:val="21"/>
          <w:szCs w:val="21"/>
          <w:color w:val="auto"/>
        </w:rPr>
        <w:t>. “</w:t>
      </w:r>
      <w:r>
        <w:rPr>
          <w:rFonts w:ascii="Arial" w:cs="Arial" w:eastAsia="Arial" w:hAnsi="Arial"/>
          <w:sz w:val="21"/>
          <w:szCs w:val="21"/>
          <w:b w:val="1"/>
          <w:bCs w:val="1"/>
          <w:u w:val="single" w:color="auto"/>
          <w:color w:val="auto"/>
        </w:rPr>
        <w:t>Date of Termination</w:t>
      </w:r>
      <w:r>
        <w:rPr>
          <w:rFonts w:ascii="Arial" w:cs="Arial" w:eastAsia="Arial" w:hAnsi="Arial"/>
          <w:sz w:val="21"/>
          <w:szCs w:val="21"/>
          <w:color w:val="auto"/>
        </w:rPr>
        <w:t>” means: (i) if the Executive’s employment is terminated by his death, the date of his death; (ii) if the Executive’s employment is terminated on account of disability under Section 4(b) or by the Company for Cause under Section 4(c), or by the Company without Cause under Section 4(d), on the date the Notice of Termination is given; (iii) if the Executive terminates his employment under Section 4(e) without Good Reason, on the date specified by the Executive in the notice (which shall be at least thirty (30) days after the date of the Notice of Termination) and, if no such date is specified, 30 days after the date of the Notice of Termination; and (iv) if the Executive terminates his employment under Section 4(e) with Good Reason, the date on which a Notice of Termination is given after the end of the Cure Period. Notwithstanding the foregoing, if the Executive gives a Notice of Termination to the Company that takes effect at a future date, the Company may unilaterally accelerate the Date of Termination and that acceleration will not be deemed a termination by the Company for purposes of this Agreement.</w:t>
      </w:r>
    </w:p>
    <w:p>
      <w:pPr>
        <w:spacing w:after="0" w:line="186"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u w:val="single" w:color="auto"/>
          <w:color w:val="auto"/>
        </w:rPr>
        <w:t>Compensation Upon Termination</w:t>
      </w:r>
      <w:r>
        <w:rPr>
          <w:rFonts w:ascii="Arial" w:cs="Arial" w:eastAsia="Arial" w:hAnsi="Arial"/>
          <w:sz w:val="19"/>
          <w:szCs w:val="19"/>
          <w:color w:val="auto"/>
        </w:rPr>
        <w:t>.</w:t>
      </w:r>
    </w:p>
    <w:p>
      <w:pPr>
        <w:spacing w:after="0" w:line="220" w:lineRule="exact"/>
        <w:rPr>
          <w:sz w:val="20"/>
          <w:szCs w:val="20"/>
          <w:color w:val="auto"/>
        </w:rPr>
      </w:pPr>
    </w:p>
    <w:p>
      <w:pPr>
        <w:ind w:right="40" w:firstLine="1305"/>
        <w:spacing w:after="0" w:line="260" w:lineRule="auto"/>
        <w:tabs>
          <w:tab w:leader="none" w:pos="1716" w:val="left"/>
        </w:tabs>
        <w:numPr>
          <w:ilvl w:val="1"/>
          <w:numId w:val="38"/>
        </w:numPr>
        <w:rPr>
          <w:rFonts w:ascii="Arial" w:cs="Arial" w:eastAsia="Arial" w:hAnsi="Arial"/>
          <w:sz w:val="21"/>
          <w:szCs w:val="21"/>
          <w:color w:val="auto"/>
        </w:rPr>
      </w:pPr>
      <w:r>
        <w:rPr>
          <w:rFonts w:ascii="Arial" w:cs="Arial" w:eastAsia="Arial" w:hAnsi="Arial"/>
          <w:sz w:val="21"/>
          <w:szCs w:val="21"/>
          <w:u w:val="single" w:color="auto"/>
          <w:color w:val="auto"/>
        </w:rPr>
        <w:t>Termination Generally</w:t>
      </w:r>
      <w:r>
        <w:rPr>
          <w:rFonts w:ascii="Arial" w:cs="Arial" w:eastAsia="Arial" w:hAnsi="Arial"/>
          <w:sz w:val="21"/>
          <w:szCs w:val="21"/>
          <w:color w:val="auto"/>
        </w:rPr>
        <w:t>. If the Executive’s employment with the Company is terminated for any reason, the Company shall pay or provide to the Executive (or to his authorized representative or estate), (i) unpaid expense reimbursements submitted to the Company in accordance with the Company’s policies; (ii) accrued but unused vacation to the extent payment is required by law or Company policy; (iii) any vested benefits the Executive may have under any employee benefit plan of the Company; (iv) any earned but unpaid Base Salary and (v) any earned but unpaid annual Target Bonus, for the prior fiscal year (collectively the “</w:t>
      </w:r>
      <w:r>
        <w:rPr>
          <w:rFonts w:ascii="Arial" w:cs="Arial" w:eastAsia="Arial" w:hAnsi="Arial"/>
          <w:sz w:val="21"/>
          <w:szCs w:val="21"/>
          <w:b w:val="1"/>
          <w:bCs w:val="1"/>
          <w:u w:val="single" w:color="auto"/>
          <w:color w:val="auto"/>
        </w:rPr>
        <w:t>Accrued Benefit</w:t>
      </w:r>
      <w:r>
        <w:rPr>
          <w:rFonts w:ascii="Arial" w:cs="Arial" w:eastAsia="Arial" w:hAnsi="Arial"/>
          <w:sz w:val="21"/>
          <w:szCs w:val="21"/>
          <w:color w:val="auto"/>
        </w:rPr>
        <w:t>”) on or before the time required by law, but in no event more than 30 days after the Executive’s Date of Termination. The Executive shall not be entitled to any other salary, compensation, bonus (or pro rata share thereof) or benefits from the Company thereafter, except as otherwise specifically provided hereunder, under the Company’s employee benefit plans or as expressly required by applicable law.</w:t>
      </w:r>
    </w:p>
    <w:p>
      <w:pPr>
        <w:spacing w:after="0" w:line="184" w:lineRule="exact"/>
        <w:rPr>
          <w:rFonts w:ascii="Arial" w:cs="Arial" w:eastAsia="Arial" w:hAnsi="Arial"/>
          <w:sz w:val="21"/>
          <w:szCs w:val="21"/>
          <w:color w:val="auto"/>
        </w:rPr>
      </w:pPr>
    </w:p>
    <w:p>
      <w:pPr>
        <w:ind w:right="60" w:firstLine="1305"/>
        <w:spacing w:after="0" w:line="285" w:lineRule="auto"/>
        <w:tabs>
          <w:tab w:leader="none" w:pos="1728" w:val="left"/>
        </w:tabs>
        <w:numPr>
          <w:ilvl w:val="1"/>
          <w:numId w:val="38"/>
        </w:numPr>
        <w:rPr>
          <w:rFonts w:ascii="Arial" w:cs="Arial" w:eastAsia="Arial" w:hAnsi="Arial"/>
          <w:sz w:val="19"/>
          <w:szCs w:val="19"/>
          <w:color w:val="auto"/>
        </w:rPr>
      </w:pPr>
      <w:r>
        <w:rPr>
          <w:rFonts w:ascii="Arial" w:cs="Arial" w:eastAsia="Arial" w:hAnsi="Arial"/>
          <w:sz w:val="19"/>
          <w:szCs w:val="19"/>
          <w:u w:val="single" w:color="auto"/>
          <w:color w:val="auto"/>
        </w:rPr>
        <w:t>Termination by the Company Without Cause or by the Executive for Good Reason.</w:t>
      </w:r>
      <w:r>
        <w:rPr>
          <w:rFonts w:ascii="Arial" w:cs="Arial" w:eastAsia="Arial" w:hAnsi="Arial"/>
          <w:sz w:val="19"/>
          <w:szCs w:val="19"/>
          <w:color w:val="auto"/>
        </w:rPr>
        <w:t xml:space="preserve"> If the Executive’s employment is terminated by the Company without Cause or by the Executive for Good Reason, then the Company shall pay the Executive his Accrued Benefit as of the Date of Termination. In addition, subject to the Executive providing the Company with a fully effective general release of claims in a form and manner satisfactory to the Company that includes but is not limited to the terms set forth in the attached Exhibit A (the “</w:t>
      </w:r>
      <w:r>
        <w:rPr>
          <w:rFonts w:ascii="Arial" w:cs="Arial" w:eastAsia="Arial" w:hAnsi="Arial"/>
          <w:sz w:val="19"/>
          <w:szCs w:val="19"/>
          <w:b w:val="1"/>
          <w:bCs w:val="1"/>
          <w:color w:val="auto"/>
        </w:rPr>
        <w:t>Release</w:t>
      </w:r>
      <w:r>
        <w:rPr>
          <w:rFonts w:ascii="Arial" w:cs="Arial" w:eastAsia="Arial" w:hAnsi="Arial"/>
          <w:sz w:val="19"/>
          <w:szCs w:val="19"/>
          <w:color w:val="auto"/>
        </w:rPr>
        <w:t>”) within the 60-day period following the Date of Termination, the Company shall pay the Executive (i) severance pay in a lump sum in cash in an amount equal to eighteen (18) months of Executive’s Base Salary, less lawful withholding (as applicable, “</w:t>
      </w:r>
      <w:r>
        <w:rPr>
          <w:rFonts w:ascii="Arial" w:cs="Arial" w:eastAsia="Arial" w:hAnsi="Arial"/>
          <w:sz w:val="19"/>
          <w:szCs w:val="19"/>
          <w:b w:val="1"/>
          <w:bCs w:val="1"/>
          <w:color w:val="auto"/>
        </w:rPr>
        <w:t>Severance Amount</w:t>
      </w:r>
      <w:r>
        <w:rPr>
          <w:rFonts w:ascii="Arial" w:cs="Arial" w:eastAsia="Arial" w:hAnsi="Arial"/>
          <w:sz w:val="19"/>
          <w:szCs w:val="19"/>
          <w:color w:val="auto"/>
        </w:rPr>
        <w:t>”), payable within 60 days after the Date of Termination, but if that 60-day period extends over two calendar years, the Company shall make the payment in the second calendar year, (ii) a bonus payment equal to the lesser of (y) Target Bonus pro-rated for the portion of the year the Executive was employed by the Company prior to the termination or (z) the average of the bonus payments, if any, made to the Executive with respect to the previous three</w:t>
      </w:r>
    </w:p>
    <w:p>
      <w:pPr>
        <w:spacing w:after="0" w:line="2" w:lineRule="exact"/>
        <w:rPr>
          <w:rFonts w:ascii="Arial" w:cs="Arial" w:eastAsia="Arial" w:hAnsi="Arial"/>
          <w:sz w:val="19"/>
          <w:szCs w:val="19"/>
          <w:color w:val="auto"/>
        </w:rPr>
      </w:pPr>
    </w:p>
    <w:p>
      <w:pPr>
        <w:ind w:firstLine="8"/>
        <w:spacing w:after="0" w:line="274" w:lineRule="auto"/>
        <w:tabs>
          <w:tab w:leader="none" w:pos="306" w:val="left"/>
        </w:tabs>
        <w:numPr>
          <w:ilvl w:val="0"/>
          <w:numId w:val="39"/>
        </w:numPr>
        <w:rPr>
          <w:rFonts w:ascii="Arial" w:cs="Arial" w:eastAsia="Arial" w:hAnsi="Arial"/>
          <w:sz w:val="20"/>
          <w:szCs w:val="20"/>
          <w:color w:val="auto"/>
        </w:rPr>
      </w:pPr>
      <w:r>
        <w:rPr>
          <w:rFonts w:ascii="Arial" w:cs="Arial" w:eastAsia="Arial" w:hAnsi="Arial"/>
          <w:sz w:val="20"/>
          <w:szCs w:val="20"/>
          <w:color w:val="auto"/>
        </w:rPr>
        <w:t>calendar years preceding the date of termination of employment, pro-rated for the portion of the year that Executive is employed, (iii) provided that the Executive timely elects COBRA coverage, reimburse the Executive for the COBRA premiums paid by the Executive, if any, for the continuation of coverage under the Executive’s then-existing group company health plan that the Executive and his dependents are eligible to receive for the earlier of a period of up to eighteen (18) months from the date of the Executive’s termination of employment, or until the Executive becomes eligible to receive health insurance benefits under any other employer’s group health plan, and (iv) immediate vesting on a pro-rata basis of the Executive’s initial stock option grant, prorated at 1/36</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total option grant for each completed month of service as at the Date of Termination.</w:t>
      </w:r>
    </w:p>
    <w:p>
      <w:pPr>
        <w:spacing w:after="0" w:line="78"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9"/>
          <w:szCs w:val="19"/>
          <w:u w:val="single" w:color="auto"/>
          <w:color w:val="auto"/>
        </w:rPr>
        <w:t>Change in Control Provisions</w:t>
      </w:r>
      <w:r>
        <w:rPr>
          <w:rFonts w:ascii="Arial" w:cs="Arial" w:eastAsia="Arial" w:hAnsi="Arial"/>
          <w:sz w:val="19"/>
          <w:szCs w:val="19"/>
          <w:color w:val="auto"/>
        </w:rPr>
        <w:t>. The provisions of this Section 6 set forth the Executive’s rights and</w:t>
      </w:r>
    </w:p>
    <w:p>
      <w:pPr>
        <w:spacing w:after="0" w:line="22" w:lineRule="exact"/>
        <w:rPr>
          <w:sz w:val="20"/>
          <w:szCs w:val="20"/>
          <w:color w:val="auto"/>
        </w:rPr>
      </w:pPr>
    </w:p>
    <w:p>
      <w:pPr>
        <w:ind w:right="80"/>
        <w:spacing w:after="0" w:line="288" w:lineRule="auto"/>
        <w:rPr>
          <w:sz w:val="20"/>
          <w:szCs w:val="20"/>
          <w:color w:val="auto"/>
        </w:rPr>
      </w:pPr>
      <w:r>
        <w:rPr>
          <w:rFonts w:ascii="Arial" w:cs="Arial" w:eastAsia="Arial" w:hAnsi="Arial"/>
          <w:sz w:val="19"/>
          <w:szCs w:val="19"/>
          <w:color w:val="auto"/>
        </w:rPr>
        <w:t>obligations upon the occurrence of a Change in Control of the Company. These provisions are intended to assure and encourage in advance the Executive’s continued attention and dedication to his assigned duties and his objectivity during the pendency and after the occurrence of any Change in Control. The provisions of this Section 6 apply in addition to, and/or modify, the provisions of Section 5(b) regarding severance pay and benefits upon a termination of employment, if applicable, if the termination of employment occurs within 12 months after the occurrence of a Change in Control. These provisions are subject to the Executive providing (and not revoking) the Company with a fully effective Release. These provisions terminate and are of no further force or effect beginning 12 months after the occurrence of such a Change in Control.</w:t>
      </w:r>
    </w:p>
    <w:p>
      <w:pPr>
        <w:sectPr>
          <w:pgSz w:w="11900" w:h="16838" w:orient="portrait"/>
          <w:cols w:equalWidth="0" w:num="1">
            <w:col w:w="11400"/>
          </w:cols>
          <w:pgMar w:left="240" w:top="172" w:right="259" w:bottom="0" w:gutter="0" w:footer="0" w:header="0"/>
        </w:sectPr>
      </w:pPr>
    </w:p>
    <w:bookmarkStart w:id="44" w:name="page45"/>
    <w:bookmarkEnd w:id="44"/>
    <w:p>
      <w:pPr>
        <w:ind w:firstLine="1305"/>
        <w:spacing w:after="0" w:line="288" w:lineRule="auto"/>
        <w:tabs>
          <w:tab w:leader="none" w:pos="1716"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Severance</w:t>
      </w:r>
      <w:r>
        <w:rPr>
          <w:rFonts w:ascii="Arial" w:cs="Arial" w:eastAsia="Arial" w:hAnsi="Arial"/>
          <w:sz w:val="19"/>
          <w:szCs w:val="19"/>
          <w:color w:val="auto"/>
        </w:rPr>
        <w:t>. If within 12 months following a Change of Control (i) the Company terminates the Executive’s employment with the Company other than for Cause, or (ii) the Executive resigns from his employment with the Company for Good Reason, within the 60-day period following the Date of Termination, then, in lieu of paying the Executive the Severance Amount and in addition to paying the Accrued Benefit, Company shall: (i) pay the Executive severance pay in a lump sum in cash (less applicable withholdings) in an amount equal to the Executive’s Base Salary multiplied by 2.0 (“</w:t>
      </w:r>
      <w:r>
        <w:rPr>
          <w:rFonts w:ascii="Arial" w:cs="Arial" w:eastAsia="Arial" w:hAnsi="Arial"/>
          <w:sz w:val="19"/>
          <w:szCs w:val="19"/>
          <w:b w:val="1"/>
          <w:bCs w:val="1"/>
          <w:u w:val="single" w:color="auto"/>
          <w:color w:val="auto"/>
        </w:rPr>
        <w:t>Change in Control</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Severance Amount</w:t>
      </w:r>
      <w:r>
        <w:rPr>
          <w:rFonts w:ascii="Arial" w:cs="Arial" w:eastAsia="Arial" w:hAnsi="Arial"/>
          <w:sz w:val="19"/>
          <w:szCs w:val="19"/>
          <w:color w:val="auto"/>
        </w:rPr>
        <w:t>”), payable within 60 days after the Date of Termination, but if that 60-day period extends over two calendar</w:t>
      </w:r>
      <w:r>
        <w:rPr>
          <w:rFonts w:ascii="Arial" w:cs="Arial" w:eastAsia="Arial" w:hAnsi="Arial"/>
          <w:sz w:val="19"/>
          <w:szCs w:val="19"/>
          <w:b w:val="1"/>
          <w:bCs w:val="1"/>
          <w:color w:val="auto"/>
        </w:rPr>
        <w:t xml:space="preserve"> </w:t>
      </w:r>
      <w:r>
        <w:rPr>
          <w:rFonts w:ascii="Arial" w:cs="Arial" w:eastAsia="Arial" w:hAnsi="Arial"/>
          <w:sz w:val="19"/>
          <w:szCs w:val="19"/>
          <w:color w:val="auto"/>
        </w:rPr>
        <w:t>years, the Company shall make the payment in the second calendar year; (ii) pay the Executive a bonus payment equal to the Target Bonus pro-rated for that portion of the year that Executive is employed, (iii) provided that the Executive timely elects COBRA coverage, reimburse the Executive for the COBRA premiums paid by the Executive, if any, for the continuation of coverage under the Executive’s then-existing group company health plan that the Executive and his dependents are eligible to receive for the earlier of (x) a period of up to 18 months from the date of the Executive’s termination of employment, or (y) until the Executive becomes eligible to receive health insurance benefits under any other employer’s group health plan; and (iv) cause all stock options and other stock-based awards granted on or after the Effective Date and held by the Executive to immediately accelerate, vest, and become fully exercisable or nonforfeitable.</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ind w:left="1740" w:hanging="435"/>
        <w:spacing w:after="0"/>
        <w:tabs>
          <w:tab w:leader="none" w:pos="174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Additional Limitation.</w:t>
      </w:r>
    </w:p>
    <w:p>
      <w:pPr>
        <w:spacing w:after="0" w:line="233" w:lineRule="exact"/>
        <w:rPr>
          <w:rFonts w:ascii="Arial" w:cs="Arial" w:eastAsia="Arial" w:hAnsi="Arial"/>
          <w:sz w:val="22"/>
          <w:szCs w:val="22"/>
          <w:color w:val="auto"/>
        </w:rPr>
      </w:pPr>
    </w:p>
    <w:p>
      <w:pPr>
        <w:ind w:right="60" w:firstLine="1953"/>
        <w:spacing w:after="0" w:line="289" w:lineRule="auto"/>
        <w:tabs>
          <w:tab w:leader="none" w:pos="2329" w:val="left"/>
        </w:tabs>
        <w:numPr>
          <w:ilvl w:val="1"/>
          <w:numId w:val="40"/>
        </w:numPr>
        <w:rPr>
          <w:rFonts w:ascii="Arial" w:cs="Arial" w:eastAsia="Arial" w:hAnsi="Arial"/>
          <w:sz w:val="19"/>
          <w:szCs w:val="19"/>
          <w:color w:val="auto"/>
        </w:rPr>
      </w:pPr>
      <w:r>
        <w:rPr>
          <w:rFonts w:ascii="Arial" w:cs="Arial" w:eastAsia="Arial" w:hAnsi="Arial"/>
          <w:sz w:val="19"/>
          <w:szCs w:val="19"/>
          <w:color w:val="auto"/>
        </w:rPr>
        <w:t>Anything in this Agreement to the contrary notwithstanding, if the amount of any compensation, payment, acceleration, benefit, or distribution by the Company to or for the benefit of the Executive, whether paid or payable or distributed or distributable pursuant to the terms of this Agreement or otherwise, calculated in a manner consistent with Section 280G of the Internal Revenue Code of 1986, as amended (the “</w:t>
      </w:r>
      <w:r>
        <w:rPr>
          <w:rFonts w:ascii="Arial" w:cs="Arial" w:eastAsia="Arial" w:hAnsi="Arial"/>
          <w:sz w:val="19"/>
          <w:szCs w:val="19"/>
          <w:b w:val="1"/>
          <w:bCs w:val="1"/>
          <w:u w:val="single" w:color="auto"/>
          <w:color w:val="auto"/>
        </w:rPr>
        <w:t>Code</w:t>
      </w:r>
      <w:r>
        <w:rPr>
          <w:rFonts w:ascii="Arial" w:cs="Arial" w:eastAsia="Arial" w:hAnsi="Arial"/>
          <w:sz w:val="19"/>
          <w:szCs w:val="19"/>
          <w:color w:val="auto"/>
        </w:rPr>
        <w:t>”) and the applicable regulations thereunder (the “</w:t>
      </w:r>
      <w:r>
        <w:rPr>
          <w:rFonts w:ascii="Arial" w:cs="Arial" w:eastAsia="Arial" w:hAnsi="Arial"/>
          <w:sz w:val="19"/>
          <w:szCs w:val="19"/>
          <w:b w:val="1"/>
          <w:bCs w:val="1"/>
          <w:u w:val="single" w:color="auto"/>
          <w:color w:val="auto"/>
        </w:rPr>
        <w:t>Severance</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Payments</w:t>
      </w:r>
      <w:r>
        <w:rPr>
          <w:rFonts w:ascii="Arial" w:cs="Arial" w:eastAsia="Arial" w:hAnsi="Arial"/>
          <w:sz w:val="19"/>
          <w:szCs w:val="19"/>
          <w:color w:val="auto"/>
        </w:rPr>
        <w:t>”), would be subject to the excise tax imposed by Section 4999 of the Code, then the Severance Payments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reduced (but not below zero) to the extent necessary so that the sum of all Severance Payments does not exceed the Threshold Amount (defined below), but if the after-tax amount the Executive would receive if there were no reduction pursuant to this section (including any federal, state, and local taxes) exceeds the after-tax amount the Executive would receive if the Severance Payments were reduced below the Threshold Amount, the Severance Payments will no longer be so reduced. If Severance Payments are required to be reduced, the Severance Payments will be reduced in the following order: (1) cash payments not subject to Section 409A of the Code; (2) cash payments subject to Section 409A of the Code; (3) equity-based payments and acceleration; and (4) non-cash forms of benefits.</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ind w:right="40" w:firstLine="1953"/>
        <w:spacing w:after="0" w:line="364" w:lineRule="auto"/>
        <w:tabs>
          <w:tab w:leader="none" w:pos="2389" w:val="left"/>
        </w:tabs>
        <w:numPr>
          <w:ilvl w:val="1"/>
          <w:numId w:val="40"/>
        </w:numPr>
        <w:rPr>
          <w:rFonts w:ascii="Arial" w:cs="Arial" w:eastAsia="Arial" w:hAnsi="Arial"/>
          <w:sz w:val="19"/>
          <w:szCs w:val="19"/>
          <w:color w:val="auto"/>
        </w:rPr>
      </w:pPr>
      <w:r>
        <w:rPr>
          <w:rFonts w:ascii="Arial" w:cs="Arial" w:eastAsia="Arial" w:hAnsi="Arial"/>
          <w:sz w:val="19"/>
          <w:szCs w:val="19"/>
          <w:color w:val="auto"/>
        </w:rPr>
        <w:t>For the purposes of this Section 6(c), “</w:t>
      </w:r>
      <w:r>
        <w:rPr>
          <w:rFonts w:ascii="Arial" w:cs="Arial" w:eastAsia="Arial" w:hAnsi="Arial"/>
          <w:sz w:val="19"/>
          <w:szCs w:val="19"/>
          <w:b w:val="1"/>
          <w:bCs w:val="1"/>
          <w:u w:val="single" w:color="auto"/>
          <w:color w:val="auto"/>
        </w:rPr>
        <w:t>Threshold Amount</w:t>
      </w:r>
      <w:r>
        <w:rPr>
          <w:rFonts w:ascii="Arial" w:cs="Arial" w:eastAsia="Arial" w:hAnsi="Arial"/>
          <w:sz w:val="19"/>
          <w:szCs w:val="19"/>
          <w:color w:val="auto"/>
        </w:rPr>
        <w:t>” means three times the Executive’s “base amount” within the meaning of Section 280G(b)(3) of the Code and the regulations promulgated thereunder less one dollar ($1.00).</w:t>
      </w:r>
    </w:p>
    <w:p>
      <w:pPr>
        <w:spacing w:after="0" w:line="86" w:lineRule="exact"/>
        <w:rPr>
          <w:rFonts w:ascii="Arial" w:cs="Arial" w:eastAsia="Arial" w:hAnsi="Arial"/>
          <w:sz w:val="19"/>
          <w:szCs w:val="19"/>
          <w:color w:val="auto"/>
        </w:rPr>
      </w:pPr>
    </w:p>
    <w:p>
      <w:pPr>
        <w:ind w:right="20" w:firstLine="1953"/>
        <w:spacing w:after="0" w:line="254" w:lineRule="auto"/>
        <w:tabs>
          <w:tab w:leader="none" w:pos="2449" w:val="left"/>
        </w:tabs>
        <w:numPr>
          <w:ilvl w:val="1"/>
          <w:numId w:val="40"/>
        </w:numPr>
        <w:rPr>
          <w:rFonts w:ascii="Arial" w:cs="Arial" w:eastAsia="Arial" w:hAnsi="Arial"/>
          <w:sz w:val="22"/>
          <w:szCs w:val="22"/>
          <w:color w:val="auto"/>
        </w:rPr>
      </w:pPr>
      <w:r>
        <w:rPr>
          <w:rFonts w:ascii="Arial" w:cs="Arial" w:eastAsia="Arial" w:hAnsi="Arial"/>
          <w:sz w:val="22"/>
          <w:szCs w:val="22"/>
          <w:color w:val="auto"/>
        </w:rPr>
        <w:t>The determinations under this Section 6(c) will be made by a nationally recognized accounting firm selected by the Company (the “</w:t>
      </w:r>
      <w:r>
        <w:rPr>
          <w:rFonts w:ascii="Arial" w:cs="Arial" w:eastAsia="Arial" w:hAnsi="Arial"/>
          <w:sz w:val="22"/>
          <w:szCs w:val="22"/>
          <w:b w:val="1"/>
          <w:bCs w:val="1"/>
          <w:u w:val="single" w:color="auto"/>
          <w:color w:val="auto"/>
        </w:rPr>
        <w:t>Accounting Firm</w:t>
      </w:r>
      <w:r>
        <w:rPr>
          <w:rFonts w:ascii="Arial" w:cs="Arial" w:eastAsia="Arial" w:hAnsi="Arial"/>
          <w:sz w:val="22"/>
          <w:szCs w:val="22"/>
          <w:color w:val="auto"/>
        </w:rPr>
        <w:t>”), which must provide detailed supporting calculations both to the Company and the Executive within 15 business days of the Date of Termination, if applicable, or at such earlier time as is reasonably requested by the Company or the Executive.</w:t>
      </w:r>
    </w:p>
    <w:p>
      <w:pPr>
        <w:spacing w:after="0" w:line="179" w:lineRule="exact"/>
        <w:rPr>
          <w:rFonts w:ascii="Arial" w:cs="Arial" w:eastAsia="Arial" w:hAnsi="Arial"/>
          <w:sz w:val="22"/>
          <w:szCs w:val="22"/>
          <w:color w:val="auto"/>
        </w:rPr>
      </w:pPr>
    </w:p>
    <w:p>
      <w:pPr>
        <w:ind w:right="200" w:firstLine="1305"/>
        <w:spacing w:after="0" w:line="282" w:lineRule="auto"/>
        <w:tabs>
          <w:tab w:leader="none" w:pos="1716"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Change in Control Definition</w:t>
      </w:r>
      <w:r>
        <w:rPr>
          <w:rFonts w:ascii="Arial" w:cs="Arial" w:eastAsia="Arial" w:hAnsi="Arial"/>
          <w:sz w:val="22"/>
          <w:szCs w:val="22"/>
          <w:color w:val="auto"/>
        </w:rPr>
        <w:t>. For purposes of this Section 6, “</w:t>
      </w:r>
      <w:r>
        <w:rPr>
          <w:rFonts w:ascii="Arial" w:cs="Arial" w:eastAsia="Arial" w:hAnsi="Arial"/>
          <w:sz w:val="22"/>
          <w:szCs w:val="22"/>
          <w:b w:val="1"/>
          <w:bCs w:val="1"/>
          <w:u w:val="single" w:color="auto"/>
          <w:color w:val="auto"/>
        </w:rPr>
        <w:t>Change in Control</w:t>
      </w:r>
      <w:r>
        <w:rPr>
          <w:rFonts w:ascii="Arial" w:cs="Arial" w:eastAsia="Arial" w:hAnsi="Arial"/>
          <w:sz w:val="22"/>
          <w:szCs w:val="22"/>
          <w:color w:val="auto"/>
        </w:rPr>
        <w:t>” means the consummation of any of the following:</w:t>
      </w:r>
    </w:p>
    <w:p>
      <w:pPr>
        <w:spacing w:after="0" w:line="154" w:lineRule="exact"/>
        <w:rPr>
          <w:rFonts w:ascii="Arial" w:cs="Arial" w:eastAsia="Arial" w:hAnsi="Arial"/>
          <w:sz w:val="22"/>
          <w:szCs w:val="22"/>
          <w:color w:val="auto"/>
        </w:rPr>
      </w:pPr>
    </w:p>
    <w:p>
      <w:pPr>
        <w:ind w:left="2340" w:hanging="387"/>
        <w:spacing w:after="0"/>
        <w:tabs>
          <w:tab w:leader="none" w:pos="2340" w:val="left"/>
        </w:tabs>
        <w:numPr>
          <w:ilvl w:val="1"/>
          <w:numId w:val="40"/>
        </w:numPr>
        <w:rPr>
          <w:rFonts w:ascii="Arial" w:cs="Arial" w:eastAsia="Arial" w:hAnsi="Arial"/>
          <w:sz w:val="19"/>
          <w:szCs w:val="19"/>
          <w:color w:val="auto"/>
        </w:rPr>
      </w:pPr>
      <w:r>
        <w:rPr>
          <w:rFonts w:ascii="Arial" w:cs="Arial" w:eastAsia="Arial" w:hAnsi="Arial"/>
          <w:sz w:val="19"/>
          <w:szCs w:val="19"/>
          <w:color w:val="auto"/>
        </w:rPr>
        <w:t>the sale of all or substantially all of the assets of the Company or the Parent to an unrelated person or</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entity;</w:t>
      </w:r>
    </w:p>
    <w:p>
      <w:pPr>
        <w:spacing w:after="0" w:line="215" w:lineRule="exact"/>
        <w:rPr>
          <w:rFonts w:ascii="Arial" w:cs="Arial" w:eastAsia="Arial" w:hAnsi="Arial"/>
          <w:sz w:val="19"/>
          <w:szCs w:val="19"/>
          <w:color w:val="auto"/>
        </w:rPr>
      </w:pPr>
    </w:p>
    <w:p>
      <w:pPr>
        <w:ind w:right="220" w:firstLine="1953"/>
        <w:spacing w:after="0" w:line="254" w:lineRule="auto"/>
        <w:tabs>
          <w:tab w:leader="none" w:pos="2389" w:val="left"/>
        </w:tabs>
        <w:numPr>
          <w:ilvl w:val="1"/>
          <w:numId w:val="40"/>
        </w:numPr>
        <w:rPr>
          <w:rFonts w:ascii="Arial" w:cs="Arial" w:eastAsia="Arial" w:hAnsi="Arial"/>
          <w:sz w:val="22"/>
          <w:szCs w:val="22"/>
          <w:color w:val="auto"/>
        </w:rPr>
      </w:pPr>
      <w:r>
        <w:rPr>
          <w:rFonts w:ascii="Arial" w:cs="Arial" w:eastAsia="Arial" w:hAnsi="Arial"/>
          <w:sz w:val="22"/>
          <w:szCs w:val="22"/>
          <w:color w:val="auto"/>
        </w:rPr>
        <w:t>a merger, reorganization, or consolidation involving the Company or the Parent in which the shares of voting stock outstanding immediately prior to the transaction represent or are converted into or exchanged for securities of the surviving or resulting entity that, immediately upon completion of the transaction, represent less than 50% of the outstanding voting power of the surviving or resulting entity;</w:t>
      </w:r>
    </w:p>
    <w:p>
      <w:pPr>
        <w:spacing w:after="0" w:line="185" w:lineRule="exact"/>
        <w:rPr>
          <w:rFonts w:ascii="Arial" w:cs="Arial" w:eastAsia="Arial" w:hAnsi="Arial"/>
          <w:sz w:val="22"/>
          <w:szCs w:val="22"/>
          <w:color w:val="auto"/>
        </w:rPr>
      </w:pPr>
    </w:p>
    <w:p>
      <w:pPr>
        <w:ind w:right="320" w:firstLine="1953"/>
        <w:spacing w:after="0" w:line="276" w:lineRule="auto"/>
        <w:tabs>
          <w:tab w:leader="none" w:pos="2449" w:val="left"/>
        </w:tabs>
        <w:numPr>
          <w:ilvl w:val="1"/>
          <w:numId w:val="40"/>
        </w:numPr>
        <w:rPr>
          <w:rFonts w:ascii="Arial" w:cs="Arial" w:eastAsia="Arial" w:hAnsi="Arial"/>
          <w:sz w:val="22"/>
          <w:szCs w:val="22"/>
          <w:color w:val="auto"/>
        </w:rPr>
      </w:pPr>
      <w:r>
        <w:rPr>
          <w:rFonts w:ascii="Arial" w:cs="Arial" w:eastAsia="Arial" w:hAnsi="Arial"/>
          <w:sz w:val="22"/>
          <w:szCs w:val="22"/>
          <w:color w:val="auto"/>
        </w:rPr>
        <w:t>the acquisition of all or a majority of the outstanding voting stock of the Company or the Parent in a single transaction or a series of related transactions by a person or group of persons; or</w:t>
      </w:r>
    </w:p>
    <w:p>
      <w:pPr>
        <w:spacing w:after="0" w:line="160" w:lineRule="exact"/>
        <w:rPr>
          <w:rFonts w:ascii="Arial" w:cs="Arial" w:eastAsia="Arial" w:hAnsi="Arial"/>
          <w:sz w:val="22"/>
          <w:szCs w:val="22"/>
          <w:color w:val="auto"/>
        </w:rPr>
      </w:pPr>
    </w:p>
    <w:p>
      <w:pPr>
        <w:ind w:left="2440" w:hanging="487"/>
        <w:spacing w:after="0"/>
        <w:tabs>
          <w:tab w:leader="none" w:pos="2440" w:val="left"/>
        </w:tabs>
        <w:numPr>
          <w:ilvl w:val="1"/>
          <w:numId w:val="40"/>
        </w:numPr>
        <w:rPr>
          <w:rFonts w:ascii="Arial" w:cs="Arial" w:eastAsia="Arial" w:hAnsi="Arial"/>
          <w:sz w:val="21"/>
          <w:szCs w:val="21"/>
          <w:color w:val="auto"/>
        </w:rPr>
      </w:pPr>
      <w:r>
        <w:rPr>
          <w:rFonts w:ascii="Arial" w:cs="Arial" w:eastAsia="Arial" w:hAnsi="Arial"/>
          <w:sz w:val="21"/>
          <w:szCs w:val="21"/>
          <w:color w:val="auto"/>
        </w:rPr>
        <w:t>any other acquisition of the business of the Company or the Parent, as determined by the Board;</w:t>
      </w:r>
    </w:p>
    <w:p>
      <w:pPr>
        <w:spacing w:after="0" w:line="245" w:lineRule="exact"/>
        <w:rPr>
          <w:sz w:val="20"/>
          <w:szCs w:val="20"/>
          <w:color w:val="auto"/>
        </w:rPr>
      </w:pPr>
    </w:p>
    <w:p>
      <w:pPr>
        <w:ind w:right="480"/>
        <w:spacing w:after="0" w:line="263" w:lineRule="auto"/>
        <w:rPr>
          <w:sz w:val="20"/>
          <w:szCs w:val="20"/>
          <w:color w:val="auto"/>
        </w:rPr>
      </w:pPr>
      <w:r>
        <w:rPr>
          <w:rFonts w:ascii="Arial" w:cs="Arial" w:eastAsia="Arial" w:hAnsi="Arial"/>
          <w:sz w:val="22"/>
          <w:szCs w:val="22"/>
          <w:color w:val="auto"/>
        </w:rPr>
        <w:t>but the Company’s initial public offering, any subsequent public offering, or another capital raising event, or a merger effected solely to change the Company’s domicile does not constitute a Change in Control.</w:t>
      </w:r>
    </w:p>
    <w:p>
      <w:pPr>
        <w:spacing w:after="0" w:line="175"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9"/>
          <w:szCs w:val="19"/>
          <w:u w:val="single" w:color="auto"/>
          <w:color w:val="auto"/>
        </w:rPr>
        <w:t>Section 409A Compliance</w:t>
      </w:r>
      <w:r>
        <w:rPr>
          <w:rFonts w:ascii="Arial" w:cs="Arial" w:eastAsia="Arial" w:hAnsi="Arial"/>
          <w:sz w:val="19"/>
          <w:szCs w:val="19"/>
          <w:color w:val="auto"/>
        </w:rPr>
        <w:t>. The following rules shall apply, to the extent necessary, with respect to</w:t>
      </w:r>
    </w:p>
    <w:p>
      <w:pPr>
        <w:spacing w:after="0" w:line="22" w:lineRule="exact"/>
        <w:rPr>
          <w:sz w:val="20"/>
          <w:szCs w:val="20"/>
          <w:color w:val="auto"/>
        </w:rPr>
      </w:pPr>
    </w:p>
    <w:p>
      <w:pPr>
        <w:jc w:val="both"/>
        <w:ind w:right="80"/>
        <w:spacing w:after="0" w:line="302" w:lineRule="auto"/>
        <w:rPr>
          <w:sz w:val="20"/>
          <w:szCs w:val="20"/>
          <w:color w:val="auto"/>
        </w:rPr>
      </w:pPr>
      <w:r>
        <w:rPr>
          <w:rFonts w:ascii="Arial" w:cs="Arial" w:eastAsia="Arial" w:hAnsi="Arial"/>
          <w:sz w:val="19"/>
          <w:szCs w:val="19"/>
          <w:color w:val="auto"/>
        </w:rPr>
        <w:t>distribution of the payments and benefits, if any, to be provided to the Executive under this Agreement. Subject to the provisions in this Section, the severance payments pursuant to this Agreement shall begin only upon the date of the Executive's “separation from service” (determined as set forth below) which occurs on or after the date of the Executive's termination of employment.</w:t>
      </w:r>
    </w:p>
    <w:p>
      <w:pPr>
        <w:spacing w:after="0" w:line="143" w:lineRule="exact"/>
        <w:rPr>
          <w:sz w:val="20"/>
          <w:szCs w:val="20"/>
          <w:color w:val="auto"/>
        </w:rPr>
      </w:pPr>
    </w:p>
    <w:p>
      <w:pPr>
        <w:ind w:right="80" w:firstLine="1305"/>
        <w:spacing w:after="0" w:line="260" w:lineRule="auto"/>
        <w:tabs>
          <w:tab w:leader="none" w:pos="1716"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This Agreement is intended to comply with Code Section 409A (to the extent applicable) and the parties hereto agree to interpret, apply and administer this Agreement in the least restrictive manner necessary to comply therewith and without resulting in any increase in the amounts owed hereunder by the Company.</w:t>
      </w:r>
    </w:p>
    <w:p>
      <w:pPr>
        <w:sectPr>
          <w:pgSz w:w="11900" w:h="16838" w:orient="portrait"/>
          <w:cols w:equalWidth="0" w:num="1">
            <w:col w:w="11420"/>
          </w:cols>
          <w:pgMar w:left="240" w:top="132" w:right="239" w:bottom="0" w:gutter="0" w:footer="0" w:header="0"/>
        </w:sectPr>
      </w:pPr>
    </w:p>
    <w:bookmarkStart w:id="45" w:name="page46"/>
    <w:bookmarkEnd w:id="45"/>
    <w:p>
      <w:pPr>
        <w:ind w:right="20" w:firstLine="1305"/>
        <w:spacing w:after="0" w:line="307" w:lineRule="auto"/>
        <w:tabs>
          <w:tab w:leader="none" w:pos="1728" w:val="left"/>
        </w:tabs>
        <w:numPr>
          <w:ilvl w:val="0"/>
          <w:numId w:val="42"/>
        </w:numPr>
        <w:rPr>
          <w:rFonts w:ascii="Arial" w:cs="Arial" w:eastAsia="Arial" w:hAnsi="Arial"/>
          <w:sz w:val="19"/>
          <w:szCs w:val="19"/>
          <w:color w:val="auto"/>
        </w:rPr>
      </w:pPr>
      <w:r>
        <w:rPr>
          <w:rFonts w:ascii="Arial" w:cs="Arial" w:eastAsia="Arial" w:hAnsi="Arial"/>
          <w:sz w:val="19"/>
          <w:szCs w:val="19"/>
          <w:color w:val="auto"/>
        </w:rPr>
        <w:t>It is intended that each installment of the severance payments and benefits provided under this Agreement shall be treated as a separate “payment” for purposes of Section 409 A of the Internal Revenue Code of 1986, as amended, and the guidance issued thereunder (“Section 409A”). Neither the Executive nor the Company shall have the right to accelerate or defer the delivery of any such payments or benefits except to the extent specifically permitted or required by Section 409A.</w:t>
      </w:r>
    </w:p>
    <w:p>
      <w:pPr>
        <w:spacing w:after="0" w:line="138" w:lineRule="exact"/>
        <w:rPr>
          <w:rFonts w:ascii="Arial" w:cs="Arial" w:eastAsia="Arial" w:hAnsi="Arial"/>
          <w:sz w:val="19"/>
          <w:szCs w:val="19"/>
          <w:color w:val="auto"/>
        </w:rPr>
      </w:pPr>
    </w:p>
    <w:p>
      <w:pPr>
        <w:ind w:right="20" w:firstLine="1305"/>
        <w:spacing w:after="0" w:line="260" w:lineRule="auto"/>
        <w:tabs>
          <w:tab w:leader="none" w:pos="1716" w:val="left"/>
        </w:tabs>
        <w:numPr>
          <w:ilvl w:val="0"/>
          <w:numId w:val="42"/>
        </w:numPr>
        <w:rPr>
          <w:rFonts w:ascii="Arial" w:cs="Arial" w:eastAsia="Arial" w:hAnsi="Arial"/>
          <w:sz w:val="22"/>
          <w:szCs w:val="22"/>
          <w:color w:val="auto"/>
        </w:rPr>
      </w:pPr>
      <w:r>
        <w:rPr>
          <w:rFonts w:ascii="Arial" w:cs="Arial" w:eastAsia="Arial" w:hAnsi="Arial"/>
          <w:sz w:val="22"/>
          <w:szCs w:val="22"/>
          <w:color w:val="auto"/>
        </w:rPr>
        <w:t>If, as of the date of the Executive's “separation from service” from the Company, the Executive is not a “specified employee” (within the meaning of Section 409 A), then each installment of the severance payments and benefits shall be made on the dates and terms set forth in this Agreement.</w:t>
      </w:r>
    </w:p>
    <w:p>
      <w:pPr>
        <w:spacing w:after="0" w:line="177" w:lineRule="exact"/>
        <w:rPr>
          <w:rFonts w:ascii="Arial" w:cs="Arial" w:eastAsia="Arial" w:hAnsi="Arial"/>
          <w:sz w:val="22"/>
          <w:szCs w:val="22"/>
          <w:color w:val="auto"/>
        </w:rPr>
      </w:pPr>
    </w:p>
    <w:p>
      <w:pPr>
        <w:ind w:right="160" w:firstLine="1305"/>
        <w:spacing w:after="0" w:line="276" w:lineRule="auto"/>
        <w:tabs>
          <w:tab w:leader="none" w:pos="1728" w:val="left"/>
        </w:tabs>
        <w:numPr>
          <w:ilvl w:val="0"/>
          <w:numId w:val="42"/>
        </w:numPr>
        <w:rPr>
          <w:rFonts w:ascii="Arial" w:cs="Arial" w:eastAsia="Arial" w:hAnsi="Arial"/>
          <w:sz w:val="22"/>
          <w:szCs w:val="22"/>
          <w:color w:val="auto"/>
        </w:rPr>
      </w:pPr>
      <w:r>
        <w:rPr>
          <w:rFonts w:ascii="Arial" w:cs="Arial" w:eastAsia="Arial" w:hAnsi="Arial"/>
          <w:sz w:val="22"/>
          <w:szCs w:val="22"/>
          <w:color w:val="auto"/>
        </w:rPr>
        <w:t>If, as of the date of the Executive's “separation from service” from the Company, the Executive is a “specified employee” (within the meaning of Section 409A), then:</w:t>
      </w:r>
    </w:p>
    <w:p>
      <w:pPr>
        <w:spacing w:after="0" w:line="160" w:lineRule="exact"/>
        <w:rPr>
          <w:rFonts w:ascii="Arial" w:cs="Arial" w:eastAsia="Arial" w:hAnsi="Arial"/>
          <w:sz w:val="22"/>
          <w:szCs w:val="22"/>
          <w:color w:val="auto"/>
        </w:rPr>
      </w:pPr>
    </w:p>
    <w:p>
      <w:pPr>
        <w:jc w:val="both"/>
        <w:ind w:right="200" w:firstLine="1953"/>
        <w:spacing w:after="0" w:line="307" w:lineRule="auto"/>
        <w:tabs>
          <w:tab w:leader="none" w:pos="2329" w:val="left"/>
        </w:tabs>
        <w:numPr>
          <w:ilvl w:val="1"/>
          <w:numId w:val="42"/>
        </w:numPr>
        <w:rPr>
          <w:rFonts w:ascii="Arial" w:cs="Arial" w:eastAsia="Arial" w:hAnsi="Arial"/>
          <w:sz w:val="19"/>
          <w:szCs w:val="19"/>
          <w:color w:val="auto"/>
        </w:rPr>
      </w:pPr>
      <w:r>
        <w:rPr>
          <w:rFonts w:ascii="Arial" w:cs="Arial" w:eastAsia="Arial" w:hAnsi="Arial"/>
          <w:sz w:val="19"/>
          <w:szCs w:val="19"/>
          <w:color w:val="auto"/>
        </w:rPr>
        <w:t>Each installment of the severance payments and benefits due under this Agreement that, in accordance with the dates and terms set forth herein, will in all circumstances, regardless of when the separation from service occurs, be paid within the short-term deferral period (as defined in Section 409A) shall be treated as a short-term deferral within the meaning of Treasury Regulation Section 1.409A-l(b)(4) to the maximum extent permissible under Section 409A; and</w:t>
      </w:r>
    </w:p>
    <w:p>
      <w:pPr>
        <w:spacing w:after="0" w:line="138" w:lineRule="exact"/>
        <w:rPr>
          <w:rFonts w:ascii="Arial" w:cs="Arial" w:eastAsia="Arial" w:hAnsi="Arial"/>
          <w:sz w:val="19"/>
          <w:szCs w:val="19"/>
          <w:color w:val="auto"/>
        </w:rPr>
      </w:pPr>
    </w:p>
    <w:p>
      <w:pPr>
        <w:ind w:firstLine="1953"/>
        <w:spacing w:after="0" w:line="259" w:lineRule="auto"/>
        <w:tabs>
          <w:tab w:leader="none" w:pos="2389" w:val="left"/>
        </w:tabs>
        <w:numPr>
          <w:ilvl w:val="1"/>
          <w:numId w:val="42"/>
        </w:numPr>
        <w:rPr>
          <w:rFonts w:ascii="Arial" w:cs="Arial" w:eastAsia="Arial" w:hAnsi="Arial"/>
          <w:sz w:val="21"/>
          <w:szCs w:val="21"/>
          <w:color w:val="auto"/>
        </w:rPr>
      </w:pPr>
      <w:r>
        <w:rPr>
          <w:rFonts w:ascii="Arial" w:cs="Arial" w:eastAsia="Arial" w:hAnsi="Arial"/>
          <w:sz w:val="21"/>
          <w:szCs w:val="21"/>
          <w:color w:val="auto"/>
        </w:rPr>
        <w:t>Each installment of the severance payments and benefits due under this Agreement that is not described in Section 7(d)(i) above and that would, absent this subsection, be paid within the six-month period following the Executive's “separation from service” from the Company shall not be paid until the date that is six months and one day after such separation from service (or, if earlier, the Executive's death), with any such installments that are required to be delayed being accumulated during the six-month period and paid in a lump sum on the date that is six months and one day following the Executive's separation from service and any subsequent installments, if any, being paid in accordance with the dates and terms set forth herein; provided, however, that the preceding provisions of this sentence shall not apply to any installment of severance payments and benefits if and to the maximum extent that such installment is deemed to be paid under a separation pay plan that does not provide for a deferral of compensation by reason of the application of Treasury Regulation 1.409A-1 (b)(9)(iii) (relating to separation pay upon an involuntary separation from service). Any installments that qualify for the exception under Treasury Regulation Section 1.409A-l(b)(9)(iii) must be paid no later than the last day of the second taxable year following the taxable year in which the separation from service occurs.</w:t>
      </w:r>
    </w:p>
    <w:p>
      <w:pPr>
        <w:spacing w:after="0" w:line="181" w:lineRule="exact"/>
        <w:rPr>
          <w:rFonts w:ascii="Arial" w:cs="Arial" w:eastAsia="Arial" w:hAnsi="Arial"/>
          <w:sz w:val="21"/>
          <w:szCs w:val="21"/>
          <w:color w:val="auto"/>
        </w:rPr>
      </w:pPr>
    </w:p>
    <w:p>
      <w:pPr>
        <w:ind w:right="620" w:firstLine="1305"/>
        <w:spacing w:after="0" w:line="307" w:lineRule="auto"/>
        <w:tabs>
          <w:tab w:leader="none" w:pos="1716"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determination of whether and when the Executive's separation from service from the Company has occurred shall be made in a manner consistent with, and based on the presumptions set forth in, Treasury Regulation Section 1.409A-l(h). Solely for purposes of this Section, “Company” shall include all persons with whom the Company would be considered a single employer as determined under Treasury Regulation Section 1.409A-l(h)(3).</w:t>
      </w:r>
    </w:p>
    <w:p>
      <w:pPr>
        <w:spacing w:after="0" w:line="138" w:lineRule="exact"/>
        <w:rPr>
          <w:rFonts w:ascii="Arial" w:cs="Arial" w:eastAsia="Arial" w:hAnsi="Arial"/>
          <w:sz w:val="19"/>
          <w:szCs w:val="19"/>
          <w:color w:val="auto"/>
        </w:rPr>
      </w:pPr>
    </w:p>
    <w:p>
      <w:pPr>
        <w:ind w:right="40" w:firstLine="1305"/>
        <w:spacing w:after="0" w:line="294" w:lineRule="auto"/>
        <w:tabs>
          <w:tab w:leader="none" w:pos="1692" w:val="left"/>
        </w:tabs>
        <w:numPr>
          <w:ilvl w:val="0"/>
          <w:numId w:val="42"/>
        </w:numPr>
        <w:rPr>
          <w:rFonts w:ascii="Arial" w:cs="Arial" w:eastAsia="Arial" w:hAnsi="Arial"/>
          <w:sz w:val="19"/>
          <w:szCs w:val="19"/>
          <w:color w:val="auto"/>
        </w:rPr>
      </w:pPr>
      <w:r>
        <w:rPr>
          <w:rFonts w:ascii="Arial" w:cs="Arial" w:eastAsia="Arial" w:hAnsi="Arial"/>
          <w:sz w:val="19"/>
          <w:szCs w:val="19"/>
          <w:color w:val="auto"/>
        </w:rPr>
        <w:t>All reimbursements and in-kind benefits provided under this Agreement shall be made or provided in accordance with the requirements of Section 409A to the extent that such reimbursements or in-kind benefits are subject to Section 409A, including, where applicable, the requirements that (i) any reimbursement is for expenses incurred during the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52" w:lineRule="exact"/>
        <w:rPr>
          <w:rFonts w:ascii="Arial" w:cs="Arial" w:eastAsia="Arial" w:hAnsi="Arial"/>
          <w:sz w:val="19"/>
          <w:szCs w:val="19"/>
          <w:color w:val="auto"/>
        </w:rPr>
      </w:pPr>
    </w:p>
    <w:p>
      <w:pPr>
        <w:ind w:right="60" w:firstLine="1305"/>
        <w:spacing w:after="0" w:line="260" w:lineRule="auto"/>
        <w:tabs>
          <w:tab w:leader="none" w:pos="1728" w:val="left"/>
        </w:tabs>
        <w:numPr>
          <w:ilvl w:val="0"/>
          <w:numId w:val="42"/>
        </w:numPr>
        <w:rPr>
          <w:rFonts w:ascii="Arial" w:cs="Arial" w:eastAsia="Arial" w:hAnsi="Arial"/>
          <w:sz w:val="22"/>
          <w:szCs w:val="22"/>
          <w:color w:val="auto"/>
        </w:rPr>
      </w:pPr>
      <w:r>
        <w:rPr>
          <w:rFonts w:ascii="Arial" w:cs="Arial" w:eastAsia="Arial" w:hAnsi="Arial"/>
          <w:sz w:val="22"/>
          <w:szCs w:val="22"/>
          <w:color w:val="auto"/>
        </w:rPr>
        <w:t>Notwithstanding anything herein to the contrary, the Company shall have no liability to the Executive or to any other person if the payments and benefits provided in this Agreement that are intended to be exempt from or compliant with Section 409A are not so exempt or compliant.</w:t>
      </w:r>
    </w:p>
    <w:p>
      <w:pPr>
        <w:spacing w:after="0" w:line="177"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Employee agrees to enter into the Company’s standard Employee Confidentiality and Proprietary Rights Agreement (the “Confidential Information Agreement”). Employee’s receipt of any benefits in connection with or following Employee’s termination will be subject to Employee continuing to comply with the terms of Confidential Information Agreement.</w:t>
      </w:r>
    </w:p>
    <w:p>
      <w:pPr>
        <w:spacing w:after="0" w:line="188"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19"/>
          <w:szCs w:val="19"/>
          <w:u w:val="single" w:color="auto"/>
          <w:color w:val="auto"/>
        </w:rPr>
        <w:t>Cooperation; Other Documents; Non-Disclosure</w:t>
      </w:r>
      <w:r>
        <w:rPr>
          <w:rFonts w:ascii="Arial" w:cs="Arial" w:eastAsia="Arial" w:hAnsi="Arial"/>
          <w:sz w:val="19"/>
          <w:szCs w:val="19"/>
          <w:color w:val="auto"/>
        </w:rPr>
        <w:t>.</w:t>
      </w:r>
    </w:p>
    <w:p>
      <w:pPr>
        <w:spacing w:after="0" w:line="220" w:lineRule="exact"/>
        <w:rPr>
          <w:sz w:val="20"/>
          <w:szCs w:val="20"/>
          <w:color w:val="auto"/>
        </w:rPr>
      </w:pPr>
    </w:p>
    <w:p>
      <w:pPr>
        <w:ind w:right="40" w:firstLine="1305"/>
        <w:spacing w:after="0" w:line="289" w:lineRule="auto"/>
        <w:tabs>
          <w:tab w:leader="none" w:pos="1716"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Litigation and Regulatory Cooperation</w:t>
      </w:r>
      <w:r>
        <w:rPr>
          <w:rFonts w:ascii="Arial" w:cs="Arial" w:eastAsia="Arial" w:hAnsi="Arial"/>
          <w:sz w:val="19"/>
          <w:szCs w:val="19"/>
          <w:color w:val="auto"/>
        </w:rPr>
        <w:t xml:space="preserve">. During and after the Executive’s employment, the Executive shall reasonably cooperate with the Company in the defense or prosecution of any claims or actions now in existence or which may be brought in the future against or on behalf of the Company which relate to events or occurrences that took place while the Executive was employed by the Company. The Executive’s reasonable cooperation in connection with such claims or actions includes, but is not limited to, being available to meet with counsel to prepare for discovery or trial and to act as a witness on behalf of the Company at mutually convenient times. During and after the Executive’s employment, the Executive also shall reasonably cooperate with the Company in connection with any investigation or review of any federal, state, or local regulatory authority as any such investigation or review relates to events or occurrences that took place while the Executive was employed by the Company. The Company shall reasonably compensate Executive, in its sole discretion, for his time spent, and reimburse the Executive for any reasonable out-of-pocket expenses incurred, in connection with the Executive’s performance of obligations pursuant to this Section 9(a). </w:t>
      </w:r>
      <w:r>
        <w:rPr>
          <w:rFonts w:ascii="Arial" w:cs="Arial" w:eastAsia="Arial" w:hAnsi="Arial"/>
          <w:sz w:val="19"/>
          <w:szCs w:val="19"/>
          <w:u w:val="single" w:color="auto"/>
          <w:color w:val="auto"/>
        </w:rPr>
        <w:t>Non-Disclosure</w:t>
      </w:r>
      <w:r>
        <w:rPr>
          <w:rFonts w:ascii="Arial" w:cs="Arial" w:eastAsia="Arial" w:hAnsi="Arial"/>
          <w:sz w:val="19"/>
          <w:szCs w:val="19"/>
          <w:color w:val="auto"/>
        </w:rPr>
        <w:t>. The Executive shall use his reasonable efforts to maintain the confidentiality of the</w:t>
      </w:r>
    </w:p>
    <w:p>
      <w:pPr>
        <w:sectPr>
          <w:pgSz w:w="11900" w:h="16838" w:orient="portrait"/>
          <w:cols w:equalWidth="0" w:num="1">
            <w:col w:w="11400"/>
          </w:cols>
          <w:pgMar w:left="240" w:top="132" w:right="259" w:bottom="0" w:gutter="0" w:footer="0" w:header="0"/>
        </w:sectPr>
      </w:pPr>
    </w:p>
    <w:bookmarkStart w:id="46" w:name="page47"/>
    <w:bookmarkEnd w:id="46"/>
    <w:p>
      <w:pPr>
        <w:ind w:right="120"/>
        <w:spacing w:after="0" w:line="253" w:lineRule="auto"/>
        <w:rPr>
          <w:sz w:val="20"/>
          <w:szCs w:val="20"/>
          <w:color w:val="auto"/>
        </w:rPr>
      </w:pPr>
      <w:r>
        <w:rPr>
          <w:rFonts w:ascii="Arial" w:cs="Arial" w:eastAsia="Arial" w:hAnsi="Arial"/>
          <w:sz w:val="22"/>
          <w:szCs w:val="22"/>
          <w:color w:val="auto"/>
        </w:rPr>
        <w:t>terms of this Agreement to the extent permitted by law, but the Executive may disclose the terms of this Agreement to the extent it is concerted activity under Section 7 of the National Labor Relations Act and to his immediate family members and to his legal, tax, and other advisors.</w:t>
      </w:r>
    </w:p>
    <w:p>
      <w:pPr>
        <w:spacing w:after="0" w:line="186"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19"/>
          <w:szCs w:val="19"/>
          <w:u w:val="single" w:color="auto"/>
          <w:color w:val="auto"/>
        </w:rPr>
        <w:t>Arbitration of Disputes</w:t>
      </w:r>
      <w:r>
        <w:rPr>
          <w:rFonts w:ascii="Arial" w:cs="Arial" w:eastAsia="Arial" w:hAnsi="Arial"/>
          <w:sz w:val="19"/>
          <w:szCs w:val="19"/>
          <w:color w:val="auto"/>
        </w:rPr>
        <w:t>.</w:t>
      </w:r>
    </w:p>
    <w:p>
      <w:pPr>
        <w:spacing w:after="0" w:line="220" w:lineRule="exact"/>
        <w:rPr>
          <w:sz w:val="20"/>
          <w:szCs w:val="20"/>
          <w:color w:val="auto"/>
        </w:rPr>
      </w:pPr>
    </w:p>
    <w:p>
      <w:pPr>
        <w:ind w:right="80" w:firstLine="1305"/>
        <w:spacing w:after="0" w:line="288" w:lineRule="auto"/>
        <w:tabs>
          <w:tab w:leader="none" w:pos="1728"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Scope of Arbitration Requirement</w:t>
      </w:r>
      <w:r>
        <w:rPr>
          <w:rFonts w:ascii="Arial" w:cs="Arial" w:eastAsia="Arial" w:hAnsi="Arial"/>
          <w:sz w:val="19"/>
          <w:szCs w:val="19"/>
          <w:color w:val="auto"/>
        </w:rPr>
        <w:t>. The Executive hereby waives his right to a trial before a judge or jury and agrees to arbitrate before a neutral arbitrator skilled in hearing similar disputes any and all claims or disputes arising out of this Agreement and any and all claims arising from or relating to his employment, including but not limited to claims against any current or former employee, director, or agent of the Company, claims of wrongful termination, retaliation, discrimination, harassment, breach of contract (including but not limited to disputes pertaining to the formation, validity, interpretation or effect of this Agreement), breach of the covenant of good faith and fair dealing, defamation, invasion of privacy, fraud, misrepresentation, constructive discharge or failure to provide a leave of absence, or claims regarding commissions, stock options or bonuses, infliction of emotional distress, or unfair business practices (each an “</w:t>
      </w:r>
      <w:r>
        <w:rPr>
          <w:rFonts w:ascii="Arial" w:cs="Arial" w:eastAsia="Arial" w:hAnsi="Arial"/>
          <w:sz w:val="19"/>
          <w:szCs w:val="19"/>
          <w:b w:val="1"/>
          <w:bCs w:val="1"/>
          <w:u w:val="single" w:color="auto"/>
          <w:color w:val="auto"/>
        </w:rPr>
        <w:t>Arbitrable Dispute</w:t>
      </w:r>
      <w:r>
        <w:rPr>
          <w:rFonts w:ascii="Arial" w:cs="Arial" w:eastAsia="Arial" w:hAnsi="Arial"/>
          <w:sz w:val="19"/>
          <w:szCs w:val="19"/>
          <w:color w:val="auto"/>
        </w:rPr>
        <w:t>”). Arbitration is the exclusive remedy for any Arbitrable Dispute, instead of any court or administrative action, unless the waiver of a certain court or administrative action is prohibited by law. Except as otherwise required under applicable law, the Executive hereby waives any right to assert an Arbitrable Dispute as a class action or representative action claim against the Company and agrees to only submit the Executive’s own, individual claims in arbitration and will not seek to represent the interests of any other person.</w:t>
      </w:r>
    </w:p>
    <w:p>
      <w:pPr>
        <w:spacing w:after="0" w:line="156" w:lineRule="exact"/>
        <w:rPr>
          <w:rFonts w:ascii="Arial" w:cs="Arial" w:eastAsia="Arial" w:hAnsi="Arial"/>
          <w:sz w:val="19"/>
          <w:szCs w:val="19"/>
          <w:color w:val="auto"/>
        </w:rPr>
      </w:pPr>
    </w:p>
    <w:p>
      <w:pPr>
        <w:ind w:right="20" w:firstLine="1305"/>
        <w:spacing w:after="0" w:line="291" w:lineRule="auto"/>
        <w:tabs>
          <w:tab w:leader="none" w:pos="1716"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Procedure</w:t>
      </w:r>
      <w:r>
        <w:rPr>
          <w:rFonts w:ascii="Arial" w:cs="Arial" w:eastAsia="Arial" w:hAnsi="Arial"/>
          <w:sz w:val="19"/>
          <w:szCs w:val="19"/>
          <w:color w:val="auto"/>
        </w:rPr>
        <w:t>. Any arbitration will be administered by the American Arbitration Association (“</w:t>
      </w:r>
      <w:r>
        <w:rPr>
          <w:rFonts w:ascii="Arial" w:cs="Arial" w:eastAsia="Arial" w:hAnsi="Arial"/>
          <w:sz w:val="19"/>
          <w:szCs w:val="19"/>
          <w:b w:val="1"/>
          <w:bCs w:val="1"/>
          <w:u w:val="single" w:color="auto"/>
          <w:color w:val="auto"/>
        </w:rPr>
        <w:t>AAA</w:t>
      </w:r>
      <w:r>
        <w:rPr>
          <w:rFonts w:ascii="Arial" w:cs="Arial" w:eastAsia="Arial" w:hAnsi="Arial"/>
          <w:sz w:val="19"/>
          <w:szCs w:val="19"/>
          <w:color w:val="auto"/>
        </w:rPr>
        <w:t>”) and the neutral arbitrator will be selected in a manner consistent with AAA’s National Rules For The Resolution of Employment Disputes (“</w:t>
      </w:r>
      <w:r>
        <w:rPr>
          <w:rFonts w:ascii="Arial" w:cs="Arial" w:eastAsia="Arial" w:hAnsi="Arial"/>
          <w:sz w:val="19"/>
          <w:szCs w:val="19"/>
          <w:b w:val="1"/>
          <w:bCs w:val="1"/>
          <w:u w:val="single" w:color="auto"/>
          <w:color w:val="auto"/>
        </w:rPr>
        <w:t>Applicable Arbitration Rules</w:t>
      </w:r>
      <w:r>
        <w:rPr>
          <w:rFonts w:ascii="Arial" w:cs="Arial" w:eastAsia="Arial" w:hAnsi="Arial"/>
          <w:sz w:val="19"/>
          <w:szCs w:val="19"/>
          <w:color w:val="auto"/>
        </w:rPr>
        <w:t>”). Any arbitration under this Agreement must be conducted in the Commonwealth of Pennsylvania, and the arbitrator must administer and conduct the arbitration in accordance with the Applicable Arbitration Rules, except that (i) the arbitrator must allow for the discovery authorized by the Pennsylvania Rules of Civil Procedure or the discovery that the arbitrator decides is necessary for the Parties to vindicate their respective claims or defenses, and (ii) presentation of evidence will be governed by the Pennsylvania Rules of Evidence. Within a reasonable time after the conclusion the arbitration proceedings, the arbitrator shall issue a written decision and must include the findings of fact and law that support that decision. The arbitrator has the power to award any remedies available under applicable law, and the arbitrator’s decision is final and binding on both Parties, except to the extent applicable law allows for judicial review of arbitration awards.</w:t>
      </w:r>
    </w:p>
    <w:p>
      <w:pPr>
        <w:spacing w:after="0" w:line="152" w:lineRule="exact"/>
        <w:rPr>
          <w:rFonts w:ascii="Arial" w:cs="Arial" w:eastAsia="Arial" w:hAnsi="Arial"/>
          <w:sz w:val="19"/>
          <w:szCs w:val="19"/>
          <w:color w:val="auto"/>
        </w:rPr>
      </w:pPr>
    </w:p>
    <w:p>
      <w:pPr>
        <w:jc w:val="both"/>
        <w:ind w:right="100" w:firstLine="1305"/>
        <w:spacing w:after="0" w:line="320" w:lineRule="auto"/>
        <w:tabs>
          <w:tab w:leader="none" w:pos="1728"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Costs</w:t>
      </w:r>
      <w:r>
        <w:rPr>
          <w:rFonts w:ascii="Arial" w:cs="Arial" w:eastAsia="Arial" w:hAnsi="Arial"/>
          <w:sz w:val="19"/>
          <w:szCs w:val="19"/>
          <w:color w:val="auto"/>
        </w:rPr>
        <w:t>. The Company shall bear all the costs of arbitration, except that the Executive shall pay the first $125.00 of any filing fees associated with any arbitration the Executive initiates. Both Parties are responsible for their own attorneys’ fees, and the arbitrator may not award attorneys’ fees unless a statute or contract at issue specifically authorizes such an award.</w:t>
      </w:r>
    </w:p>
    <w:p>
      <w:pPr>
        <w:spacing w:after="0" w:line="125" w:lineRule="exact"/>
        <w:rPr>
          <w:rFonts w:ascii="Arial" w:cs="Arial" w:eastAsia="Arial" w:hAnsi="Arial"/>
          <w:sz w:val="19"/>
          <w:szCs w:val="19"/>
          <w:color w:val="auto"/>
        </w:rPr>
      </w:pPr>
    </w:p>
    <w:p>
      <w:pPr>
        <w:ind w:right="60" w:firstLine="1305"/>
        <w:spacing w:after="0" w:line="254" w:lineRule="auto"/>
        <w:tabs>
          <w:tab w:leader="none" w:pos="1716"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Applicability</w:t>
      </w:r>
      <w:r>
        <w:rPr>
          <w:rFonts w:ascii="Arial" w:cs="Arial" w:eastAsia="Arial" w:hAnsi="Arial"/>
          <w:sz w:val="22"/>
          <w:szCs w:val="22"/>
          <w:color w:val="auto"/>
        </w:rPr>
        <w:t>. This Section 10, does not apply to (i) workers’ compensation or unemployment insurance claims or (ii) claims concerning ownership, validity, infringement, misappropriation, disclosure, misuse, or enforceability of any confidential information, patent right, copyright, mask work, trademark, or any other trade secret or intellectual property held or sought by either the Executive or the Company.</w:t>
      </w:r>
    </w:p>
    <w:p>
      <w:pPr>
        <w:spacing w:after="0" w:line="185" w:lineRule="exact"/>
        <w:rPr>
          <w:rFonts w:ascii="Arial" w:cs="Arial" w:eastAsia="Arial" w:hAnsi="Arial"/>
          <w:sz w:val="22"/>
          <w:szCs w:val="22"/>
          <w:color w:val="auto"/>
        </w:rPr>
      </w:pPr>
    </w:p>
    <w:p>
      <w:pPr>
        <w:ind w:right="100" w:firstLine="1305"/>
        <w:spacing w:after="0" w:line="307" w:lineRule="auto"/>
        <w:tabs>
          <w:tab w:leader="none" w:pos="1692"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Remedy</w:t>
      </w:r>
      <w:r>
        <w:rPr>
          <w:rFonts w:ascii="Arial" w:cs="Arial" w:eastAsia="Arial" w:hAnsi="Arial"/>
          <w:sz w:val="19"/>
          <w:szCs w:val="19"/>
          <w:color w:val="auto"/>
        </w:rPr>
        <w:t>. Should any party institute any legal action or administrative proceeding against the other with respect to any claim waived by this Agreement or pursue any Arbitrable Dispute by any method other than as set forth above, except to enforce the arbitration provisions and as expressly provided for in this Section 9, the responding party is entitled to recover from the initiating party all damages, costs, expenses, and attorneys’ fees incurred as a result of that action.</w:t>
      </w:r>
    </w:p>
    <w:p>
      <w:pPr>
        <w:spacing w:after="0" w:line="138" w:lineRule="exact"/>
        <w:rPr>
          <w:sz w:val="20"/>
          <w:szCs w:val="20"/>
          <w:color w:val="auto"/>
        </w:rPr>
      </w:pPr>
    </w:p>
    <w:p>
      <w:pPr>
        <w:ind w:right="160" w:firstLine="648"/>
        <w:spacing w:after="0" w:line="297" w:lineRule="auto"/>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u w:val="single" w:color="auto"/>
          <w:color w:val="auto"/>
        </w:rPr>
        <w:t>Consent to Jurisdiction</w:t>
      </w:r>
      <w:r>
        <w:rPr>
          <w:rFonts w:ascii="Arial" w:cs="Arial" w:eastAsia="Arial" w:hAnsi="Arial"/>
          <w:sz w:val="19"/>
          <w:szCs w:val="19"/>
          <w:color w:val="auto"/>
        </w:rPr>
        <w:t>. To the extent that any court action is initiated to enforce Section 10 of this Agreement, the Parties hereby consent to the jurisdiction of any state court in the Commonwealth of Pennsylvania and any U.S. District Court sitting in the Commonwealth of Pennsylvania.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spacing w:after="0" w:line="147" w:lineRule="exact"/>
        <w:rPr>
          <w:sz w:val="20"/>
          <w:szCs w:val="20"/>
          <w:color w:val="auto"/>
        </w:rPr>
      </w:pPr>
    </w:p>
    <w:p>
      <w:pPr>
        <w:ind w:right="20" w:firstLine="648"/>
        <w:spacing w:after="0" w:line="248"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Integration</w:t>
      </w:r>
      <w:r>
        <w:rPr>
          <w:rFonts w:ascii="Arial" w:cs="Arial" w:eastAsia="Arial" w:hAnsi="Arial"/>
          <w:sz w:val="22"/>
          <w:szCs w:val="22"/>
          <w:color w:val="auto"/>
        </w:rPr>
        <w:t>. This Agreement, together with the Confidential Information Agreement executed concurrently herewith, constitute the entire agreement between the Parties with respect to the subject matter hereof and supersedes all prior agreements between the Parties concerning such subject matter. Without limiting the foregoing, the parties agree that any employment agreement, other than this Agreement, existing between the Parties as of the date hereof is hereby terminated and shall be of no force of effect.</w:t>
      </w:r>
    </w:p>
    <w:p>
      <w:pPr>
        <w:spacing w:after="0" w:line="192"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Withholding</w:t>
      </w:r>
      <w:r>
        <w:rPr>
          <w:rFonts w:ascii="Arial" w:cs="Arial" w:eastAsia="Arial" w:hAnsi="Arial"/>
          <w:sz w:val="22"/>
          <w:szCs w:val="22"/>
          <w:color w:val="auto"/>
        </w:rPr>
        <w:t>. All payments made by the Company to the Executive under this Agreement will be net of any tax or other amounts lawfully withheld by the Company under applicable law. Nothing in this Agreement is to be construed to obligate the Company to design or implement any compensation arrangement in a way that minimizes tax consequences for the Executive.</w:t>
      </w:r>
    </w:p>
    <w:p>
      <w:pPr>
        <w:spacing w:after="0" w:line="188" w:lineRule="exact"/>
        <w:rPr>
          <w:sz w:val="20"/>
          <w:szCs w:val="20"/>
          <w:color w:val="auto"/>
        </w:rPr>
      </w:pPr>
    </w:p>
    <w:p>
      <w:pPr>
        <w:ind w:firstLine="648"/>
        <w:spacing w:after="0" w:line="312"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u w:val="single" w:color="auto"/>
          <w:color w:val="auto"/>
        </w:rPr>
        <w:t>Successor to the Executive</w:t>
      </w:r>
      <w:r>
        <w:rPr>
          <w:rFonts w:ascii="Arial" w:cs="Arial" w:eastAsia="Arial" w:hAnsi="Arial"/>
          <w:sz w:val="19"/>
          <w:szCs w:val="19"/>
          <w:color w:val="auto"/>
        </w:rPr>
        <w:t>. This Agreement inures to the benefit of and is enforceable by the Executive’s personal representatives, executors, administrators, heirs, distributees, devisees, and legatees. If the Executive dies after his termination of employment but prior to the completion by the Company of all payments due him under this Agreement, the</w:t>
      </w:r>
    </w:p>
    <w:p>
      <w:pPr>
        <w:sectPr>
          <w:pgSz w:w="11900" w:h="16838" w:orient="portrait"/>
          <w:cols w:equalWidth="0" w:num="1">
            <w:col w:w="11400"/>
          </w:cols>
          <w:pgMar w:left="240" w:top="132" w:right="259" w:bottom="0" w:gutter="0" w:footer="0" w:header="0"/>
        </w:sectPr>
      </w:pPr>
    </w:p>
    <w:bookmarkStart w:id="47" w:name="page48"/>
    <w:bookmarkEnd w:id="47"/>
    <w:p>
      <w:pPr>
        <w:ind w:right="120"/>
        <w:spacing w:after="0" w:line="263" w:lineRule="auto"/>
        <w:rPr>
          <w:sz w:val="20"/>
          <w:szCs w:val="20"/>
          <w:color w:val="auto"/>
        </w:rPr>
      </w:pPr>
      <w:r>
        <w:rPr>
          <w:rFonts w:ascii="Arial" w:cs="Arial" w:eastAsia="Arial" w:hAnsi="Arial"/>
          <w:sz w:val="22"/>
          <w:szCs w:val="22"/>
          <w:color w:val="auto"/>
        </w:rPr>
        <w:t>Company shall continue the payments to the Executive’s beneficiary designated in writing to the Company prior to his death (or to his estate, if the Executive fails to make such a designation).</w:t>
      </w:r>
    </w:p>
    <w:p>
      <w:pPr>
        <w:spacing w:after="0" w:line="175" w:lineRule="exact"/>
        <w:rPr>
          <w:sz w:val="20"/>
          <w:szCs w:val="20"/>
          <w:color w:val="auto"/>
        </w:rPr>
      </w:pPr>
    </w:p>
    <w:p>
      <w:pPr>
        <w:ind w:right="340" w:firstLine="648"/>
        <w:spacing w:after="0" w:line="302" w:lineRule="auto"/>
        <w:rPr>
          <w:sz w:val="20"/>
          <w:szCs w:val="20"/>
          <w:color w:val="auto"/>
        </w:rPr>
      </w:pPr>
      <w:r>
        <w:rPr>
          <w:rFonts w:ascii="Arial" w:cs="Arial" w:eastAsia="Arial" w:hAnsi="Arial"/>
          <w:sz w:val="19"/>
          <w:szCs w:val="19"/>
          <w:color w:val="auto"/>
        </w:rPr>
        <w:t xml:space="preserve">Section 14. </w:t>
      </w:r>
      <w:r>
        <w:rPr>
          <w:rFonts w:ascii="Arial" w:cs="Arial" w:eastAsia="Arial" w:hAnsi="Arial"/>
          <w:sz w:val="19"/>
          <w:szCs w:val="19"/>
          <w:u w:val="single" w:color="auto"/>
          <w:color w:val="auto"/>
        </w:rPr>
        <w:t>Enforceability</w:t>
      </w:r>
      <w:r>
        <w:rPr>
          <w:rFonts w:ascii="Arial" w:cs="Arial" w:eastAsia="Arial" w:hAnsi="Arial"/>
          <w:sz w:val="19"/>
          <w:szCs w:val="19"/>
          <w:color w:val="auto"/>
        </w:rPr>
        <w:t>. If any portion or provision of this Agreement is declared illegal or unenforceable by a court of competent jurisdiction, then the remainder of this Agreement, or the application of that portion or provision in circumstances other than those as to which it is so declared illegal or unenforceable, will not be affected by that declaration, and each portion and provision of this Agreement will continue to be valid and enforceable to the fullest extent permitted by law.</w:t>
      </w:r>
    </w:p>
    <w:p>
      <w:pPr>
        <w:spacing w:after="0" w:line="143" w:lineRule="exact"/>
        <w:rPr>
          <w:sz w:val="20"/>
          <w:szCs w:val="20"/>
          <w:color w:val="auto"/>
        </w:rPr>
      </w:pPr>
    </w:p>
    <w:p>
      <w:pPr>
        <w:jc w:val="both"/>
        <w:ind w:right="740" w:firstLine="648"/>
        <w:spacing w:after="0" w:line="253" w:lineRule="auto"/>
        <w:rPr>
          <w:sz w:val="20"/>
          <w:szCs w:val="20"/>
          <w:color w:val="auto"/>
        </w:rPr>
      </w:pPr>
      <w:r>
        <w:rPr>
          <w:rFonts w:ascii="Arial" w:cs="Arial" w:eastAsia="Arial" w:hAnsi="Arial"/>
          <w:sz w:val="22"/>
          <w:szCs w:val="22"/>
          <w:color w:val="auto"/>
        </w:rPr>
        <w:t xml:space="preserve">Section 15. </w:t>
      </w:r>
      <w:r>
        <w:rPr>
          <w:rFonts w:ascii="Arial" w:cs="Arial" w:eastAsia="Arial" w:hAnsi="Arial"/>
          <w:sz w:val="22"/>
          <w:szCs w:val="22"/>
          <w:u w:val="single" w:color="auto"/>
          <w:color w:val="auto"/>
        </w:rPr>
        <w:t>Survival</w:t>
      </w:r>
      <w:r>
        <w:rPr>
          <w:rFonts w:ascii="Arial" w:cs="Arial" w:eastAsia="Arial" w:hAnsi="Arial"/>
          <w:sz w:val="22"/>
          <w:szCs w:val="22"/>
          <w:color w:val="auto"/>
        </w:rPr>
        <w:t>. The provisions of this Agreement survive the termination of this Agreement and/or the termination of the Executive’s employment to the extent necessary to effectuate the intent of the Parties as expressed in this Agreement.</w:t>
      </w:r>
    </w:p>
    <w:p>
      <w:pPr>
        <w:spacing w:after="0" w:line="186"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 xml:space="preserve">Section 16. </w:t>
      </w:r>
      <w:r>
        <w:rPr>
          <w:rFonts w:ascii="Arial" w:cs="Arial" w:eastAsia="Arial" w:hAnsi="Arial"/>
          <w:sz w:val="22"/>
          <w:szCs w:val="22"/>
          <w:u w:val="single" w:color="auto"/>
          <w:color w:val="auto"/>
        </w:rPr>
        <w:t>Waiver</w:t>
      </w:r>
      <w:r>
        <w:rPr>
          <w:rFonts w:ascii="Arial" w:cs="Arial" w:eastAsia="Arial" w:hAnsi="Arial"/>
          <w:sz w:val="22"/>
          <w:szCs w:val="22"/>
          <w:color w:val="auto"/>
        </w:rPr>
        <w:t>. No waiver of any provision of this Agreement is effective unless made in writing and signed by the waiving party, and, in the case of the Company only after the waiver has been specifically approved by the Board. The failure of either party to require the performance of any term or obligation of this Agreement, or the waiver by either party of any breach of this Agreement, will not prevent any subsequent enforcement of such term or obligation or be deemed a waiver of any subsequent breach.</w:t>
      </w:r>
    </w:p>
    <w:p>
      <w:pPr>
        <w:spacing w:after="0" w:line="192" w:lineRule="exact"/>
        <w:rPr>
          <w:sz w:val="20"/>
          <w:szCs w:val="20"/>
          <w:color w:val="auto"/>
        </w:rPr>
      </w:pPr>
    </w:p>
    <w:p>
      <w:pPr>
        <w:ind w:right="140" w:firstLine="648"/>
        <w:spacing w:after="0" w:line="302" w:lineRule="auto"/>
        <w:rPr>
          <w:sz w:val="20"/>
          <w:szCs w:val="20"/>
          <w:color w:val="auto"/>
        </w:rPr>
      </w:pPr>
      <w:r>
        <w:rPr>
          <w:rFonts w:ascii="Arial" w:cs="Arial" w:eastAsia="Arial" w:hAnsi="Arial"/>
          <w:sz w:val="19"/>
          <w:szCs w:val="19"/>
          <w:color w:val="auto"/>
        </w:rPr>
        <w:t xml:space="preserve">Section 17. </w:t>
      </w:r>
      <w:r>
        <w:rPr>
          <w:rFonts w:ascii="Arial" w:cs="Arial" w:eastAsia="Arial" w:hAnsi="Arial"/>
          <w:sz w:val="19"/>
          <w:szCs w:val="19"/>
          <w:u w:val="single" w:color="auto"/>
          <w:color w:val="auto"/>
        </w:rPr>
        <w:t>Notices</w:t>
      </w:r>
      <w:r>
        <w:rPr>
          <w:rFonts w:ascii="Arial" w:cs="Arial" w:eastAsia="Arial" w:hAnsi="Arial"/>
          <w:sz w:val="19"/>
          <w:szCs w:val="19"/>
          <w:color w:val="auto"/>
        </w:rPr>
        <w:t>. Any notices, requests, demands, and other communications provided for by this Agreement are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to the Corporate Secretary.</w:t>
      </w:r>
    </w:p>
    <w:p>
      <w:pPr>
        <w:spacing w:after="0" w:line="143" w:lineRule="exact"/>
        <w:rPr>
          <w:sz w:val="20"/>
          <w:szCs w:val="20"/>
          <w:color w:val="auto"/>
        </w:rPr>
      </w:pPr>
    </w:p>
    <w:p>
      <w:pPr>
        <w:ind w:right="280" w:firstLine="648"/>
        <w:spacing w:after="0" w:line="263" w:lineRule="auto"/>
        <w:rPr>
          <w:sz w:val="20"/>
          <w:szCs w:val="20"/>
          <w:color w:val="auto"/>
        </w:rPr>
      </w:pPr>
      <w:r>
        <w:rPr>
          <w:rFonts w:ascii="Arial" w:cs="Arial" w:eastAsia="Arial" w:hAnsi="Arial"/>
          <w:sz w:val="22"/>
          <w:szCs w:val="22"/>
          <w:color w:val="auto"/>
        </w:rPr>
        <w:t xml:space="preserve">Section 18. </w:t>
      </w:r>
      <w:r>
        <w:rPr>
          <w:rFonts w:ascii="Arial" w:cs="Arial" w:eastAsia="Arial" w:hAnsi="Arial"/>
          <w:sz w:val="22"/>
          <w:szCs w:val="22"/>
          <w:u w:val="single" w:color="auto"/>
          <w:color w:val="auto"/>
        </w:rPr>
        <w:t>Amendment</w:t>
      </w:r>
      <w:r>
        <w:rPr>
          <w:rFonts w:ascii="Arial" w:cs="Arial" w:eastAsia="Arial" w:hAnsi="Arial"/>
          <w:sz w:val="22"/>
          <w:szCs w:val="22"/>
          <w:color w:val="auto"/>
        </w:rPr>
        <w:t>. This Agreement may be amended or modified only by a written instrument signed by the Executive and by a duly authorized representative of the Company.</w:t>
      </w:r>
    </w:p>
    <w:p>
      <w:pPr>
        <w:spacing w:after="0" w:line="175" w:lineRule="exact"/>
        <w:rPr>
          <w:sz w:val="20"/>
          <w:szCs w:val="20"/>
          <w:color w:val="auto"/>
        </w:rPr>
      </w:pPr>
    </w:p>
    <w:p>
      <w:pPr>
        <w:ind w:right="420" w:firstLine="648"/>
        <w:spacing w:after="0" w:line="343" w:lineRule="auto"/>
        <w:rPr>
          <w:sz w:val="20"/>
          <w:szCs w:val="20"/>
          <w:color w:val="auto"/>
        </w:rPr>
      </w:pPr>
      <w:r>
        <w:rPr>
          <w:rFonts w:ascii="Arial" w:cs="Arial" w:eastAsia="Arial" w:hAnsi="Arial"/>
          <w:sz w:val="19"/>
          <w:szCs w:val="19"/>
          <w:color w:val="auto"/>
        </w:rPr>
        <w:t xml:space="preserve">Section 19. </w:t>
      </w:r>
      <w:r>
        <w:rPr>
          <w:rFonts w:ascii="Arial" w:cs="Arial" w:eastAsia="Arial" w:hAnsi="Arial"/>
          <w:sz w:val="19"/>
          <w:szCs w:val="19"/>
          <w:u w:val="single" w:color="auto"/>
          <w:color w:val="auto"/>
        </w:rPr>
        <w:t>Governing Law</w:t>
      </w:r>
      <w:r>
        <w:rPr>
          <w:rFonts w:ascii="Arial" w:cs="Arial" w:eastAsia="Arial" w:hAnsi="Arial"/>
          <w:sz w:val="19"/>
          <w:szCs w:val="19"/>
          <w:color w:val="auto"/>
        </w:rPr>
        <w:t>. This is a Pennsylvania contract and is to be construed under and be governed in all respects by the laws of the Commonwealth of Pennsylvania without giving effect to the conflict of laws principles of that state.</w:t>
      </w:r>
    </w:p>
    <w:p>
      <w:pPr>
        <w:spacing w:after="0" w:line="105"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 xml:space="preserve">Section 20.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and by each party on separate counterparts, each of which counterparts, when so executed and delivered is to be taken to be an original; but those counterparts together constitute one and the same document. PDF, facsimile, scanned, and electronic signatures have the same legal effect as original ink signatures.</w:t>
      </w:r>
    </w:p>
    <w:p>
      <w:pPr>
        <w:spacing w:after="0" w:line="188" w:lineRule="exact"/>
        <w:rPr>
          <w:sz w:val="20"/>
          <w:szCs w:val="20"/>
          <w:color w:val="auto"/>
        </w:rPr>
      </w:pPr>
    </w:p>
    <w:p>
      <w:pPr>
        <w:ind w:right="120" w:firstLine="648"/>
        <w:spacing w:after="0" w:line="248" w:lineRule="auto"/>
        <w:rPr>
          <w:sz w:val="20"/>
          <w:szCs w:val="20"/>
          <w:color w:val="auto"/>
        </w:rPr>
      </w:pPr>
      <w:r>
        <w:rPr>
          <w:rFonts w:ascii="Arial" w:cs="Arial" w:eastAsia="Arial" w:hAnsi="Arial"/>
          <w:sz w:val="22"/>
          <w:szCs w:val="22"/>
          <w:color w:val="auto"/>
        </w:rPr>
        <w:t xml:space="preserve">Section 21. </w:t>
      </w:r>
      <w:r>
        <w:rPr>
          <w:rFonts w:ascii="Arial" w:cs="Arial" w:eastAsia="Arial" w:hAnsi="Arial"/>
          <w:sz w:val="22"/>
          <w:szCs w:val="22"/>
          <w:u w:val="single" w:color="auto"/>
          <w:color w:val="auto"/>
        </w:rPr>
        <w:t>Successor to Company</w:t>
      </w:r>
      <w:r>
        <w:rPr>
          <w:rFonts w:ascii="Arial" w:cs="Arial" w:eastAsia="Arial" w:hAnsi="Arial"/>
          <w:sz w:val="22"/>
          <w:szCs w:val="22"/>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is a material breach of this Agreement.</w:t>
      </w:r>
    </w:p>
    <w:p>
      <w:pPr>
        <w:spacing w:after="0" w:line="192" w:lineRule="exact"/>
        <w:rPr>
          <w:sz w:val="20"/>
          <w:szCs w:val="20"/>
          <w:color w:val="auto"/>
        </w:rPr>
      </w:pPr>
    </w:p>
    <w:p>
      <w:pPr>
        <w:ind w:right="440" w:firstLine="648"/>
        <w:spacing w:after="0" w:line="297" w:lineRule="auto"/>
        <w:rPr>
          <w:sz w:val="20"/>
          <w:szCs w:val="20"/>
          <w:color w:val="auto"/>
        </w:rPr>
      </w:pPr>
      <w:r>
        <w:rPr>
          <w:rFonts w:ascii="Arial" w:cs="Arial" w:eastAsia="Arial" w:hAnsi="Arial"/>
          <w:sz w:val="19"/>
          <w:szCs w:val="19"/>
          <w:color w:val="auto"/>
        </w:rPr>
        <w:t xml:space="preserve">Section 22. </w:t>
      </w:r>
      <w:r>
        <w:rPr>
          <w:rFonts w:ascii="Arial" w:cs="Arial" w:eastAsia="Arial" w:hAnsi="Arial"/>
          <w:sz w:val="19"/>
          <w:szCs w:val="19"/>
          <w:u w:val="single" w:color="auto"/>
          <w:color w:val="auto"/>
        </w:rPr>
        <w:t>Voluntary Nature of Agreement</w:t>
      </w:r>
      <w:r>
        <w:rPr>
          <w:rFonts w:ascii="Arial" w:cs="Arial" w:eastAsia="Arial" w:hAnsi="Arial"/>
          <w:sz w:val="19"/>
          <w:szCs w:val="19"/>
          <w:color w:val="auto"/>
        </w:rPr>
        <w:t>. The Executive acknowledges and agrees that he is executing this Agreement voluntarily and without any duress or undue influence by the Company or anyone else. The Executive further acknowledges and agrees that he has carefully read this Agreement and that he has asked any questions needed for him to fully understand the terms, consequences, and binding effect of this Agreement. The Executive agrees that he has been provided an opportunity to seek the advice of an attorney of his choice before signing this Agreement.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Parties are executing this Executive Agreement as of the date set forth in the introductory paragraph.</w:t>
      </w:r>
    </w:p>
    <w:p>
      <w:pPr>
        <w:spacing w:after="0" w:line="254"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ARBUTUS BIOPHARMA INC.</w:t>
      </w:r>
    </w:p>
    <w:p>
      <w:pPr>
        <w:spacing w:after="0" w:line="200" w:lineRule="exact"/>
        <w:rPr>
          <w:sz w:val="20"/>
          <w:szCs w:val="20"/>
          <w:color w:val="auto"/>
        </w:rPr>
      </w:pPr>
    </w:p>
    <w:p>
      <w:pPr>
        <w:spacing w:after="0" w:line="242" w:lineRule="exact"/>
        <w:rPr>
          <w:sz w:val="20"/>
          <w:szCs w:val="20"/>
          <w:color w:val="auto"/>
        </w:rPr>
      </w:pPr>
    </w:p>
    <w:p>
      <w:pPr>
        <w:jc w:val="center"/>
        <w:ind w:right="4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Mark J Murray</w:t>
      </w:r>
    </w:p>
    <w:p>
      <w:pPr>
        <w:spacing w:after="0" w:line="200" w:lineRule="exact"/>
        <w:rPr>
          <w:sz w:val="20"/>
          <w:szCs w:val="20"/>
          <w:color w:val="auto"/>
        </w:rPr>
      </w:pPr>
    </w:p>
    <w:p>
      <w:pPr>
        <w:spacing w:after="0" w:line="236"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Printed Name: Mark Murray</w:t>
      </w:r>
    </w:p>
    <w:p>
      <w:pPr>
        <w:spacing w:after="0" w:line="200" w:lineRule="exact"/>
        <w:rPr>
          <w:sz w:val="20"/>
          <w:szCs w:val="20"/>
          <w:color w:val="auto"/>
        </w:rPr>
      </w:pPr>
    </w:p>
    <w:p>
      <w:pPr>
        <w:spacing w:after="0" w:line="23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President and Chief Executive Officer</w:t>
      </w:r>
    </w:p>
    <w:p>
      <w:pPr>
        <w:sectPr>
          <w:pgSz w:w="11900" w:h="16838" w:orient="portrait"/>
          <w:cols w:equalWidth="0" w:num="1">
            <w:col w:w="11420"/>
          </w:cols>
          <w:pgMar w:left="240" w:top="132" w:right="239" w:bottom="6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EXECUTIVE</w:t>
      </w:r>
    </w:p>
    <w:p>
      <w:pPr>
        <w:sectPr>
          <w:pgSz w:w="11900" w:h="16838" w:orient="portrait"/>
          <w:cols w:equalWidth="0" w:num="1">
            <w:col w:w="11420"/>
          </w:cols>
          <w:pgMar w:left="240" w:top="132" w:right="239" w:bottom="67" w:gutter="0" w:footer="0" w:header="0"/>
          <w:type w:val="continuous"/>
        </w:sectPr>
      </w:pPr>
    </w:p>
    <w:bookmarkStart w:id="48" w:name="page49"/>
    <w:bookmarkEnd w:id="48"/>
    <w:p>
      <w:pPr>
        <w:ind w:left="4540"/>
        <w:spacing w:after="0"/>
        <w:rPr>
          <w:sz w:val="20"/>
          <w:szCs w:val="20"/>
          <w:color w:val="auto"/>
        </w:rPr>
      </w:pPr>
      <w:r>
        <w:rPr>
          <w:rFonts w:ascii="Arial" w:cs="Arial" w:eastAsia="Arial" w:hAnsi="Arial"/>
          <w:sz w:val="22"/>
          <w:szCs w:val="22"/>
          <w:color w:val="auto"/>
        </w:rPr>
        <w:t>/s/ Gaston Picchio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11360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36015" cy="8890"/>
                    </a:xfrm>
                    <a:prstGeom prst="rect">
                      <a:avLst/>
                    </a:prstGeom>
                    <a:noFill/>
                  </pic:spPr>
                </pic:pic>
              </a:graphicData>
            </a:graphic>
          </wp:anchor>
        </w:drawing>
      </w:r>
    </w:p>
    <w:p>
      <w:pPr>
        <w:spacing w:after="0" w:line="20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Printed Name: Gaston Picchio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Executive Employment Agreement]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GENERAL RELEASE LANGUAGE</w:t>
      </w:r>
    </w:p>
    <w:p>
      <w:pPr>
        <w:spacing w:after="0" w:line="200" w:lineRule="exact"/>
        <w:rPr>
          <w:sz w:val="20"/>
          <w:szCs w:val="20"/>
          <w:color w:val="auto"/>
        </w:rPr>
      </w:pPr>
    </w:p>
    <w:p>
      <w:pPr>
        <w:spacing w:after="0" w:line="242" w:lineRule="exact"/>
        <w:rPr>
          <w:sz w:val="20"/>
          <w:szCs w:val="20"/>
          <w:color w:val="auto"/>
        </w:rPr>
      </w:pPr>
    </w:p>
    <w:p>
      <w:pPr>
        <w:ind w:firstLine="648"/>
        <w:spacing w:after="0" w:line="284" w:lineRule="auto"/>
        <w:rPr>
          <w:sz w:val="20"/>
          <w:szCs w:val="20"/>
          <w:color w:val="auto"/>
        </w:rPr>
      </w:pPr>
      <w:r>
        <w:rPr>
          <w:rFonts w:ascii="Arial" w:cs="Arial" w:eastAsia="Arial" w:hAnsi="Arial"/>
          <w:sz w:val="19"/>
          <w:szCs w:val="19"/>
          <w:color w:val="auto"/>
        </w:rPr>
        <w:t>The Executive agrees, for himself, his spouse, heirs, executor or administrator, assigns, insurers, attorneys, and other persons or entities acting or purporting to act on his behalf (the “</w:t>
      </w:r>
      <w:r>
        <w:rPr>
          <w:rFonts w:ascii="Arial" w:cs="Arial" w:eastAsia="Arial" w:hAnsi="Arial"/>
          <w:sz w:val="19"/>
          <w:szCs w:val="19"/>
          <w:b w:val="1"/>
          <w:bCs w:val="1"/>
          <w:u w:val="single" w:color="auto"/>
          <w:color w:val="auto"/>
        </w:rPr>
        <w:t>Executive’s Parties</w:t>
      </w:r>
      <w:r>
        <w:rPr>
          <w:rFonts w:ascii="Arial" w:cs="Arial" w:eastAsia="Arial" w:hAnsi="Arial"/>
          <w:sz w:val="19"/>
          <w:szCs w:val="19"/>
          <w:color w:val="auto"/>
        </w:rPr>
        <w:t>”), to irrevocably and unconditionally release, acquit, and forever discharge the Company, its affiliates, subsidiaries, directors, officers, employees, shareholders, partners, agents, representatives, predecessors, successors, assigns, insurers, attorneys, benefit plans sponsored by the Company, and said plans’ fiduciaries, agents and trustees (the “</w:t>
      </w:r>
      <w:r>
        <w:rPr>
          <w:rFonts w:ascii="Arial" w:cs="Arial" w:eastAsia="Arial" w:hAnsi="Arial"/>
          <w:sz w:val="19"/>
          <w:szCs w:val="19"/>
          <w:b w:val="1"/>
          <w:bCs w:val="1"/>
          <w:u w:val="single" w:color="auto"/>
          <w:color w:val="auto"/>
        </w:rPr>
        <w:t>Company’s Parties</w:t>
      </w:r>
      <w:r>
        <w:rPr>
          <w:rFonts w:ascii="Arial" w:cs="Arial" w:eastAsia="Arial" w:hAnsi="Arial"/>
          <w:sz w:val="19"/>
          <w:szCs w:val="19"/>
          <w:color w:val="auto"/>
        </w:rPr>
        <w:t>”), from any and all actions, causes of action, suits, claims, obligations, liabilities, debts, demands, contentions, damages, judgments, levies, and executions of any kind, whether in law or in equity, known or unknown, which the Executive’s Parties have, have had, or may in the future claim to have against the Company’s Parties by reason of, arising out of, related to, or resulting from the Executive’s employment with the Company or the termination of that employment. This release specifically includes without limitation any claims arising in tort or contract, any claim based on wrongful discharge, any claim based on breach of contract, any claim arising under federal, state or local law prohibiting race, sex, age, religion, national origin, handicap, disability, or other forms of discrimination, any claim arising under federal, state, or local law concerning employment practices, and any claim relating to compensation or benefits. This specifically includes, without limitation, any claim that the Executive has or has had under Title VII of the Civil Rights Act of 1964, as amended, the Age Discrimination in Employment Act, as amended, the Americans with Disabilities Act, as amended, and the Employee Retirement Income Security Act of 1974, as amended. It is understood and agreed that the waiver of benefits and claims contained in this section does not include a waiver of the right to payment of any vested, nonforfeitable benefits to which the Executive or a beneficiary of the Executive may be entitled under the terms and provisions of any employee benefit plan of the company which have accrued as of the Date of Termination, and does not include a waiver of the right to benefits and payment of consideration to which the Executive may be entitled under this Agreement or any of the agreements contemplated by this Agreement (including the indemnification agreement and the stock option agreement). The Executive acknowledges that he is entitled to only the severance benefits and compensation set forth in this Agreement, and that all other claims for any other benefits or compensation are hereby waived, except those expressly stated in the preceding sentence.</w:t>
      </w:r>
    </w:p>
    <w:p>
      <w:pPr>
        <w:sectPr>
          <w:pgSz w:w="11900" w:h="16838" w:orient="portrait"/>
          <w:cols w:equalWidth="0" w:num="1">
            <w:col w:w="11400"/>
          </w:cols>
          <w:pgMar w:left="240" w:top="564" w:right="259" w:bottom="475" w:gutter="0" w:footer="0" w:header="0"/>
        </w:sectPr>
      </w:pPr>
    </w:p>
    <w:bookmarkStart w:id="49" w:name="page50"/>
    <w:bookmarkEnd w:id="49"/>
    <w:p>
      <w:pPr>
        <w:ind w:right="260" w:firstLine="648"/>
        <w:spacing w:after="0" w:line="263" w:lineRule="auto"/>
        <w:rPr>
          <w:sz w:val="20"/>
          <w:szCs w:val="20"/>
          <w:color w:val="auto"/>
        </w:rPr>
      </w:pPr>
      <w:r>
        <w:rPr>
          <w:rFonts w:ascii="Arial" w:cs="Arial" w:eastAsia="Arial" w:hAnsi="Arial"/>
          <w:sz w:val="22"/>
          <w:szCs w:val="22"/>
          <w:color w:val="auto"/>
        </w:rPr>
        <w:t>The Executive hereby acknowledges his understanding that under this Agreement he is releasing any known or unknown claims he may have.</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Executive expressly waives and relinquishes all rights and benefits under that section and any law of any jurisdiction of similar effect with respect to his release of claims.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EXHIBIT B</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EXISTING CONFLICTS</w:t>
      </w:r>
    </w:p>
    <w:p>
      <w:pPr>
        <w:spacing w:after="0" w:line="200" w:lineRule="exact"/>
        <w:rPr>
          <w:sz w:val="20"/>
          <w:szCs w:val="20"/>
          <w:color w:val="auto"/>
        </w:rPr>
      </w:pPr>
    </w:p>
    <w:p>
      <w:pPr>
        <w:spacing w:after="0" w:line="242" w:lineRule="exact"/>
        <w:rPr>
          <w:sz w:val="20"/>
          <w:szCs w:val="20"/>
          <w:color w:val="auto"/>
        </w:rPr>
      </w:pPr>
    </w:p>
    <w:p>
      <w:pPr>
        <w:ind w:right="200"/>
        <w:spacing w:after="0" w:line="343" w:lineRule="auto"/>
        <w:rPr>
          <w:sz w:val="20"/>
          <w:szCs w:val="20"/>
          <w:color w:val="auto"/>
        </w:rPr>
      </w:pPr>
      <w:r>
        <w:rPr>
          <w:rFonts w:ascii="Arial" w:cs="Arial" w:eastAsia="Arial" w:hAnsi="Arial"/>
          <w:sz w:val="19"/>
          <w:szCs w:val="19"/>
          <w:color w:val="auto"/>
        </w:rPr>
        <w:t>If applicable, Executive to describe, in specific terms, any ongoing business relationship with any organization. Please provide a copy of any agreement(s) you might have with said organization(s) that creates a business relationship described in Section 3 (d).</w:t>
      </w:r>
    </w:p>
    <w:p>
      <w:pPr>
        <w:sectPr>
          <w:pgSz w:w="11900" w:h="16838" w:orient="portrait"/>
          <w:cols w:equalWidth="0" w:num="1">
            <w:col w:w="11380"/>
          </w:cols>
          <w:pgMar w:left="240" w:top="132" w:right="27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49" w:lineRule="exact"/>
        <w:rPr>
          <w:sz w:val="20"/>
          <w:szCs w:val="20"/>
          <w:color w:val="auto"/>
        </w:rPr>
      </w:pPr>
    </w:p>
    <w:p>
      <w:pPr>
        <w:jc w:val="center"/>
        <w:ind w:left="260" w:right="2180"/>
        <w:spacing w:after="0" w:line="440"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rPr>
          <w:sz w:val="20"/>
          <w:szCs w:val="20"/>
          <w:color w:val="auto"/>
        </w:rPr>
      </w:pPr>
      <w:r>
        <w:rPr>
          <w:rFonts w:ascii="Arial" w:cs="Arial" w:eastAsia="Arial" w:hAnsi="Arial"/>
          <w:sz w:val="18"/>
          <w:szCs w:val="18"/>
          <w:color w:val="auto"/>
        </w:rPr>
        <w:t>I, Mark Murray, certify that:</w:t>
      </w:r>
    </w:p>
    <w:p>
      <w:pPr>
        <w:spacing w:after="0" w:line="171" w:lineRule="exact"/>
        <w:rPr>
          <w:sz w:val="20"/>
          <w:szCs w:val="20"/>
          <w:color w:val="auto"/>
        </w:rPr>
      </w:pPr>
    </w:p>
    <w:p>
      <w:pPr>
        <w:ind w:left="1220" w:hanging="402"/>
        <w:spacing w:after="0"/>
        <w:tabs>
          <w:tab w:leader="none" w:pos="1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Arbutus Biopharma Corporation;</w:t>
      </w:r>
    </w:p>
    <w:p>
      <w:pPr>
        <w:spacing w:after="0" w:line="171" w:lineRule="exact"/>
        <w:rPr>
          <w:rFonts w:ascii="Arial" w:cs="Arial" w:eastAsia="Arial" w:hAnsi="Arial"/>
          <w:sz w:val="18"/>
          <w:szCs w:val="18"/>
          <w:color w:val="auto"/>
        </w:rPr>
      </w:pPr>
    </w:p>
    <w:p>
      <w:pPr>
        <w:jc w:val="both"/>
        <w:ind w:left="1220" w:hanging="402"/>
        <w:spacing w:after="0" w:line="264" w:lineRule="auto"/>
        <w:tabs>
          <w:tab w:leader="none" w:pos="1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220" w:right="20" w:hanging="402"/>
        <w:spacing w:after="0" w:line="308" w:lineRule="auto"/>
        <w:tabs>
          <w:tab w:leader="none" w:pos="12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1220" w:hanging="402"/>
        <w:spacing w:after="0" w:line="264" w:lineRule="auto"/>
        <w:tabs>
          <w:tab w:leader="none" w:pos="1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700" w:hanging="395"/>
        <w:spacing w:after="0" w:line="264" w:lineRule="auto"/>
        <w:tabs>
          <w:tab w:leader="none" w:pos="1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700" w:hanging="395"/>
        <w:spacing w:after="0" w:line="264" w:lineRule="auto"/>
        <w:tabs>
          <w:tab w:leader="none" w:pos="1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700" w:hanging="395"/>
        <w:spacing w:after="0" w:line="264" w:lineRule="auto"/>
        <w:tabs>
          <w:tab w:leader="none" w:pos="1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700" w:hanging="395"/>
        <w:spacing w:after="0" w:line="264" w:lineRule="auto"/>
        <w:tabs>
          <w:tab w:leader="none" w:pos="1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220" w:hanging="402"/>
        <w:spacing w:after="0" w:line="342" w:lineRule="auto"/>
        <w:tabs>
          <w:tab w:leader="none" w:pos="12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700" w:hanging="395"/>
        <w:spacing w:after="0" w:line="308" w:lineRule="auto"/>
        <w:tabs>
          <w:tab w:leader="none" w:pos="1700"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700" w:hanging="395"/>
        <w:spacing w:after="0" w:line="277" w:lineRule="auto"/>
        <w:tabs>
          <w:tab w:leader="none" w:pos="17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2018</w:t>
      </w:r>
    </w:p>
    <w:p>
      <w:pPr>
        <w:spacing w:after="0" w:line="25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Mark Murray</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Mark Murray</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1420"/>
          </w:cols>
          <w:pgMar w:left="240" w:top="66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49" w:lineRule="exact"/>
        <w:rPr>
          <w:sz w:val="20"/>
          <w:szCs w:val="20"/>
          <w:color w:val="auto"/>
        </w:rPr>
      </w:pPr>
    </w:p>
    <w:p>
      <w:pPr>
        <w:jc w:val="center"/>
        <w:ind w:left="260" w:right="2180"/>
        <w:spacing w:after="0" w:line="440"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rPr>
          <w:sz w:val="20"/>
          <w:szCs w:val="20"/>
          <w:color w:val="auto"/>
        </w:rPr>
      </w:pPr>
      <w:r>
        <w:rPr>
          <w:rFonts w:ascii="Arial" w:cs="Arial" w:eastAsia="Arial" w:hAnsi="Arial"/>
          <w:sz w:val="18"/>
          <w:szCs w:val="18"/>
          <w:color w:val="auto"/>
        </w:rPr>
        <w:t>I, David Hastings, certify that:</w:t>
      </w:r>
    </w:p>
    <w:p>
      <w:pPr>
        <w:spacing w:after="0" w:line="171" w:lineRule="exact"/>
        <w:rPr>
          <w:sz w:val="20"/>
          <w:szCs w:val="20"/>
          <w:color w:val="auto"/>
        </w:rPr>
      </w:pPr>
    </w:p>
    <w:p>
      <w:pPr>
        <w:ind w:left="1220" w:hanging="402"/>
        <w:spacing w:after="0"/>
        <w:tabs>
          <w:tab w:leader="none" w:pos="1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Arbutus Biopharma Corporation;</w:t>
      </w:r>
    </w:p>
    <w:p>
      <w:pPr>
        <w:spacing w:after="0" w:line="171" w:lineRule="exact"/>
        <w:rPr>
          <w:rFonts w:ascii="Arial" w:cs="Arial" w:eastAsia="Arial" w:hAnsi="Arial"/>
          <w:sz w:val="18"/>
          <w:szCs w:val="18"/>
          <w:color w:val="auto"/>
        </w:rPr>
      </w:pPr>
    </w:p>
    <w:p>
      <w:pPr>
        <w:jc w:val="both"/>
        <w:ind w:left="1220" w:hanging="402"/>
        <w:spacing w:after="0" w:line="264" w:lineRule="auto"/>
        <w:tabs>
          <w:tab w:leader="none" w:pos="1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220" w:right="20" w:hanging="402"/>
        <w:spacing w:after="0" w:line="308" w:lineRule="auto"/>
        <w:tabs>
          <w:tab w:leader="none" w:pos="12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1220" w:hanging="402"/>
        <w:spacing w:after="0" w:line="264" w:lineRule="auto"/>
        <w:tabs>
          <w:tab w:leader="none" w:pos="1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700" w:hanging="395"/>
        <w:spacing w:after="0" w:line="264" w:lineRule="auto"/>
        <w:tabs>
          <w:tab w:leader="none" w:pos="17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700" w:hanging="395"/>
        <w:spacing w:after="0" w:line="264" w:lineRule="auto"/>
        <w:tabs>
          <w:tab w:leader="none" w:pos="17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700" w:hanging="395"/>
        <w:spacing w:after="0" w:line="264" w:lineRule="auto"/>
        <w:tabs>
          <w:tab w:leader="none" w:pos="17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700" w:hanging="395"/>
        <w:spacing w:after="0" w:line="264" w:lineRule="auto"/>
        <w:tabs>
          <w:tab w:leader="none" w:pos="17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220" w:hanging="402"/>
        <w:spacing w:after="0" w:line="342" w:lineRule="auto"/>
        <w:tabs>
          <w:tab w:leader="none" w:pos="12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700" w:hanging="395"/>
        <w:spacing w:after="0" w:line="308" w:lineRule="auto"/>
        <w:tabs>
          <w:tab w:leader="none" w:pos="1700"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700" w:hanging="395"/>
        <w:spacing w:after="0" w:line="277" w:lineRule="auto"/>
        <w:tabs>
          <w:tab w:leader="none" w:pos="17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2018</w:t>
      </w:r>
    </w:p>
    <w:p>
      <w:pPr>
        <w:spacing w:after="0" w:line="25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David Hastings</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David Hastings</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66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on Form 10-Q of Arbutus Biopharma Corporation (the “Company”) for the quarter ended September 30, 2018, as filed with the Securities and Exchange Commission on the date hereof (the “Report”), I Mark Murray, President and Chief Executive Officer of the Company, certify, pursuant to 18 U.S.C. Section 1350, as adopted pursuant to Section 906 of the Sarbanes-Oxley Act of 2002, that to the best of my knowledge:</w:t>
      </w:r>
    </w:p>
    <w:p>
      <w:pPr>
        <w:spacing w:after="0" w:line="282" w:lineRule="exact"/>
        <w:rPr>
          <w:sz w:val="20"/>
          <w:szCs w:val="20"/>
          <w:color w:val="auto"/>
        </w:rPr>
      </w:pPr>
    </w:p>
    <w:p>
      <w:pPr>
        <w:ind w:left="1620" w:hanging="396"/>
        <w:spacing w:after="0"/>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620" w:hanging="396"/>
        <w:spacing w:after="0" w:line="277" w:lineRule="auto"/>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the operations of the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2018</w:t>
      </w:r>
    </w:p>
    <w:p>
      <w:pPr>
        <w:spacing w:after="0" w:line="25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Mark Murray</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Mark Murray</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1420"/>
          </w:cols>
          <w:pgMar w:left="240" w:top="66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Arbutus Biopharma Corporation (the “Company”) for the quarter ended September 30, 2018, as filed with the Securities and Exchange Commission on the date hereof (the “Report”), I David Hastings, Chief Financial Officer of the Company, certify, pursuant to 18 U.S.C. Section 1350, as adopted pursuant to Section 906 of the Sarbanes-Oxley Act of 2002, that to the best of my knowledge:</w:t>
      </w:r>
    </w:p>
    <w:p>
      <w:pPr>
        <w:spacing w:after="0" w:line="301" w:lineRule="exact"/>
        <w:rPr>
          <w:sz w:val="20"/>
          <w:szCs w:val="20"/>
          <w:color w:val="auto"/>
        </w:rPr>
      </w:pPr>
    </w:p>
    <w:p>
      <w:pPr>
        <w:ind w:left="1620" w:hanging="396"/>
        <w:spacing w:after="0"/>
        <w:tabs>
          <w:tab w:leader="none" w:pos="1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620" w:hanging="396"/>
        <w:spacing w:after="0" w:line="277" w:lineRule="auto"/>
        <w:tabs>
          <w:tab w:leader="none" w:pos="1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the operations of the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2018</w:t>
      </w:r>
    </w:p>
    <w:p>
      <w:pPr>
        <w:spacing w:after="0" w:line="25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David Hastings</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 David Hastings</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upperLetter"/>
      <w:start w:val="24"/>
    </w:lvl>
  </w:abstractNum>
  <w:abstractNum w:abstractNumId="1">
    <w:nsid w:val="79838CB2"/>
    <w:multiLevelType w:val="hybridMultilevel"/>
    <w:lvl w:ilvl="0">
      <w:lvlJc w:val="left"/>
      <w:lvlText w:val="%1."/>
      <w:numFmt w:val="decimal"/>
      <w:start w:val="1"/>
    </w:lvl>
  </w:abstractNum>
  <w:abstractNum w:abstractNumId="2">
    <w:nsid w:val="4353D0CD"/>
    <w:multiLevelType w:val="hybridMultilevel"/>
    <w:lvl w:ilvl="0">
      <w:lvlJc w:val="left"/>
      <w:lvlText w:val="%1."/>
      <w:numFmt w:val="decimal"/>
      <w:start w:val="2"/>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decimal"/>
      <w:start w:val="3"/>
    </w:lvl>
  </w:abstractNum>
  <w:abstractNum w:abstractNumId="5">
    <w:nsid w:val="54E49EB4"/>
    <w:multiLevelType w:val="hybridMultilevel"/>
    <w:lvl w:ilvl="0">
      <w:lvlJc w:val="left"/>
      <w:lvlText w:val="%1."/>
      <w:numFmt w:val="decimal"/>
      <w:start w:val="4"/>
    </w:lvl>
  </w:abstractNum>
  <w:abstractNum w:abstractNumId="6">
    <w:nsid w:val="71F32454"/>
    <w:multiLevelType w:val="hybridMultilevel"/>
    <w:lvl w:ilvl="0">
      <w:lvlJc w:val="left"/>
      <w:lvlText w:val="%1."/>
      <w:numFmt w:val="decimal"/>
      <w:start w:val="5"/>
    </w:lvl>
  </w:abstractNum>
  <w:abstractNum w:abstractNumId="7">
    <w:nsid w:val="2CA88611"/>
    <w:multiLevelType w:val="hybridMultilevel"/>
    <w:lvl w:ilvl="0">
      <w:lvlJc w:val="left"/>
      <w:lvlText w:val="(%1)"/>
      <w:numFmt w:val="lowerLetter"/>
      <w:start w:val="1"/>
    </w:lvl>
  </w:abstractNum>
  <w:abstractNum w:abstractNumId="8">
    <w:nsid w:val="836C40E"/>
    <w:multiLevelType w:val="hybridMultilevel"/>
    <w:lvl w:ilvl="0">
      <w:lvlJc w:val="left"/>
      <w:lvlText w:val="(%1)"/>
      <w:numFmt w:val="lowerLetter"/>
      <w:start w:val="2"/>
    </w:lvl>
  </w:abstractNum>
  <w:abstractNum w:abstractNumId="9">
    <w:nsid w:val="2901D82"/>
    <w:multiLevelType w:val="hybridMultilevel"/>
    <w:lvl w:ilvl="0">
      <w:lvlJc w:val="left"/>
      <w:lvlText w:val="(%1)"/>
      <w:numFmt w:val="lowerLetter"/>
      <w:start w:val="3"/>
    </w:lvl>
  </w:abstractNum>
  <w:abstractNum w:abstractNumId="10">
    <w:nsid w:val="3A95F874"/>
    <w:multiLevelType w:val="hybridMultilevel"/>
    <w:lvl w:ilvl="0">
      <w:lvlJc w:val="left"/>
      <w:lvlText w:val="%1."/>
      <w:numFmt w:val="decimal"/>
      <w:start w:val="7"/>
    </w:lvl>
  </w:abstractNum>
  <w:abstractNum w:abstractNumId="11">
    <w:nsid w:val="8138641"/>
    <w:multiLevelType w:val="hybridMultilevel"/>
    <w:lvl w:ilvl="0">
      <w:lvlJc w:val="left"/>
      <w:lvlText w:val="%1."/>
      <w:numFmt w:val="decimal"/>
      <w:start w:val="10"/>
    </w:lvl>
  </w:abstractNum>
  <w:abstractNum w:abstractNumId="12">
    <w:nsid w:val="1E7FF521"/>
    <w:multiLevelType w:val="hybridMultilevel"/>
    <w:lvl w:ilvl="0">
      <w:lvlJc w:val="left"/>
      <w:lvlText w:val="%1."/>
      <w:numFmt w:val="decimal"/>
      <w:start w:val="11"/>
    </w:lvl>
  </w:abstractNum>
  <w:abstractNum w:abstractNumId="13">
    <w:nsid w:val="7C3DBD3D"/>
    <w:multiLevelType w:val="hybridMultilevel"/>
    <w:lvl w:ilvl="0">
      <w:lvlJc w:val="left"/>
      <w:lvlText w:val="%1."/>
      <w:numFmt w:val="decimal"/>
      <w:start w:val="12"/>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lvl w:ilvl="1">
      <w:lvlJc w:val="left"/>
      <w:lvlText w:val="%2"/>
      <w:numFmt w:val="decimal"/>
      <w:start w:val="101"/>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1)"/>
      <w:numFmt w:val="lowerLetter"/>
      <w:start w:val="1"/>
    </w:lvl>
  </w:abstractNum>
  <w:abstractNum w:abstractNumId="19">
    <w:nsid w:val="614FD4A1"/>
    <w:multiLevelType w:val="hybridMultilevel"/>
    <w:lvl w:ilvl="0">
      <w:lvlJc w:val="left"/>
      <w:lvlText w:val="%1."/>
      <w:numFmt w:val="decimal"/>
      <w:start w:val="2"/>
    </w:lvl>
  </w:abstractNum>
  <w:abstractNum w:abstractNumId="20">
    <w:nsid w:val="419AC241"/>
    <w:multiLevelType w:val="hybridMultilevel"/>
    <w:lvl w:ilvl="0">
      <w:lvlJc w:val="left"/>
      <w:lvlText w:val="(%1)"/>
      <w:numFmt w:val="lowerLetter"/>
      <w:start w:val="1"/>
    </w:lvl>
  </w:abstractNum>
  <w:abstractNum w:abstractNumId="21">
    <w:nsid w:val="5577F8E1"/>
    <w:multiLevelType w:val="hybridMultilevel"/>
    <w:lvl w:ilvl="0">
      <w:lvlJc w:val="left"/>
      <w:lvlText w:val="%1."/>
      <w:numFmt w:val="decimal"/>
      <w:start w:val="3"/>
    </w:lvl>
  </w:abstractNum>
  <w:abstractNum w:abstractNumId="22">
    <w:nsid w:val="440BADFC"/>
    <w:multiLevelType w:val="hybridMultilevel"/>
    <w:lvl w:ilvl="0">
      <w:lvlJc w:val="left"/>
      <w:lvlText w:val="%1."/>
      <w:numFmt w:val="decimal"/>
      <w:start w:val="4"/>
    </w:lvl>
  </w:abstractNum>
  <w:abstractNum w:abstractNumId="23">
    <w:nsid w:val="5072367"/>
    <w:multiLevelType w:val="hybridMultilevel"/>
    <w:lvl w:ilvl="0">
      <w:lvlJc w:val="left"/>
      <w:lvlText w:val="%1."/>
      <w:numFmt w:val="decimal"/>
      <w:start w:val="5"/>
    </w:lvl>
  </w:abstractNum>
  <w:abstractNum w:abstractNumId="24">
    <w:nsid w:val="3804823E"/>
    <w:multiLevelType w:val="hybridMultilevel"/>
    <w:lvl w:ilvl="0">
      <w:lvlJc w:val="left"/>
      <w:lvlText w:val="(%1)"/>
      <w:numFmt w:val="lowerLetter"/>
      <w:start w:val="1"/>
    </w:lvl>
  </w:abstractNum>
  <w:abstractNum w:abstractNumId="25">
    <w:nsid w:val="77465F01"/>
    <w:multiLevelType w:val="hybridMultilevel"/>
    <w:lvl w:ilvl="0">
      <w:lvlJc w:val="left"/>
      <w:lvlText w:val="%1."/>
      <w:numFmt w:val="decimal"/>
      <w:start w:val="6"/>
    </w:lvl>
  </w:abstractNum>
  <w:abstractNum w:abstractNumId="26">
    <w:nsid w:val="7724C67E"/>
    <w:multiLevelType w:val="hybridMultilevel"/>
    <w:lvl w:ilvl="0">
      <w:lvlJc w:val="left"/>
      <w:lvlText w:val="%1."/>
      <w:numFmt w:val="decimal"/>
      <w:start w:val="7"/>
    </w:lvl>
  </w:abstractNum>
  <w:abstractNum w:abstractNumId="27">
    <w:nsid w:val="5C482A97"/>
    <w:multiLevelType w:val="hybridMultilevel"/>
    <w:lvl w:ilvl="0">
      <w:lvlJc w:val="left"/>
      <w:lvlText w:val="%1."/>
      <w:numFmt w:val="decimal"/>
      <w:start w:val="8"/>
    </w:lvl>
  </w:abstractNum>
  <w:abstractNum w:abstractNumId="28">
    <w:nsid w:val="2463B9EA"/>
    <w:multiLevelType w:val="hybridMultilevel"/>
    <w:lvl w:ilvl="0">
      <w:lvlJc w:val="left"/>
      <w:lvlText w:val="%1."/>
      <w:numFmt w:val="upperLetter"/>
      <w:start w:val="1"/>
    </w:lvl>
  </w:abstractNum>
  <w:abstractNum w:abstractNumId="29">
    <w:nsid w:val="5E884ADC"/>
    <w:multiLevelType w:val="hybridMultilevel"/>
    <w:lvl w:ilvl="0">
      <w:lvlJc w:val="left"/>
      <w:lvlText w:val="(%1)"/>
      <w:numFmt w:val="lowerLetter"/>
      <w:start w:val="1"/>
    </w:lvl>
  </w:abstractNum>
  <w:abstractNum w:abstractNumId="30">
    <w:nsid w:val="51EAD36B"/>
    <w:multiLevelType w:val="hybridMultilevel"/>
    <w:lvl w:ilvl="0">
      <w:lvlJc w:val="left"/>
      <w:lvlText w:val="%1"/>
      <w:numFmt w:val="lowerLetter"/>
      <w:start w:val="1"/>
    </w:lvl>
    <w:lvl w:ilvl="1">
      <w:lvlJc w:val="left"/>
      <w:lvlText w:val="(%2)"/>
      <w:numFmt w:val="lowerRoman"/>
      <w:start w:val="1"/>
    </w:lvl>
  </w:abstractNum>
  <w:abstractNum w:abstractNumId="31">
    <w:nsid w:val="2D517796"/>
    <w:multiLevelType w:val="hybridMultilevel"/>
    <w:lvl w:ilvl="0">
      <w:lvlJc w:val="left"/>
      <w:lvlText w:val="(%1)"/>
      <w:numFmt w:val="lowerLetter"/>
      <w:start w:val="3"/>
    </w:lvl>
    <w:lvl w:ilvl="1">
      <w:lvlJc w:val="left"/>
      <w:lvlText w:val="(%2)"/>
      <w:numFmt w:val="lowerRoman"/>
      <w:start w:val="1"/>
    </w:lvl>
  </w:abstractNum>
  <w:abstractNum w:abstractNumId="32">
    <w:nsid w:val="580BD78F"/>
    <w:multiLevelType w:val="hybridMultilevel"/>
    <w:lvl w:ilvl="0">
      <w:lvlJc w:val="left"/>
      <w:lvlText w:val="(%1)"/>
      <w:numFmt w:val="lowerLetter"/>
      <w:start w:val="6"/>
    </w:lvl>
  </w:abstractNum>
  <w:abstractNum w:abstractNumId="33">
    <w:nsid w:val="153EA438"/>
    <w:multiLevelType w:val="hybridMultilevel"/>
    <w:lvl w:ilvl="0">
      <w:lvlJc w:val="left"/>
      <w:lvlText w:val="%1"/>
      <w:numFmt w:val="lowerLetter"/>
      <w:start w:val="1"/>
    </w:lvl>
    <w:lvl w:ilvl="1">
      <w:lvlJc w:val="left"/>
      <w:lvlText w:val="(%2)"/>
      <w:numFmt w:val="lowerRoman"/>
      <w:start w:val="1"/>
    </w:lvl>
  </w:abstractNum>
  <w:abstractNum w:abstractNumId="34">
    <w:nsid w:val="3855585C"/>
    <w:multiLevelType w:val="hybridMultilevel"/>
    <w:lvl w:ilvl="0">
      <w:lvlJc w:val="left"/>
      <w:lvlText w:val="(%1)"/>
      <w:numFmt w:val="lowerLetter"/>
      <w:start w:val="7"/>
    </w:lvl>
    <w:lvl w:ilvl="1">
      <w:lvlJc w:val="left"/>
      <w:lvlText w:val="%2"/>
      <w:numFmt w:val="lowerRoman"/>
      <w:start w:val="1"/>
    </w:lvl>
  </w:abstractNum>
  <w:abstractNum w:abstractNumId="35">
    <w:nsid w:val="70A64E2A"/>
    <w:multiLevelType w:val="hybridMultilevel"/>
    <w:lvl w:ilvl="0">
      <w:lvlJc w:val="left"/>
      <w:lvlText w:val="(%1)"/>
      <w:numFmt w:val="lowerLetter"/>
      <w:start w:val="1"/>
    </w:lvl>
  </w:abstractNum>
  <w:abstractNum w:abstractNumId="36">
    <w:nsid w:val="6A2342EC"/>
    <w:multiLevelType w:val="hybridMultilevel"/>
    <w:lvl w:ilvl="0">
      <w:lvlJc w:val="left"/>
      <w:lvlText w:val="(%1)"/>
      <w:numFmt w:val="lowerLetter"/>
      <w:start w:val="5"/>
    </w:lvl>
  </w:abstractNum>
  <w:abstractNum w:abstractNumId="37">
    <w:nsid w:val="2A487CB0"/>
    <w:multiLevelType w:val="hybridMultilevel"/>
    <w:lvl w:ilvl="0">
      <w:lvlJc w:val="left"/>
      <w:lvlText w:val="%1"/>
      <w:numFmt w:val="decimal"/>
      <w:start w:val="1"/>
    </w:lvl>
    <w:lvl w:ilvl="1">
      <w:lvlJc w:val="left"/>
      <w:lvlText w:val="(%2)"/>
      <w:numFmt w:val="lowerLetter"/>
      <w:start w:val="1"/>
    </w:lvl>
  </w:abstractNum>
  <w:abstractNum w:abstractNumId="38">
    <w:nsid w:val="1D4ED43B"/>
    <w:multiLevelType w:val="hybridMultilevel"/>
    <w:lvl w:ilvl="0">
      <w:lvlJc w:val="left"/>
      <w:lvlText w:val="(%1)"/>
      <w:numFmt w:val="decimal"/>
      <w:start w:val="3"/>
    </w:lvl>
    <w:lvl w:ilvl="1">
      <w:lvlJc w:val="left"/>
      <w:lvlText w:val="%2"/>
      <w:numFmt w:val="lowerLetter"/>
      <w:start w:val="1"/>
    </w:lvl>
  </w:abstractNum>
  <w:abstractNum w:abstractNumId="39">
    <w:nsid w:val="725A06FB"/>
    <w:multiLevelType w:val="hybridMultilevel"/>
    <w:lvl w:ilvl="0">
      <w:lvlJc w:val="left"/>
      <w:lvlText w:val="(%1)"/>
      <w:numFmt w:val="lowerLetter"/>
      <w:start w:val="1"/>
    </w:lvl>
    <w:lvl w:ilvl="1">
      <w:lvlJc w:val="left"/>
      <w:lvlText w:val="(%2)"/>
      <w:numFmt w:val="lowerRoman"/>
      <w:start w:val="1"/>
    </w:lvl>
  </w:abstractNum>
  <w:abstractNum w:abstractNumId="40">
    <w:nsid w:val="2CD89A32"/>
    <w:multiLevelType w:val="hybridMultilevel"/>
    <w:lvl w:ilvl="0">
      <w:lvlJc w:val="left"/>
      <w:lvlText w:val="(%1)"/>
      <w:numFmt w:val="lowerLetter"/>
      <w:start w:val="1"/>
    </w:lvl>
  </w:abstractNum>
  <w:abstractNum w:abstractNumId="41">
    <w:nsid w:val="57E4CCAF"/>
    <w:multiLevelType w:val="hybridMultilevel"/>
    <w:lvl w:ilvl="0">
      <w:lvlJc w:val="left"/>
      <w:lvlText w:val="(%1)"/>
      <w:numFmt w:val="lowerLetter"/>
      <w:start w:val="2"/>
    </w:lvl>
    <w:lvl w:ilvl="1">
      <w:lvlJc w:val="left"/>
      <w:lvlText w:val="(%2)"/>
      <w:numFmt w:val="lowerRoman"/>
      <w:start w:val="1"/>
    </w:lvl>
  </w:abstractNum>
  <w:abstractNum w:abstractNumId="42">
    <w:nsid w:val="7A6D8D3C"/>
    <w:multiLevelType w:val="hybridMultilevel"/>
    <w:lvl w:ilvl="0">
      <w:lvlJc w:val="left"/>
      <w:lvlText w:val="(%1)"/>
      <w:numFmt w:val="lowerLetter"/>
      <w:start w:val="1"/>
    </w:lvl>
  </w:abstractNum>
  <w:abstractNum w:abstractNumId="43">
    <w:nsid w:val="4B588F54"/>
    <w:multiLevelType w:val="hybridMultilevel"/>
    <w:lvl w:ilvl="0">
      <w:lvlJc w:val="left"/>
      <w:lvlText w:val="(%1)"/>
      <w:numFmt w:val="lowerLetter"/>
      <w:start w:val="2"/>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2019-12-28T18:00:26Z</dcterms:created>
  <dcterms:modified xsi:type="dcterms:W3CDTF">2019-12-28T18:00:26Z</dcterms:modified>
</cp:coreProperties>
</file>