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7"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5" w:lineRule="exact"/>
        <w:rPr>
          <w:sz w:val="24"/>
          <w:szCs w:val="24"/>
          <w:color w:val="auto"/>
        </w:rPr>
      </w:pPr>
    </w:p>
    <w:p>
      <w:pPr>
        <w:ind w:left="40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87"/>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88"/>
              </w:rPr>
              <w:t>(State or Other Jurisdiction of</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0"/>
              </w:rPr>
              <w:t>(I.R.S. Employer</w:t>
            </w:r>
          </w:p>
        </w:tc>
      </w:tr>
      <w:tr>
        <w:trPr>
          <w:trHeight w:val="223"/>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90"/>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701 Veterans Circle, Warminster, PA 18974</w:t>
            </w:r>
          </w:p>
        </w:tc>
        <w:tc>
          <w:tcPr>
            <w:tcW w:w="2720" w:type="dxa"/>
            <w:vAlign w:val="bottom"/>
            <w:gridSpan w:val="3"/>
          </w:tcPr>
          <w:p>
            <w:pPr>
              <w:spacing w:after="0"/>
              <w:rPr>
                <w:sz w:val="24"/>
                <w:szCs w:val="24"/>
                <w:color w:val="auto"/>
              </w:rPr>
            </w:pPr>
          </w:p>
        </w:tc>
      </w:tr>
      <w:tr>
        <w:trPr>
          <w:trHeight w:val="35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189"/>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89"/>
              </w:rPr>
              <w:t>Trading Symbol(s)</w:t>
            </w:r>
          </w:p>
        </w:tc>
        <w:tc>
          <w:tcPr>
            <w:tcW w:w="3840" w:type="dxa"/>
            <w:vAlign w:val="bottom"/>
            <w:gridSpan w:val="5"/>
          </w:tcPr>
          <w:p>
            <w:pPr>
              <w:ind w:left="740"/>
              <w:spacing w:after="0"/>
              <w:rPr>
                <w:sz w:val="20"/>
                <w:szCs w:val="20"/>
                <w:color w:val="auto"/>
              </w:rPr>
            </w:pPr>
            <w:r>
              <w:rPr>
                <w:rFonts w:ascii="Arial" w:cs="Arial" w:eastAsia="Arial" w:hAnsi="Arial"/>
                <w:sz w:val="18"/>
                <w:szCs w:val="18"/>
                <w:color w:val="auto"/>
                <w:w w:val="8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The Nasdaq Stock Market LLC</w:t>
            </w:r>
          </w:p>
        </w:tc>
      </w:tr>
    </w:tbl>
    <w:p>
      <w:pPr>
        <w:spacing w:after="0" w:line="317" w:lineRule="exact"/>
        <w:rPr>
          <w:sz w:val="24"/>
          <w:szCs w:val="24"/>
          <w:color w:val="auto"/>
        </w:rPr>
      </w:pPr>
    </w:p>
    <w:p>
      <w:pPr>
        <w:jc w:val="both"/>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6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13" w:right="339" w:bottom="1440" w:gutter="0" w:footer="0" w:header="0"/>
        </w:sectPr>
      </w:pPr>
    </w:p>
    <w:p>
      <w:pPr>
        <w:spacing w:after="0" w:line="97" w:lineRule="exact"/>
        <w:rPr>
          <w:sz w:val="24"/>
          <w:szCs w:val="24"/>
          <w:color w:val="auto"/>
        </w:rPr>
      </w:pPr>
    </w:p>
    <w:p>
      <w:pPr>
        <w:ind w:left="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5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13" w:right="339" w:bottom="1440" w:gutter="0" w:footer="0" w:header="0"/>
          <w:type w:val="continuous"/>
        </w:sect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13" w:right="339" w:bottom="1440" w:gutter="0" w:footer="0" w:header="0"/>
          <w:type w:val="continuous"/>
        </w:sectPr>
      </w:pPr>
    </w:p>
    <w:p>
      <w:pPr>
        <w:spacing w:after="0" w:line="211"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02" w:lineRule="exact"/>
        <w:rPr>
          <w:sz w:val="24"/>
          <w:szCs w:val="24"/>
          <w:color w:val="auto"/>
        </w:rPr>
      </w:pPr>
    </w:p>
    <w:p>
      <w:pPr>
        <w:spacing w:after="0" w:line="207" w:lineRule="exact"/>
        <w:tabs>
          <w:tab w:leader="none" w:pos="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2022, the registrant had 149,950,606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8"/>
          </w:tcPr>
          <w:p>
            <w:pPr>
              <w:ind w:left="240"/>
              <w:spacing w:after="0"/>
              <w:rPr>
                <w:sz w:val="20"/>
                <w:szCs w:val="20"/>
                <w:color w:val="auto"/>
              </w:rPr>
            </w:pPr>
            <w:r>
              <w:rPr>
                <w:rFonts w:ascii="Arial" w:cs="Arial" w:eastAsia="Arial" w:hAnsi="Arial"/>
                <w:sz w:val="18"/>
                <w:szCs w:val="18"/>
                <w:b w:val="1"/>
                <w:bCs w:val="1"/>
                <w:color w:val="auto"/>
              </w:rPr>
              <w:t>ARBUTUS BIOPHARMA CORPORATION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8940" w:type="dxa"/>
            <w:vAlign w:val="bottom"/>
            <w:gridSpan w:val="14"/>
            <w:shd w:val="clear" w:color="auto" w:fill="CCEEFF"/>
          </w:tcPr>
          <w:p>
            <w:pPr>
              <w:spacing w:after="0" w:line="194"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80" w:type="dxa"/>
            <w:vAlign w:val="bottom"/>
            <w:tcBorders>
              <w:top w:val="single" w:sz="8" w:color="CCEEFF"/>
              <w:left w:val="single" w:sz="8" w:color="CCEEFF"/>
            </w:tcBorders>
            <w:vMerge w:val="continue"/>
            <w:shd w:val="clear" w:color="auto" w:fill="CCEEFF"/>
          </w:tcPr>
          <w:p>
            <w:pPr>
              <w:spacing w:after="0"/>
              <w:rPr>
                <w:sz w:val="13"/>
                <w:szCs w:val="13"/>
                <w:color w:val="auto"/>
              </w:rPr>
            </w:pPr>
          </w:p>
        </w:tc>
        <w:tc>
          <w:tcPr>
            <w:tcW w:w="7560" w:type="dxa"/>
            <w:vAlign w:val="bottom"/>
            <w:tcBorders>
              <w:top w:val="single" w:sz="8" w:color="0000FF"/>
            </w:tcBorders>
            <w:gridSpan w:val="13"/>
            <w:shd w:val="clear" w:color="auto" w:fill="CCEEFF"/>
          </w:tcPr>
          <w:p>
            <w:pPr>
              <w:spacing w:after="0" w:line="151" w:lineRule="exact"/>
              <w:rPr>
                <w:rFonts w:ascii="Arial" w:cs="Arial" w:eastAsia="Arial" w:hAnsi="Arial"/>
                <w:sz w:val="16"/>
                <w:szCs w:val="16"/>
                <w:color w:val="0000FF"/>
              </w:rPr>
            </w:pPr>
            <w:hyperlink w:anchor="page20">
              <w:r>
                <w:rPr>
                  <w:rFonts w:ascii="Arial" w:cs="Arial" w:eastAsia="Arial" w:hAnsi="Arial"/>
                  <w:sz w:val="16"/>
                  <w:szCs w:val="16"/>
                  <w:color w:val="0000FF"/>
                </w:rPr>
                <w:t>OPERATIONS</w:t>
              </w:r>
            </w:hyperlink>
          </w:p>
        </w:tc>
        <w:tc>
          <w:tcPr>
            <w:tcW w:w="1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5980" w:type="dxa"/>
            <w:vAlign w:val="bottom"/>
            <w:gridSpan w:val="12"/>
          </w:tcPr>
          <w:p>
            <w:pPr>
              <w:spacing w:after="0" w:line="184" w:lineRule="exact"/>
              <w:rPr>
                <w:rFonts w:ascii="Arial" w:cs="Arial" w:eastAsia="Arial" w:hAnsi="Arial"/>
                <w:sz w:val="18"/>
                <w:szCs w:val="18"/>
                <w:color w:val="0000FF"/>
                <w:w w:val="95"/>
              </w:rPr>
            </w:pPr>
            <w:hyperlink w:anchor="page38">
              <w:r>
                <w:rPr>
                  <w:rFonts w:ascii="Arial" w:cs="Arial" w:eastAsia="Arial" w:hAnsi="Arial"/>
                  <w:sz w:val="18"/>
                  <w:szCs w:val="18"/>
                  <w:color w:val="0000FF"/>
                  <w:w w:val="95"/>
                </w:rPr>
                <w:t>QUANTITATIVE AND QUALITATIVE DISCLOSURES ABOUT MARKET RISK</w:t>
              </w:r>
            </w:hyperlink>
          </w:p>
        </w:tc>
        <w:tc>
          <w:tcPr>
            <w:tcW w:w="2960" w:type="dxa"/>
            <w:vAlign w:val="bottom"/>
            <w:gridSpan w:val="2"/>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5980" w:type="dxa"/>
            <w:vAlign w:val="bottom"/>
            <w:gridSpan w:val="12"/>
            <w:shd w:val="clear" w:color="auto" w:fill="CCEEFF"/>
          </w:tcPr>
          <w:p>
            <w:pPr>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2960" w:type="dxa"/>
            <w:vAlign w:val="bottom"/>
            <w:gridSpan w:val="2"/>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39">
              <w:r>
                <w:rPr>
                  <w:rFonts w:ascii="Arial" w:cs="Arial" w:eastAsia="Arial" w:hAnsi="Arial"/>
                  <w:sz w:val="18"/>
                  <w:szCs w:val="18"/>
                  <w:color w:val="0000FF"/>
                </w:rPr>
                <w:t>PART II. OTHER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1220" w:type="dxa"/>
            <w:vAlign w:val="bottom"/>
            <w:gridSpan w:val="5"/>
            <w:shd w:val="clear" w:color="auto" w:fill="CCEEFF"/>
          </w:tcPr>
          <w:p>
            <w:pPr>
              <w:spacing w:after="0" w:line="194"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RISK FACTORS</w:t>
              </w:r>
            </w:hyperlink>
          </w:p>
        </w:tc>
        <w:tc>
          <w:tcPr>
            <w:tcW w:w="600" w:type="dxa"/>
            <w:vAlign w:val="bottom"/>
            <w:shd w:val="clear" w:color="auto" w:fill="CCEEFF"/>
          </w:tcPr>
          <w:p>
            <w:pPr>
              <w:spacing w:after="0"/>
              <w:rPr>
                <w:sz w:val="16"/>
                <w:szCs w:val="16"/>
                <w:color w:val="auto"/>
              </w:rPr>
            </w:pPr>
          </w:p>
        </w:tc>
        <w:tc>
          <w:tcPr>
            <w:tcW w:w="7120" w:type="dxa"/>
            <w:vAlign w:val="bottom"/>
            <w:tcBorders>
              <w:left w:val="single" w:sz="8" w:color="CCEEFF"/>
            </w:tcBorders>
            <w:gridSpan w:val="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ITEM 2.</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3100" w:type="dxa"/>
            <w:vAlign w:val="bottom"/>
            <w:gridSpan w:val="9"/>
            <w:shd w:val="clear" w:color="auto" w:fill="CCEEFF"/>
          </w:tcPr>
          <w:p>
            <w:pPr>
              <w:spacing w:after="0" w:line="194"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DEFAULTS UPON SENIOR SECURITIES</w:t>
              </w:r>
            </w:hyperlink>
          </w:p>
        </w:tc>
        <w:tc>
          <w:tcPr>
            <w:tcW w:w="2800" w:type="dxa"/>
            <w:vAlign w:val="bottom"/>
            <w:gridSpan w:val="2"/>
            <w:shd w:val="clear" w:color="auto" w:fill="CCEEFF"/>
          </w:tcPr>
          <w:p>
            <w:pPr>
              <w:spacing w:after="0"/>
              <w:rPr>
                <w:sz w:val="16"/>
                <w:szCs w:val="16"/>
                <w:color w:val="auto"/>
              </w:rPr>
            </w:pPr>
          </w:p>
        </w:tc>
        <w:tc>
          <w:tcPr>
            <w:tcW w:w="304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2380" w:type="dxa"/>
            <w:vAlign w:val="bottom"/>
            <w:gridSpan w:val="7"/>
          </w:tcPr>
          <w:p>
            <w:pPr>
              <w:spacing w:after="0" w:line="184"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MINE SAFETY DISCLOSURES</w:t>
              </w:r>
            </w:hyperlink>
          </w:p>
        </w:tc>
        <w:tc>
          <w:tcPr>
            <w:tcW w:w="720" w:type="dxa"/>
            <w:vAlign w:val="bottom"/>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41">
              <w:r>
                <w:rPr>
                  <w:rFonts w:ascii="Arial" w:cs="Arial" w:eastAsia="Arial" w:hAnsi="Arial"/>
                  <w:sz w:val="18"/>
                  <w:szCs w:val="18"/>
                  <w:color w:val="0000FF"/>
                </w:rPr>
                <w:t>ITEM 5.</w:t>
              </w:r>
            </w:hyperlink>
          </w:p>
        </w:tc>
        <w:tc>
          <w:tcPr>
            <w:tcW w:w="1820" w:type="dxa"/>
            <w:vAlign w:val="bottom"/>
            <w:gridSpan w:val="6"/>
            <w:shd w:val="clear" w:color="auto" w:fill="CCEEFF"/>
          </w:tcPr>
          <w:p>
            <w:pPr>
              <w:spacing w:after="0" w:line="194"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OTHER INFORMATION</w:t>
              </w:r>
            </w:hyperlink>
          </w:p>
        </w:tc>
        <w:tc>
          <w:tcPr>
            <w:tcW w:w="560" w:type="dxa"/>
            <w:vAlign w:val="bottom"/>
            <w:tcBorders>
              <w:left w:val="single" w:sz="8" w:color="CCEEFF"/>
            </w:tcBorders>
            <w:shd w:val="clear" w:color="auto" w:fill="CCEEFF"/>
          </w:tcPr>
          <w:p>
            <w:pPr>
              <w:spacing w:after="0"/>
              <w:rPr>
                <w:sz w:val="16"/>
                <w:szCs w:val="16"/>
                <w:color w:val="auto"/>
              </w:rPr>
            </w:pPr>
          </w:p>
        </w:tc>
        <w:tc>
          <w:tcPr>
            <w:tcW w:w="6560" w:type="dxa"/>
            <w:vAlign w:val="bottom"/>
            <w:gridSpan w:val="7"/>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ITEM 6.</w:t>
              </w:r>
            </w:hyperlink>
          </w:p>
        </w:tc>
        <w:tc>
          <w:tcPr>
            <w:tcW w:w="1820" w:type="dxa"/>
            <w:vAlign w:val="bottom"/>
            <w:gridSpan w:val="6"/>
          </w:tcPr>
          <w:p>
            <w:pPr>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7120" w:type="dxa"/>
            <w:vAlign w:val="bottom"/>
            <w:gridSpan w:val="8"/>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102,879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46,035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160,661</w:t>
            </w:r>
          </w:p>
        </w:tc>
        <w:tc>
          <w:tcPr>
            <w:tcW w:w="0" w:type="dxa"/>
            <w:vAlign w:val="bottom"/>
          </w:tcPr>
          <w:p>
            <w:pPr>
              <w:spacing w:after="0"/>
              <w:rPr>
                <w:sz w:val="1"/>
                <w:szCs w:val="1"/>
                <w:color w:val="auto"/>
              </w:rPr>
            </w:pPr>
          </w:p>
        </w:tc>
      </w:tr>
      <w:tr>
        <w:trPr>
          <w:trHeight w:val="172"/>
        </w:trPr>
        <w:tc>
          <w:tcPr>
            <w:tcW w:w="6640" w:type="dxa"/>
            <w:vAlign w:val="bottom"/>
          </w:tcPr>
          <w:p>
            <w:pPr>
              <w:ind w:left="40"/>
              <w:spacing w:after="0" w:line="172" w:lineRule="exact"/>
              <w:rPr>
                <w:sz w:val="20"/>
                <w:szCs w:val="20"/>
                <w:color w:val="auto"/>
              </w:rPr>
            </w:pPr>
            <w:r>
              <w:rPr>
                <w:rFonts w:ascii="Arial" w:cs="Arial" w:eastAsia="Arial" w:hAnsi="Arial"/>
                <w:sz w:val="18"/>
                <w:szCs w:val="18"/>
                <w:color w:val="auto"/>
              </w:rPr>
              <w:t>Property and equipment, net of accumulated depreciation of $10,132</w:t>
            </w:r>
          </w:p>
        </w:tc>
        <w:tc>
          <w:tcPr>
            <w:tcW w:w="4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2"/>
        </w:trPr>
        <w:tc>
          <w:tcPr>
            <w:tcW w:w="6640" w:type="dxa"/>
            <w:vAlign w:val="bottom"/>
          </w:tcPr>
          <w:p>
            <w:pPr>
              <w:ind w:left="40"/>
              <w:spacing w:after="0"/>
              <w:rPr>
                <w:sz w:val="20"/>
                <w:szCs w:val="20"/>
                <w:color w:val="auto"/>
              </w:rPr>
            </w:pPr>
            <w:r>
              <w:rPr>
                <w:rFonts w:ascii="Arial" w:cs="Arial" w:eastAsia="Arial" w:hAnsi="Arial"/>
                <w:sz w:val="18"/>
                <w:szCs w:val="18"/>
                <w:color w:val="auto"/>
              </w:rPr>
              <w:t>(December 31, 2021: $9,374)</w:t>
            </w:r>
          </w:p>
        </w:tc>
        <w:tc>
          <w:tcPr>
            <w:tcW w:w="4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Deferred license revenue, 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liability, current</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Deferred license revenue, non-current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148,794,262 (December 31, 2021: 144,987,736)</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1,286,636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65,485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(1,134,347)</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4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169,439</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3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04"/>
        </w:trPr>
        <w:tc>
          <w:tcPr>
            <w:tcW w:w="53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Collaborations and licenses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23,774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Non-cash 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4,442</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29,581</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17"/>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38,760</w:t>
            </w:r>
          </w:p>
        </w:tc>
      </w:tr>
      <w:tr>
        <w:trPr>
          <w:trHeight w:val="223"/>
        </w:trPr>
        <w:tc>
          <w:tcPr>
            <w:tcW w:w="5300" w:type="dxa"/>
            <w:vAlign w:val="bottom"/>
          </w:tcPr>
          <w:p>
            <w:pPr>
              <w:ind w:left="2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(34,318)</w:t>
            </w: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(loss) gain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other loss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(35,768)</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(35,768)</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Items applicable to preferred shares: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Dividend accretion of convertible preferred shares.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(6,478)</w:t>
            </w:r>
          </w:p>
        </w:tc>
      </w:tr>
      <w:tr>
        <w:trPr>
          <w:trHeight w:val="242"/>
        </w:trPr>
        <w:tc>
          <w:tcPr>
            <w:tcW w:w="5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Net loss attributable to common shares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148,750,048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96,869,805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148,589,711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95,153,545</w:t>
            </w:r>
          </w:p>
        </w:tc>
      </w:tr>
      <w:tr>
        <w:trPr>
          <w:trHeight w:val="263"/>
        </w:trPr>
        <w:tc>
          <w:tcPr>
            <w:tcW w:w="5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Comprehensive (loss) income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(35,796)</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2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98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 Capital</w:t>
            </w:r>
          </w:p>
        </w:tc>
        <w:tc>
          <w:tcPr>
            <w:tcW w:w="13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rPr>
              <w:t>Additional Paid-In</w:t>
            </w:r>
          </w:p>
        </w:tc>
        <w:tc>
          <w:tcPr>
            <w:tcW w:w="260" w:type="dxa"/>
            <w:vAlign w:val="bottom"/>
          </w:tcPr>
          <w:p>
            <w:pPr>
              <w:spacing w:after="0"/>
              <w:rPr>
                <w:sz w:val="10"/>
                <w:szCs w:val="10"/>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Deficit</w:t>
            </w:r>
          </w:p>
        </w:tc>
        <w:tc>
          <w:tcPr>
            <w:tcW w:w="1380" w:type="dxa"/>
            <w:vAlign w:val="bottom"/>
            <w:gridSpan w:val="3"/>
          </w:tcPr>
          <w:p>
            <w:pPr>
              <w:ind w:left="60"/>
              <w:spacing w:after="0" w:line="118" w:lineRule="exact"/>
              <w:rPr>
                <w:sz w:val="20"/>
                <w:szCs w:val="20"/>
                <w:color w:val="auto"/>
              </w:rPr>
            </w:pPr>
            <w:r>
              <w:rPr>
                <w:rFonts w:ascii="Arial" w:cs="Arial" w:eastAsia="Arial" w:hAnsi="Arial"/>
                <w:sz w:val="13"/>
                <w:szCs w:val="13"/>
                <w:b w:val="1"/>
                <w:bCs w:val="1"/>
                <w:color w:val="auto"/>
              </w:rPr>
              <w:t>Accumulated Other</w:t>
            </w:r>
          </w:p>
        </w:tc>
        <w:tc>
          <w:tcPr>
            <w:tcW w:w="128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9"/>
              </w:rPr>
              <w:t>Total Stockholders'</w:t>
            </w:r>
          </w:p>
        </w:tc>
        <w:tc>
          <w:tcPr>
            <w:tcW w:w="0" w:type="dxa"/>
            <w:vAlign w:val="bottom"/>
          </w:tcPr>
          <w:p>
            <w:pPr>
              <w:spacing w:after="0"/>
              <w:rPr>
                <w:sz w:val="1"/>
                <w:szCs w:val="1"/>
                <w:color w:val="auto"/>
              </w:rPr>
            </w:pPr>
          </w:p>
        </w:tc>
      </w:tr>
      <w:tr>
        <w:trPr>
          <w:trHeight w:val="183"/>
        </w:trPr>
        <w:tc>
          <w:tcPr>
            <w:tcW w:w="29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260" w:type="dxa"/>
            <w:vAlign w:val="bottom"/>
          </w:tcPr>
          <w:p>
            <w:pPr>
              <w:spacing w:after="0"/>
              <w:rPr>
                <w:sz w:val="15"/>
                <w:szCs w:val="15"/>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144,987,736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1,286,636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(1,134,347)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980" w:type="dxa"/>
            <w:vAlign w:val="bottom"/>
            <w:tcBorders>
              <w:top w:val="single" w:sz="8" w:color="CCEEFF"/>
            </w:tcBorders>
            <w:vMerge w:val="continue"/>
          </w:tcPr>
          <w:p>
            <w:pPr>
              <w:spacing w:after="0"/>
              <w:rPr>
                <w:sz w:val="13"/>
                <w:szCs w:val="13"/>
                <w:color w:val="auto"/>
              </w:rPr>
            </w:pPr>
          </w:p>
        </w:tc>
        <w:tc>
          <w:tcPr>
            <w:tcW w:w="1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1,736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w w:val="94"/>
              </w:rPr>
              <w:t>Issuance of common shares pursuant to the Open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69,048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Market Sale Agreement</w:t>
            </w: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1"/>
              </w:rPr>
              <w:t>Issuance of common shares pursuant to exercise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shares pursuant to ESPP</w:t>
            </w:r>
          </w:p>
        </w:tc>
        <w:tc>
          <w:tcPr>
            <w:tcW w:w="1260" w:type="dxa"/>
            <w:vAlign w:val="bottom"/>
          </w:tcPr>
          <w:p>
            <w:pPr>
              <w:jc w:val="right"/>
              <w:spacing w:after="0"/>
              <w:rPr>
                <w:sz w:val="20"/>
                <w:szCs w:val="20"/>
                <w:color w:val="auto"/>
              </w:rPr>
            </w:pPr>
            <w:r>
              <w:rPr>
                <w:rFonts w:ascii="Arial" w:cs="Arial" w:eastAsia="Arial" w:hAnsi="Arial"/>
                <w:sz w:val="14"/>
                <w:szCs w:val="14"/>
                <w:color w:val="auto"/>
              </w:rPr>
              <w:t>86,501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Issuance of common shares pursuant to Share</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3,579,952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Agreement</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148,728,237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1,298,212</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67,151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(1,150,112)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(49,406)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165,845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1"/>
              </w:rPr>
              <w:t>Issuance of common shares pursuant to exercise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148,794,262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1,298,409</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69,134</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(1,164,304)</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(50,097)</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153,142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8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9"/>
                <w:szCs w:val="9"/>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Accumulated Other</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3"/>
            <w:vMerge w:val="continue"/>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5"/>
                <w:szCs w:val="15"/>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00" w:type="dxa"/>
            <w:vAlign w:val="bottom"/>
            <w:vMerge w:val="continue"/>
          </w:tcPr>
          <w:p>
            <w:pPr>
              <w:spacing w:after="0"/>
              <w:rPr>
                <w:sz w:val="6"/>
                <w:szCs w:val="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6"/>
                <w:szCs w:val="6"/>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1,013,118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4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 on</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34"/>
        </w:trPr>
        <w:tc>
          <w:tcPr>
            <w:tcW w:w="240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1,450,145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155,886</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97,700,016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1,017,416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(1,088,207)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(48,199)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100,829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7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4"/>
              </w:rPr>
              <w:t>Six Months Ended June 30,</w:t>
            </w:r>
          </w:p>
        </w:tc>
        <w:tc>
          <w:tcPr>
            <w:tcW w:w="1340" w:type="dxa"/>
            <w:vAlign w:val="bottom"/>
            <w:tcBorders>
              <w:bottom w:val="single" w:sz="8" w:color="auto"/>
            </w:tcBorders>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2021</w:t>
            </w: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60" w:type="dxa"/>
            <w:vAlign w:val="bottom"/>
          </w:tcPr>
          <w:p>
            <w:pPr>
              <w:jc w:val="right"/>
              <w:ind w:right="1183"/>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(29,957)</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(35,768)</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777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property and equipment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3,800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3,378</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409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royalty revenue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985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change in operating items: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Deferred license revenue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27,815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(31,890)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(84,619)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(54,145)</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 of investments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34,350</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property and equipment</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(73,886)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(20,526)</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Share Purchase Agreement</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10,973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30,693</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4"/>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11,598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31,163</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Decrease in cash and cash equivalents</w:t>
            </w:r>
          </w:p>
        </w:tc>
        <w:tc>
          <w:tcPr>
            <w:tcW w:w="1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(61,962)</w:t>
            </w: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(21,297)</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109,282</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52,251</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3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47,320</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30,954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66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dividends accrued</w:t>
            </w:r>
          </w:p>
        </w:tc>
        <w:tc>
          <w:tcPr>
            <w:tcW w:w="1360" w:type="dxa"/>
            <w:vAlign w:val="bottom"/>
            <w:shd w:val="clear" w:color="auto" w:fill="CCEEFF"/>
          </w:tcPr>
          <w:p>
            <w:pPr>
              <w:jc w:val="right"/>
              <w:ind w:right="1183"/>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(6,478)</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coronaviruses. In HBV, the Company is developing an RNA interference (“RNAi”) therapeutic, an oral capsid inhibitor,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The Company believes its lead compound, AB-729, is the only RNAi therapeutic with evidence of immune re-awakening, and is currently being evaluated in multiple phase 2 clinical trials. The Company has an ongoing drug discovery and development program directed to identifying novel, orally active agents for treating coronaviruses, including SARS-CoV-2. The Company is also exploring oncology applications for its internal PD-L1 portfolio.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At June 30, 2022, the Company had an aggregate of $200.6 million in cash, cash equivalents and investments in marketable securities. The Company had no outstanding debt as of June 30, 2022. The Company believes it has sufficient cash resources to fund its operations for at least the next 12 months.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the Company has been able to progress with its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400" w:hanging="395"/>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2021 included in the Company’s Annual Report on Form 10-K for the year ended December 31, 2021.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June 30, 2022 and December 31, 2021, the Company’s results of operations for the three and six months ended June 30, 2022 and 2021, and the Company’s cash flows for the six months ended June 30, 2022 and 2021. Such adjustments are of a normal recurring nature. The results of operations for the three and six months ended June 30, 2022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2021, except as described below under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have been eliminated. Certain prior year amounts have been reclassified to conform to the current year presentation.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three and six months ended June 30, 2022 and 2021, since the effect of including potential common shares would be anti-dilutive. For the six months ended June 30, 2022, potential common shares of 15.9 million pertaining to outstanding stock options were excluded from the calculation of net loss attributable to common shareholders per share. A total of approximately 35.4 million outstanding stock options and if-converted Series A participating convertible preferred shares (“Preferred Shares”) were excluded from the calculation for the six months ended June 30, 2021.</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18, 2021, the Company’s outstanding Preferred Shares were converted into 22,833,922 common shares. Prior to that date, the Company followed the two-class method when computing net loss attributable to common shareholders per share as the Preferred Shares met the definition of participating securities. The Preferred Shares entitled the holders to participate in dividends but did not require the holders to participate in losses of the Company. Accordingly, net losses attributable to holders of the Company’s common shares were not allocated to holders of the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collaborations and licenses</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collaboration agreements fall under the scope of Accounting Standards Codification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some aspects, including for the delivery of a good or service (i.e., a unit of account).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Arial" w:cs="Arial" w:eastAsia="Arial" w:hAnsi="Arial"/>
          <w:sz w:val="16"/>
          <w:szCs w:val="16"/>
          <w:i w:val="1"/>
          <w:iCs w:val="1"/>
          <w:color w:val="auto"/>
        </w:rPr>
        <w:t>Balance Sheet - Offsetting</w:t>
      </w:r>
      <w:r>
        <w:rPr>
          <w:rFonts w:ascii="Arial" w:cs="Arial" w:eastAsia="Arial" w:hAnsi="Arial"/>
          <w:sz w:val="16"/>
          <w:szCs w:val="16"/>
          <w:color w:val="auto"/>
        </w:rPr>
        <w:t xml:space="preserve"> the Company’s deferred revenue is offset by a contract asset as further discussed in Note 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reviewed all recently issued standards and has determined that such standards will not have a material impact on the Company’s financial statements or do not otherwise apply to the Company’s operations.</w:t>
      </w: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92" w:lineRule="exact"/>
        <w:rPr>
          <w:sz w:val="20"/>
          <w:szCs w:val="20"/>
          <w:color w:val="auto"/>
        </w:rPr>
      </w:pPr>
    </w:p>
    <w:p>
      <w:pPr>
        <w:ind w:left="940" w:hanging="46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5" w:lineRule="exact"/>
        <w:rPr>
          <w:rFonts w:ascii="Arial" w:cs="Arial" w:eastAsia="Arial" w:hAnsi="Arial"/>
          <w:sz w:val="18"/>
          <w:szCs w:val="18"/>
          <w:color w:val="auto"/>
        </w:rPr>
      </w:pPr>
    </w:p>
    <w:p>
      <w:pPr>
        <w:jc w:val="both"/>
        <w:ind w:left="960" w:hanging="482"/>
        <w:spacing w:after="0" w:line="243"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 w:lineRule="exact"/>
        <w:rPr>
          <w:rFonts w:ascii="Arial" w:cs="Arial" w:eastAsia="Arial" w:hAnsi="Arial"/>
          <w:sz w:val="18"/>
          <w:szCs w:val="18"/>
          <w:color w:val="auto"/>
        </w:rPr>
      </w:pPr>
    </w:p>
    <w:p>
      <w:pPr>
        <w:ind w:left="960" w:hanging="482"/>
        <w:spacing w:after="0" w:line="24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6"/>
          <w:szCs w:val="16"/>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$5.7 million as of June 30, 2022 and the increase of $0.4 million from December 31, 2021 has been recorded as a component of total operating expenses in the statement of operations and comprehensive loss for the six months ended June 30, 2022.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7"/>
              </w:rPr>
              <w:t>As of June 30, 2022</w:t>
            </w:r>
          </w:p>
        </w:tc>
        <w:tc>
          <w:tcPr>
            <w:tcW w:w="39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476"/>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47,320</w:t>
            </w:r>
          </w:p>
        </w:tc>
        <w:tc>
          <w:tcPr>
            <w:tcW w:w="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102,879</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50,450</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200,649</w:t>
            </w:r>
          </w:p>
        </w:tc>
        <w:tc>
          <w:tcPr>
            <w:tcW w:w="40" w:type="dxa"/>
            <w:vAlign w:val="bottom"/>
            <w:tcBorders>
              <w:left w:val="single" w:sz="8" w:color="CCEEFF"/>
            </w:tcBorders>
          </w:tcPr>
          <w:p>
            <w:pPr>
              <w:spacing w:after="0"/>
              <w:rPr>
                <w:sz w:val="18"/>
                <w:szCs w:val="18"/>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5,707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40" w:type="dxa"/>
            <w:vAlign w:val="bottom"/>
            <w:tcBorders>
              <w:left w:val="single" w:sz="8" w:color="CCEEFF"/>
            </w:tcBorders>
          </w:tcPr>
          <w:p>
            <w:pPr>
              <w:spacing w:after="0"/>
              <w:rPr>
                <w:sz w:val="18"/>
                <w:szCs w:val="18"/>
                <w:color w:val="auto"/>
              </w:rPr>
            </w:pPr>
          </w:p>
        </w:tc>
      </w:tr>
      <w:tr>
        <w:trPr>
          <w:trHeight w:val="76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88"/>
              </w:rPr>
              <w:t>As of December 31, 2021</w:t>
            </w:r>
          </w:p>
        </w:tc>
        <w:tc>
          <w:tcPr>
            <w:tcW w:w="36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496"/>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109,282</w:t>
            </w:r>
          </w:p>
        </w:tc>
        <w:tc>
          <w:tcPr>
            <w:tcW w:w="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4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191,005</w:t>
            </w:r>
          </w:p>
        </w:tc>
        <w:tc>
          <w:tcPr>
            <w:tcW w:w="40" w:type="dxa"/>
            <w:vAlign w:val="bottom"/>
          </w:tcPr>
          <w:p>
            <w:pPr>
              <w:spacing w:after="0"/>
              <w:rPr>
                <w:sz w:val="18"/>
                <w:szCs w:val="18"/>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5,298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40" w:type="dxa"/>
            <w:vAlign w:val="bottom"/>
          </w:tcPr>
          <w:p>
            <w:pPr>
              <w:spacing w:after="0"/>
              <w:rPr>
                <w:sz w:val="18"/>
                <w:szCs w:val="18"/>
                <w:color w:val="auto"/>
              </w:rPr>
            </w:pPr>
          </w:p>
        </w:tc>
      </w:tr>
      <w:tr>
        <w:trPr>
          <w:trHeight w:val="110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4"/>
                <w:szCs w:val="14"/>
                <w:b w:val="1"/>
                <w:bCs w:val="1"/>
                <w:color w:val="auto"/>
                <w:w w:val="96"/>
              </w:rPr>
              <w:t>Liability at beginning of</w:t>
            </w:r>
          </w:p>
        </w:tc>
        <w:tc>
          <w:tcPr>
            <w:tcW w:w="220" w:type="dxa"/>
            <w:vAlign w:val="bottom"/>
          </w:tcPr>
          <w:p>
            <w:pPr>
              <w:spacing w:after="0"/>
              <w:rPr>
                <w:sz w:val="14"/>
                <w:szCs w:val="14"/>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Fair value of liability-</w:t>
            </w:r>
          </w:p>
        </w:tc>
        <w:tc>
          <w:tcPr>
            <w:tcW w:w="220" w:type="dxa"/>
            <w:vAlign w:val="bottom"/>
          </w:tcPr>
          <w:p>
            <w:pPr>
              <w:spacing w:after="0"/>
              <w:rPr>
                <w:sz w:val="14"/>
                <w:szCs w:val="14"/>
                <w:color w:val="auto"/>
              </w:rPr>
            </w:pPr>
          </w:p>
        </w:tc>
        <w:tc>
          <w:tcPr>
            <w:tcW w:w="1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Decrease in fair value of</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86"/>
              </w:rPr>
              <w:t>classified options</w:t>
            </w:r>
          </w:p>
        </w:tc>
        <w:tc>
          <w:tcPr>
            <w:tcW w:w="22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7"/>
              </w:rPr>
              <w:t>exercised in the period</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liability</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2022</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Six Months Ended June 30, 2021</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2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00" w:type="dxa"/>
            <w:vAlign w:val="bottom"/>
          </w:tcPr>
          <w:p>
            <w:pPr>
              <w:spacing w:after="0"/>
              <w:rPr>
                <w:sz w:val="15"/>
                <w:szCs w:val="15"/>
                <w:color w:val="auto"/>
              </w:rPr>
            </w:pPr>
          </w:p>
        </w:tc>
        <w:tc>
          <w:tcPr>
            <w:tcW w:w="2140" w:type="dxa"/>
            <w:vAlign w:val="bottom"/>
          </w:tcPr>
          <w:p>
            <w:pPr>
              <w:jc w:val="right"/>
              <w:ind w:right="121"/>
              <w:spacing w:after="0"/>
              <w:rPr>
                <w:sz w:val="20"/>
                <w:szCs w:val="20"/>
                <w:color w:val="auto"/>
              </w:rPr>
            </w:pPr>
            <w:r>
              <w:rPr>
                <w:rFonts w:ascii="Arial" w:cs="Arial" w:eastAsia="Arial" w:hAnsi="Arial"/>
                <w:sz w:val="14"/>
                <w:szCs w:val="14"/>
                <w:b w:val="1"/>
                <w:bCs w:val="1"/>
                <w:color w:val="auto"/>
                <w:w w:val="92"/>
              </w:rPr>
              <w:t>Increase in fair value of liability</w:t>
            </w:r>
          </w:p>
        </w:tc>
        <w:tc>
          <w:tcPr>
            <w:tcW w:w="260" w:type="dxa"/>
            <w:vAlign w:val="bottom"/>
          </w:tcPr>
          <w:p>
            <w:pPr>
              <w:spacing w:after="0"/>
              <w:rPr>
                <w:sz w:val="15"/>
                <w:szCs w:val="15"/>
                <w:color w:val="auto"/>
              </w:rPr>
            </w:pPr>
          </w:p>
        </w:tc>
        <w:tc>
          <w:tcPr>
            <w:tcW w:w="20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Liability at end of the period</w:t>
            </w:r>
          </w:p>
        </w:tc>
      </w:tr>
      <w:tr>
        <w:trPr>
          <w:trHeight w:val="50"/>
        </w:trPr>
        <w:tc>
          <w:tcPr>
            <w:tcW w:w="43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77"/>
        </w:trPr>
        <w:tc>
          <w:tcPr>
            <w:tcW w:w="4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2022</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Six Months Ended June 30, 2021</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21"/>
              <w:spacing w:after="0"/>
              <w:rPr>
                <w:sz w:val="20"/>
                <w:szCs w:val="20"/>
                <w:color w:val="auto"/>
              </w:rPr>
            </w:pPr>
            <w:r>
              <w:rPr>
                <w:rFonts w:ascii="Arial" w:cs="Arial" w:eastAsia="Arial" w:hAnsi="Arial"/>
                <w:sz w:val="18"/>
                <w:szCs w:val="18"/>
                <w:color w:val="auto"/>
              </w:rPr>
              <w:t>823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Investments in marketable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Gross Unrealized Gain</w:t>
            </w:r>
            <w:r>
              <w:rPr>
                <w:rFonts w:ascii="Arial" w:cs="Arial" w:eastAsia="Arial" w:hAnsi="Arial"/>
                <w:sz w:val="18"/>
                <w:szCs w:val="18"/>
                <w:b w:val="1"/>
                <w:bCs w:val="1"/>
                <w:color w:val="auto"/>
                <w:w w:val="99"/>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Gross Unrealized Loss</w:t>
            </w:r>
            <w:r>
              <w:rPr>
                <w:rFonts w:ascii="Arial" w:cs="Arial" w:eastAsia="Arial" w:hAnsi="Arial"/>
                <w:sz w:val="18"/>
                <w:szCs w:val="18"/>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87"/>
              </w:rPr>
              <w:t>As of June 30, 2022</w:t>
            </w: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3"/>
          </w:tcPr>
          <w:p>
            <w:pPr>
              <w:jc w:val="right"/>
              <w:ind w:right="295"/>
              <w:spacing w:after="0" w:line="138"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23,984</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23,984</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69,349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68,565</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103,925</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102,879</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12,028</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26,341</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51,317</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50,450</w:t>
            </w:r>
          </w:p>
        </w:tc>
      </w:tr>
    </w:tbl>
    <w:p>
      <w:pPr>
        <w:spacing w:after="0" w:line="277" w:lineRule="exact"/>
        <w:rPr>
          <w:sz w:val="20"/>
          <w:szCs w:val="20"/>
          <w:color w:val="auto"/>
        </w:rPr>
      </w:pPr>
    </w:p>
    <w:p>
      <w:pPr>
        <w:ind w:left="480" w:hanging="159"/>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accumulated other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8"/>
              </w:rPr>
              <w:t>As of December 31, 2021</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gridSpan w:val="3"/>
          </w:tcPr>
          <w:p>
            <w:pPr>
              <w:ind w:left="580"/>
              <w:spacing w:after="0" w:line="14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r>
    </w:tbl>
    <w:p>
      <w:pPr>
        <w:spacing w:after="0" w:line="316" w:lineRule="exact"/>
        <w:rPr>
          <w:sz w:val="20"/>
          <w:szCs w:val="20"/>
          <w:color w:val="auto"/>
        </w:rPr>
      </w:pPr>
    </w:p>
    <w:p>
      <w:pPr>
        <w:ind w:left="480" w:hanging="159"/>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accumulated other comprehensive loss.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contractual term to maturity of the $102.9 million of short-term marketable securities held by the Company as of June 30, 2022 is less than one year. As of June 30, 2022, the Company held $50.5 million of long-term marketable securities with contractual maturities of more than one year, but less than five years. As of December 31, 2021, the Company’s $46.0 million of short-term marketable securities had contractual maturities of less than one year, while the Company’s $35.7 million of long-term marketable securities had maturities of more than one year, but less than five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and six months ended June 30,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ind w:left="360" w:hanging="355"/>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19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June 30, 2022,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7"/>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0"/>
              </w:rPr>
              <w:t>December 31, 2021</w:t>
            </w:r>
          </w:p>
        </w:tc>
      </w:tr>
      <w:tr>
        <w:trPr>
          <w:trHeight w:val="182"/>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5"/>
                <w:szCs w:val="15"/>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420" w:type="dxa"/>
            <w:vAlign w:val="bottom"/>
            <w:shd w:val="clear" w:color="auto" w:fill="CCEEFF"/>
          </w:tcPr>
          <w:p>
            <w:pPr>
              <w:jc w:val="right"/>
              <w:ind w:right="1238"/>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4,279</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420" w:type="dxa"/>
            <w:vAlign w:val="bottom"/>
          </w:tcPr>
          <w:p>
            <w:pPr>
              <w:jc w:val="right"/>
              <w:ind w:right="123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12,474</w:t>
            </w:r>
          </w:p>
        </w:tc>
        <w:tc>
          <w:tcPr>
            <w:tcW w:w="1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10,838</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 of future royalties</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2022, the Company estimated an effective annual interest rate of approximately 12%.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2022, the Company has recorded an aggregate of $14.2 million of non-cash royalty revenue for royalties earned by OMERS. There are a number of factors that could materially affect the amount and timing of royalty payments from Alnylam, none of which are within the Company’s control.</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six months ended June 30, 2022, the Company recognized non-cash royalty revenue of $3.0 million and non-cash interest expense of $1.0 million. During the six months ended June 30, 2021, the Company recognized non-cash royalty revenue of $2.1 million and related non-cash interest expense of $1.5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the six months ended June 30,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82"/>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r>
      <w:tr>
        <w:trPr>
          <w:trHeight w:val="177"/>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(3,048)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(2,103)</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14,233</w:t>
            </w:r>
          </w:p>
        </w:tc>
        <w:tc>
          <w:tcPr>
            <w:tcW w:w="100" w:type="dxa"/>
            <w:vAlign w:val="bottom"/>
          </w:tcPr>
          <w:p>
            <w:pPr>
              <w:spacing w:after="0"/>
              <w:rPr>
                <w:sz w:val="18"/>
                <w:szCs w:val="18"/>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18,982</w:t>
            </w:r>
          </w:p>
        </w:tc>
      </w:tr>
    </w:tbl>
    <w:p>
      <w:pPr>
        <w:spacing w:after="0" w:line="30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10"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and the Company intends to pursue an award for reimbursement of costs and attorneys’ fees.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$5.7 million as of June 30, 2022.</w:t>
      </w:r>
    </w:p>
    <w:p>
      <w:pPr>
        <w:spacing w:after="0" w:line="200" w:lineRule="exact"/>
        <w:rPr>
          <w:sz w:val="20"/>
          <w:szCs w:val="20"/>
          <w:color w:val="auto"/>
        </w:rPr>
      </w:pPr>
    </w:p>
    <w:p>
      <w:pPr>
        <w:spacing w:after="0" w:line="270"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 digit royalties into the low twenties percent based upon annual net sales of AB-729 in the Territory. The royalties are payable on a product-by-product and region-by-region basis, subject to certain limitations.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approval of a product manufactured by Qilu, or its designated contract manufacturing organization, by the National Medical Products Administration in China for AB-729.</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6"/>
          <w:szCs w:val="16"/>
          <w:color w:val="auto"/>
        </w:rPr>
        <w:t>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determined the initial transaction price of the combined performance obligation to be $49.3 million, which includes the $40.0 million upfront fee, $4.4 million of withholding taxes paid by Qilu on behalf of the Company, the premium 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six 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w w:val="89"/>
              </w:rPr>
              <w:t>Six Months Ended June 30, 2022</w:t>
            </w: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Transaction Price</w:t>
            </w:r>
          </w:p>
        </w:tc>
        <w:tc>
          <w:tcPr>
            <w:tcW w:w="240" w:type="dxa"/>
            <w:vAlign w:val="bottom"/>
          </w:tcPr>
          <w:p>
            <w:pPr>
              <w:spacing w:after="0"/>
              <w:rPr>
                <w:sz w:val="11"/>
                <w:szCs w:val="11"/>
                <w:color w:val="auto"/>
              </w:rPr>
            </w:pPr>
          </w:p>
        </w:tc>
        <w:tc>
          <w:tcPr>
            <w:tcW w:w="2540" w:type="dxa"/>
            <w:vAlign w:val="bottom"/>
          </w:tcPr>
          <w:p>
            <w:pPr>
              <w:jc w:val="center"/>
              <w:ind w:right="186"/>
              <w:spacing w:after="0" w:line="130" w:lineRule="exact"/>
              <w:rPr>
                <w:sz w:val="20"/>
                <w:szCs w:val="20"/>
                <w:color w:val="auto"/>
              </w:rPr>
            </w:pPr>
            <w:r>
              <w:rPr>
                <w:rFonts w:ascii="Arial" w:cs="Arial" w:eastAsia="Arial" w:hAnsi="Arial"/>
                <w:sz w:val="14"/>
                <w:szCs w:val="14"/>
                <w:b w:val="1"/>
                <w:bCs w:val="1"/>
                <w:color w:val="auto"/>
                <w:w w:val="91"/>
              </w:rPr>
              <w:t>Cumulative Collaboration Revenue</w:t>
            </w:r>
          </w:p>
        </w:tc>
        <w:tc>
          <w:tcPr>
            <w:tcW w:w="320" w:type="dxa"/>
            <w:vAlign w:val="bottom"/>
          </w:tcPr>
          <w:p>
            <w:pPr>
              <w:spacing w:after="0"/>
              <w:rPr>
                <w:sz w:val="11"/>
                <w:szCs w:val="11"/>
                <w:color w:val="auto"/>
              </w:rPr>
            </w:pPr>
          </w:p>
        </w:tc>
        <w:tc>
          <w:tcPr>
            <w:tcW w:w="23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Deferred License Revenue</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Recognized</w:t>
            </w: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jc w:val="center"/>
              <w:ind w:left="166"/>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performance obligation</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49,270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20,655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28,615</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contract asset</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Less current portion of deferred license revenue</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of June 30, 2022, the balance of the deferred license revenue was $28.6 million, which, in accordance with ASC 210-20, was partially offset by the contract asset associated with the manufacturing cost reimbursement of $0.8 million, resulting in a net deferred license revenue liability of $27.8 million. The $4.4 million of withholding taxes paid by Qilu on behalf of the Company was recorded as income tax expense during the six months ended June 30, 2022.</w:t>
      </w:r>
    </w:p>
    <w:p>
      <w:pPr>
        <w:spacing w:after="0" w:line="1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Vaccitech plc</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July 2021, the Company entered into a clinical collaboration agreement with Vaccitech plc (“Vaccitech”) to evaluate AB-729 followed by Vaccitech’s VTP-300, a proprietary T cell stimulating therapeutic vaccine, in nucleos(t)ide reverse transcriptase inhibitor (“NrtI”)-suppressed patients with cHBV.</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 The Company incurred $0.8 million of costs, net of reimbursements from Vaccitech, related to the collaboration during the six months ended June 30, 2022 and reflected those costs in research and development in the statement of operations and comprehensive loss.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Assembly Biosciences, Inc.</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August 2020, the Company entered into a clinical collaboration agreement with Assembly Biosciences, Inc. (“Assembly”) to evaluate AB-729 in combination with Assembly’s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plans to continue dosing patients in the Phase 2a proof-of-concept clinical trial in order to fully and accurately assess the results. The Company and Assembly are sharing in the costs of the collaboration. The Company incurred $1.4 million and $1.2 million of costs related to the collaboration during the six months ended June 30, 2022 and 2021, respectively, and reflected those costs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X-Chem, Inc. and Proteros biostructures GmbH</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March 2021, the Company entered into a discovery research and license agreement with X-Chem, Inc. (“X-Chem”) and Proteros biostructures GmbH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 The agreement with X-Chem and Proteros was amended effective March 31, 2022 primarily to extend the term of the collaboration and update the funding and fee structure. Through this collaboration, the Company has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The Company incurred $0.3 million and $1.2 million of costs related to the collaboration during the six months ended June 30, 2022 and 2021, respectively, and reflected those costs in research and development in the statements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Entitlements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 Pharmaceuticals, Inc.’s (“Alnylam”) global net sales of ONPATTRO.</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royalty sale through June 30, 2022, an aggregate of $14.2 million of royalties have been earned by OMERS.</w:t>
      </w:r>
    </w:p>
    <w:p>
      <w:pPr>
        <w:spacing w:after="0" w:line="2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also is receiving a second royalty interest of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315"/>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2"/>
        </w:trPr>
        <w:tc>
          <w:tcPr>
            <w:tcW w:w="3880" w:type="dxa"/>
            <w:vAlign w:val="bottom"/>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177"/>
        </w:trPr>
        <w:tc>
          <w:tcPr>
            <w:tcW w:w="3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80" w:type="dxa"/>
            <w:vAlign w:val="bottom"/>
            <w:gridSpan w:val="3"/>
          </w:tcPr>
          <w:p>
            <w:pPr>
              <w:jc w:val="right"/>
              <w:ind w:right="83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5"/>
                <w:szCs w:val="15"/>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1260" w:type="dxa"/>
            <w:vAlign w:val="bottom"/>
          </w:tcPr>
          <w:p>
            <w:pPr>
              <w:jc w:val="right"/>
              <w:ind w:right="108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9"/>
                <w:szCs w:val="19"/>
                <w:color w:val="auto"/>
              </w:rPr>
            </w:pPr>
          </w:p>
        </w:tc>
        <w:tc>
          <w:tcPr>
            <w:tcW w:w="1280" w:type="dxa"/>
            <w:vAlign w:val="bottom"/>
          </w:tcPr>
          <w:p>
            <w:pPr>
              <w:jc w:val="right"/>
              <w:ind w:right="109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24"/>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60" w:type="dxa"/>
            <w:vAlign w:val="bottom"/>
            <w:shd w:val="clear" w:color="auto" w:fill="CCEEFF"/>
          </w:tcPr>
          <w:p>
            <w:pPr>
              <w:jc w:val="right"/>
              <w:ind w:right="108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it may issue and sell common shares, from time to time.</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in connection with the offering of up to $75.0 million of the Company’s common shares pursuant to the Sale Agreement. This prospectus supplement was fully utilized during 2020. On August 7, 2020, the Company filed a prospectus supplement with the SEC (the “August 2020 Prospectus Supplement”) in connection with the offering of up to an additional $75.0 million of its common shares pursuant to the Sale Agreement under the January 2020 Registration Statement. The August 2020 Prospectus Supplement was fully utilized during 2020.</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in connection with the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in connection with the offering of up to an additional $75.0 million of its common shares pursuant to the Sale Agreement under the October 2020 Registration Statement.</w:t>
      </w:r>
    </w:p>
    <w:p>
      <w:pPr>
        <w:spacing w:after="0" w:line="3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3, 2022, the Company filed a prospectus supplement with the SEC (the “March 2022 Prospectus Supplement”) in connection with the offering of up to an additional $100.0 million of its common shares pursuant to the Sale Agreement under: (i) the January 2020 Registration Statement; (ii) the October 2020 Registration Statement; and (iii) a shelf registration statement on Form S-3 (File No. 333-260782) that was declared effective by the SEC on November 18, 2021.</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six months ended June 30, 2022, the Company issued 69,048 common shares pursuant to the Sale Agreement, resulting in net proceeds of approximately $0.3 million. For the six months ended June 30, 2021, the Company issued 6,395,780 common shares pursuant to the Sale Agreement, resulting in net proceeds of approximately $26.4 million. As of June 30, 2022, there was approximately $152.0 million remaining available in aggregate under the October 2021 Prospectus Supplement and the March 2022 Prospectus Supplement.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summarizes information about the Company’s stock based compensation for the three and six months ended June 30, 2022 and 2021 and the expense recognized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3960" w:type="dxa"/>
            <w:vAlign w:val="bottom"/>
            <w:gridSpan w:val="6"/>
          </w:tcPr>
          <w:p>
            <w:pPr>
              <w:ind w:left="10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r>
      <w:tr>
        <w:trPr>
          <w:trHeight w:val="182"/>
        </w:trPr>
        <w:tc>
          <w:tcPr>
            <w:tcW w:w="34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w w:val="89"/>
              </w:rPr>
              <w:t>2021</w:t>
            </w:r>
          </w:p>
        </w:tc>
      </w:tr>
      <w:tr>
        <w:trPr>
          <w:trHeight w:val="177"/>
        </w:trPr>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4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color w:val="auto"/>
                <w:w w:val="89"/>
              </w:rPr>
              <w:t>Options granted during period</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4,734,575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3,127,350</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b w:val="1"/>
                <w:bCs w:val="1"/>
                <w:color w:val="auto"/>
                <w:w w:val="83"/>
              </w:rPr>
              <w:t>Stock compensation expense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3420" w:type="dxa"/>
            <w:vAlign w:val="bottom"/>
          </w:tcPr>
          <w:p>
            <w:pPr>
              <w:jc w:val="center"/>
              <w:ind w:right="1192"/>
              <w:spacing w:after="0"/>
              <w:rPr>
                <w:sz w:val="20"/>
                <w:szCs w:val="20"/>
                <w:color w:val="auto"/>
              </w:rPr>
            </w:pPr>
            <w:r>
              <w:rPr>
                <w:rFonts w:ascii="Arial" w:cs="Arial" w:eastAsia="Arial" w:hAnsi="Arial"/>
                <w:sz w:val="18"/>
                <w:szCs w:val="18"/>
                <w:color w:val="auto"/>
                <w:w w:val="86"/>
              </w:rPr>
              <w:t>Research and development</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24"/>
        </w:trPr>
        <w:tc>
          <w:tcPr>
            <w:tcW w:w="342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8"/>
              </w:rPr>
              <w:t>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16"/>
        </w:trPr>
        <w:tc>
          <w:tcPr>
            <w:tcW w:w="342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8"/>
                <w:szCs w:val="18"/>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3,378</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represented a 15% premium to the closing price of $6.20 per share). The purchase price for the Preferred Shares plus an amount equal to 8.75% per annum, compounded annually, was subject to mandatory conversion into common shares on October 18, 2021, at which time the Preferred Shares were converted into 22,833,922 common shares and both the lockup and standstill periods that Roivant had previously agreed to expired. As of June 30, 2022, Roivant owned approximately 26% of the Company’s outstanding common shares.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recorded the Preferred Shares wholly as equity with no bifurcation of the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and six months ended June 30, 2022 and 2021,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2021 and our unaudited condensed consolidated financial statements for the three and six months ended June 30, 2022.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44"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our product candidates to achieve their desired or anticipated outcomes;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cost, timing and results of our clinical development plans and clinical trials, including our clinical collaborations with third parties;</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of our product candidates to improve upon the standard of care and contribute to a functional curative combination treatment regimen;</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expected returns and benefits from strategic alliances, licensing agreements, and research collaborations with third parties, and the timing thereof;</w:t>
      </w:r>
    </w:p>
    <w:p>
      <w:pPr>
        <w:spacing w:after="0" w:line="90" w:lineRule="exact"/>
        <w:rPr>
          <w:rFonts w:ascii="Arial" w:cs="Arial" w:eastAsia="Arial" w:hAnsi="Arial"/>
          <w:sz w:val="15"/>
          <w:szCs w:val="15"/>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technology licensed to third parties, and the timing thereof;</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anticipated revenue and expense fluctuation and guidance;</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timing of announcing data from our ongoing clinical trials;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current patent disputes and litigation;</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of a net cash burn between $90 million and $95 million in 2022;</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operations into the second quarter of 2024; and</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possibility that our clinical development plans could be further delayed or suspended as a result of the military action by Russia in Ukraine.</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2021 (the “Form 10-K”), and in particular the risks and uncertainties discussed under “Item 1A-Risk Factors” of this Form 10-Q and the Form 10-K. As a result, you should not place undue reliance on forward-looking statements.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In HBV, we are developing an RNA interference (“RNAi”) therapeutic, an oral capsid inhibitor,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We believe our lead compound, AB-729, is the only RNAi therapeutic with evidence of immune re-awakening and is currently being evaluated in multiple phase 2 clinical trials. We have an ongoing drug discovery and development program directed to identifying novel, orally active agents for treating coronaviruses, including SARS-CoV-2. We are also exploring oncology applications for our internal PD-L1 portfolio.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34" w:lineRule="exact"/>
        <w:rPr>
          <w:sz w:val="20"/>
          <w:szCs w:val="20"/>
          <w:color w:val="auto"/>
        </w:rPr>
      </w:pPr>
    </w:p>
    <w:p>
      <w:pPr>
        <w:jc w:val="both"/>
        <w:ind w:left="640" w:hanging="319"/>
        <w:spacing w:after="0" w:line="288"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Developing a broad portfolio of compounds that target cHBV. </w:t>
      </w:r>
      <w:r>
        <w:rPr>
          <w:rFonts w:ascii="Arial" w:cs="Arial" w:eastAsia="Arial" w:hAnsi="Arial"/>
          <w:sz w:val="16"/>
          <w:szCs w:val="16"/>
          <w:color w:val="auto"/>
        </w:rPr>
        <w:t>Our HBV product pipeline includes a subcutaneously-delivered RNAi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an oral capsid inhibitor, an oral HBV RNA destabilizer compound and an oral PD-L1 inhibitor. We believe that by combining these compounds to suppress HBV DNA replication and hepatitis B surface antigen (“HBsAg”) expression as well as reawaken patients’ HBV-specific immune response, we can address the most important elements to achieving a functional cure. We define a functional cure as unquantifiable plasma HBV DNA and HBsAg levels more than six months after treatment with or without quantifiable anti-HBsAg antibodies.</w:t>
      </w:r>
    </w:p>
    <w:p>
      <w:pPr>
        <w:spacing w:after="0" w:line="58" w:lineRule="exact"/>
        <w:rPr>
          <w:rFonts w:ascii="Arial" w:cs="Arial" w:eastAsia="Arial" w:hAnsi="Arial"/>
          <w:sz w:val="16"/>
          <w:szCs w:val="16"/>
          <w:color w:val="auto"/>
        </w:rPr>
      </w:pPr>
    </w:p>
    <w:p>
      <w:pPr>
        <w:jc w:val="both"/>
        <w:ind w:left="640"/>
        <w:spacing w:after="0" w:line="281" w:lineRule="auto"/>
        <w:rPr>
          <w:rFonts w:ascii="Arial" w:cs="Arial" w:eastAsia="Arial" w:hAnsi="Arial"/>
          <w:sz w:val="16"/>
          <w:szCs w:val="16"/>
          <w:color w:val="auto"/>
        </w:rPr>
      </w:pPr>
      <w:r>
        <w:rPr>
          <w:rFonts w:ascii="Arial" w:cs="Arial" w:eastAsia="Arial" w:hAnsi="Arial"/>
          <w:sz w:val="16"/>
          <w:szCs w:val="16"/>
          <w:color w:val="auto"/>
        </w:rPr>
        <w:t>AB-729, our proprietary subcutaneously-delivered RNAi therapeutic product candidate that suppresses HBsAg expression, which is thought to be a key prerequisite to enable reawakening of a patient’s immune system to respond to HBV, is currently in one ongoing Phase 1a/1b clinical trial (“AB-729-001”) and three Phase 2a proof-of-concept clinical trials in combination with other agents with potentially complementary mechanisms of action. Preliminary data from AB-729-001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 In addition, when AB-729 and NA therapy were discontinued in the first five patients who met stopping criteria and consented, there was no evidence of virologic or clinical relapse in at least 8-24 weeks of follow-up, which may lead to a functional cure. We anticipate presenting additional long-term off-treatment follow-up data from AB-729-001 at a medical conference later this year.</w:t>
      </w:r>
    </w:p>
    <w:p>
      <w:pPr>
        <w:spacing w:after="0" w:line="64" w:lineRule="exact"/>
        <w:rPr>
          <w:rFonts w:ascii="Arial" w:cs="Arial" w:eastAsia="Arial" w:hAnsi="Arial"/>
          <w:sz w:val="16"/>
          <w:szCs w:val="16"/>
          <w:color w:val="auto"/>
        </w:rPr>
      </w:pPr>
    </w:p>
    <w:p>
      <w:pPr>
        <w:jc w:val="both"/>
        <w:ind w:left="640"/>
        <w:spacing w:after="0" w:line="286" w:lineRule="auto"/>
        <w:rPr>
          <w:rFonts w:ascii="Arial" w:cs="Arial" w:eastAsia="Arial" w:hAnsi="Arial"/>
          <w:sz w:val="16"/>
          <w:szCs w:val="16"/>
          <w:color w:val="auto"/>
        </w:rPr>
      </w:pPr>
      <w:r>
        <w:rPr>
          <w:rFonts w:ascii="Arial" w:cs="Arial" w:eastAsia="Arial" w:hAnsi="Arial"/>
          <w:sz w:val="16"/>
          <w:szCs w:val="16"/>
          <w:color w:val="auto"/>
        </w:rPr>
        <w:t>AB-836, our proprietary next-generation oral capsid inhibitor that suppresses HBV DNA replication, is currently in an ongoing Phase 1a/1b clinical trial (“AB-836-001”). AB-836 is from a novel chemical series differentiated from competitor compounds and has the potential to provide increased efficacy and an enhanced resistance profile. Preliminary data from HBV patients have shown that AB-836 has robust antiviral activity, however, due to unexpected alanine transaminase (“ALT”) increases seen in some patients on the last day of dosing, we plan to conduct an additional Phase 1 trial in healthy volunteers to determine whether or not these ALT elevations are beneficial or could be the result of liver toxicity.</w:t>
      </w:r>
    </w:p>
    <w:p>
      <w:pPr>
        <w:spacing w:after="0" w:line="60"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AB-101, our oral PD-L1 inhibitor that has the potential to reawaken patients’ HBV-specific immune response by inhibiting PD-L1, is advancing through IND-enabling studies that are anticipated to be completed in the second half of 2022. We are also exploring potential oncology applications for our internal PD-L1 portfolio.</w:t>
      </w:r>
    </w:p>
    <w:p>
      <w:pPr>
        <w:spacing w:after="0" w:line="84" w:lineRule="exact"/>
        <w:rPr>
          <w:rFonts w:ascii="Arial" w:cs="Arial" w:eastAsia="Arial" w:hAnsi="Arial"/>
          <w:sz w:val="16"/>
          <w:szCs w:val="16"/>
          <w:color w:val="auto"/>
        </w:rPr>
      </w:pPr>
    </w:p>
    <w:p>
      <w:pPr>
        <w:jc w:val="both"/>
        <w:ind w:left="640"/>
        <w:spacing w:after="0" w:line="299" w:lineRule="auto"/>
        <w:rPr>
          <w:rFonts w:ascii="Arial" w:cs="Arial" w:eastAsia="Arial" w:hAnsi="Arial"/>
          <w:sz w:val="16"/>
          <w:szCs w:val="16"/>
          <w:color w:val="auto"/>
        </w:rPr>
      </w:pPr>
      <w:r>
        <w:rPr>
          <w:rFonts w:ascii="Arial" w:cs="Arial" w:eastAsia="Arial" w:hAnsi="Arial"/>
          <w:sz w:val="16"/>
          <w:szCs w:val="16"/>
          <w:color w:val="auto"/>
        </w:rPr>
        <w:t>AB-161, our next-generation oral HBV specific RNA destabilizer, is advancing through IND-enabling studies that are anticipated to be completed in the second half of 2022. We have conducted extensive non-clinical safety evaluations with AB-161 that gives us confidence in this molecule’s ability to circumvent the peripheral neuropathy findings seen in non-clinical safety studies with our first-generation oral RNA destabilizer, AB-452.</w:t>
      </w:r>
    </w:p>
    <w:p>
      <w:pPr>
        <w:spacing w:after="0" w:line="173" w:lineRule="exact"/>
        <w:rPr>
          <w:rFonts w:ascii="Arial" w:cs="Arial" w:eastAsia="Arial" w:hAnsi="Arial"/>
          <w:sz w:val="16"/>
          <w:szCs w:val="16"/>
          <w:color w:val="auto"/>
        </w:rPr>
      </w:pPr>
    </w:p>
    <w:p>
      <w:pPr>
        <w:ind w:left="640" w:hanging="319"/>
        <w:spacing w:after="0" w:line="248"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Combining therapeutic product candidates with complementary mechanisms of action to find a functional cure for people with cHBV. </w:t>
      </w:r>
      <w:r>
        <w:rPr>
          <w:rFonts w:ascii="Arial" w:cs="Arial" w:eastAsia="Arial" w:hAnsi="Arial"/>
          <w:sz w:val="18"/>
          <w:szCs w:val="18"/>
          <w:color w:val="auto"/>
        </w:rPr>
        <w:t>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our proprietary product candidates AB-729, AB-836, AB-101 and AB-161, along with existing approved therapies, may provide our first proprietary combination therapy for patients with cHBV. In-line with our strategy to position AB-729 as a potential cornerstone therapeutic in future HBV combination regimens, and to help guide future development of combination therapies of AB-729 with other compounds from our proprietary HBV portfolio, we are evaluating AB-729 in combination with other agents with potentially complementary mechanisms of action, including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are currently enrolling patients with cHBV in a Phase 2a proof-of-concept clinical trial (“AB-729-001”) to evaluate AB-729 in combination with ongoing standard-of-care nucleos(t)ide analogues (“NA”) therapy and short courses of Peg-IFNα-2a, with preliminary data anticipated in the second half of 2022.</w:t>
      </w:r>
    </w:p>
    <w:p>
      <w:pPr>
        <w:spacing w:after="0" w:line="84" w:lineRule="exact"/>
        <w:rPr>
          <w:rFonts w:ascii="Arial" w:cs="Arial" w:eastAsia="Arial" w:hAnsi="Arial"/>
          <w:sz w:val="18"/>
          <w:szCs w:val="18"/>
          <w:color w:val="auto"/>
        </w:rPr>
      </w:pPr>
    </w:p>
    <w:p>
      <w:pPr>
        <w:jc w:val="both"/>
        <w:ind w:left="1260" w:hanging="309"/>
        <w:spacing w:after="0" w:line="286" w:lineRule="auto"/>
        <w:tabs>
          <w:tab w:leader="none" w:pos="125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Through our collaboration with Assembly BioSciences, Inc. (“Assembly”), enrollment is complete and dosing is continuing in a Phase 2a proof-of-concept clinical trial evaluating a triple combination of AB-729, Assembly’s lead HBV core inhibitor (capsid inhibitor) product candidate, vebicorvir (“VBR”), and NA therapy in patients with cHBV. In July 2022, Assembly announced its plans to discontinue development of VBR. Despite this, in consultation with Assembly Biosciences, we plan to continue dosing patients in the Phase 2a proof-of-concept clinical trial in order to fully and accurately assess the results. Preliminary data from the trial is expected in the second half of 2022.</w:t>
      </w:r>
    </w:p>
    <w:p>
      <w:pPr>
        <w:spacing w:after="0" w:line="60" w:lineRule="exact"/>
        <w:rPr>
          <w:rFonts w:ascii="Arial" w:cs="Arial" w:eastAsia="Arial" w:hAnsi="Arial"/>
          <w:sz w:val="16"/>
          <w:szCs w:val="16"/>
          <w:color w:val="auto"/>
        </w:rPr>
      </w:pPr>
    </w:p>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our collaboration with Vaccitech plc (“Vaccitech”), we are enrolling patients in a Phase 2a clinical trial (“AB-729-202”) to evaluate a triple combination of AB-729 with Vaccitech’s VTP-300, a proprietary T cell stimulating therapeutic vaccine, and NA therapy for the treatment of patients with cHBV.</w:t>
      </w:r>
    </w:p>
    <w:p>
      <w:pPr>
        <w:spacing w:after="0" w:line="209" w:lineRule="exact"/>
        <w:rPr>
          <w:rFonts w:ascii="Arial" w:cs="Arial" w:eastAsia="Arial" w:hAnsi="Arial"/>
          <w:sz w:val="18"/>
          <w:szCs w:val="18"/>
          <w:color w:val="auto"/>
        </w:rPr>
      </w:pPr>
    </w:p>
    <w:p>
      <w:pPr>
        <w:ind w:left="640" w:hanging="319"/>
        <w:spacing w:after="0" w:line="282"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Advancing small molecule antiviral product candidates to treat COVID-19 and future coronavirus outbreaks. </w:t>
      </w:r>
      <w:r>
        <w:rPr>
          <w:rFonts w:ascii="Arial" w:cs="Arial" w:eastAsia="Arial" w:hAnsi="Arial"/>
          <w:sz w:val="16"/>
          <w:szCs w:val="16"/>
          <w:color w:val="auto"/>
        </w:rPr>
        <w:t>This program is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and development of new molecular entities for treating coronaviruses (including COVID-19) that address specific viral targets including the nsp12 viral polymerase and the nsp5 viral protease. We see an opportunity to pursue a potential combination therapy to achieve better patient treatment outcomes and use in prophylactic settings. Through our collaboration with X-Chem, Inc. (“X-Chem”) and Proteros biostructures GmbH (“Proteros”), we have identified and obtained a worldwide exclusive license to several molecules that inhibit the SARS-CoV-2 nsp5 main protease (“Mpro”), a validated target for the treatment of COVID-19 and potential future coronavirus outbreaks. We expect to nominate a candidate that inhibits Mpro in the second half of 2022 and advance that compound into IND-enabling studies. We are also continuing lead optimization activities for an nsp12 viral polymerase candidate.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product pipeline includes multiple product candidates that target various steps in the HBV viral lifecycle and pan-coronavirus compounds that target essential enzymes for replication, the viral protease (Mpro) and polymerase (nsp12).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5708650" cy="2620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8650"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explore expansion opportunities for our pipeline through internal discovery and development activities and through potential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AB-729 is a subcutaneously-delivered RNAi therapeutic targeted to hepatocytes using our proprietary covalently conjugated GalNAc delivery technology. AB-729 reduces all HBV antigens and inhibits viral replication. AB-729-001 is our three-part clinical trial designed to investigate the safety, tolerability, pharmacokinetics, and pharmacodynamics of single- and multi-dose AB-729 in healthy subjects and in cHBV patients and to determine the most appropriate doses and dosing intervals to take forward into Phase 2 clinical development.</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 1 of the trial dosed healthy subjects, and upon completion, supported advancing doses ranging from 60 mg to 180 mg into Part 2. Part 2 of the trial dosed patients with cHBV with single doses (60, 90 and 180 mg) of AB-729, and upon completion, showed that single doses of AB-729 result in comparable mean HBsAg declines at week 12 followed by a sustained plateau phase. Part 3 of the trial dosed HBV DNA negative and positive patients with multiple doses of AB-729 every 4, 8 or twelve weeks. Dosing of patients in Part 3 has been completed and we are continuing to follow these patients for one year. A total of 41 patients were dosed with AB-729 during Parts 2 and 3 of this Phase 1a/1b clinical trial.</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2022, we presented a poster at the 2022 European Association for the Study of the Liver (EASL) International Liver Congress™ (ILC) highlighting the most recent data from Part 3 of AB-729-001. The new clinical data for AB-729 continues to support its development as a potential cornerstone agent for the treatment of cHBV infection. In addition, when AB-729 and NA therapy were discontinued in the first five patients who met stopping criteria and consented, there was no evidence of virologic or clinical relapse in at least 8-24 weeks of follow-up, which may lead to a functional cure. The mean HBsAg for the five patients at baseline was 2887 IU/mL (range 1392-6765) compared to 69 IU/mL (range 4.58-150.1) at the last visit after discontinuing all treatment. As of the date of the poster presentation at the 2022 EASL ILC, all five patients remained off all treatment, and all had HBsAg levels below pre-baseline levels. None of the patients had met clinical or virologic relapse criteria. There were no adverse events (AEs) reported, no ALT elevations observed, and HBV DNA levels remained either less than the LLOQ (lower limit of quantification) or had transiently risen and subsequently decreased without intervention.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Repeat dosing of 60 mg and 90 mg of AB-729 resulted in robust mean declines in HBsAg in HBeAg positive/negative and HBV DNA positive/negative patients that were sustained up to 48 weeks, with no statistically significant differences observed to date between the 60 mg and 90 mg dose and/or dosing intervals.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reported data for patients from Cohorts E, F, G, I and J showed:</w:t>
      </w:r>
    </w:p>
    <w:p>
      <w:pPr>
        <w:spacing w:after="0" w:line="108" w:lineRule="exact"/>
        <w:rPr>
          <w:sz w:val="20"/>
          <w:szCs w:val="20"/>
          <w:color w:val="auto"/>
        </w:rPr>
      </w:pPr>
    </w:p>
    <w:p>
      <w:pPr>
        <w:ind w:left="640" w:hanging="319"/>
        <w:spacing w:after="0" w:line="26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76% (26 of 34) patients had HBsAg &lt;100 IU/mL at some point during the trial and 50% (16 out of 32) of patients maintained HBsAg levels below 100 IU/mL 24 weeks after their last AB-729 dose;</w:t>
      </w:r>
    </w:p>
    <w:p>
      <w:pPr>
        <w:spacing w:after="0" w:line="75" w:lineRule="exact"/>
        <w:rPr>
          <w:rFonts w:ascii="Arial" w:cs="Arial" w:eastAsia="Arial" w:hAnsi="Arial"/>
          <w:sz w:val="18"/>
          <w:szCs w:val="18"/>
          <w:color w:val="auto"/>
        </w:rPr>
      </w:pPr>
    </w:p>
    <w:p>
      <w:pPr>
        <w:ind w:left="640" w:right="440" w:hanging="319"/>
        <w:spacing w:after="0" w:line="229"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Most patients had a robust decline in HBsAg that was maintained well after cessation of AB-729 treatment, mean log change from baseline to 24 weeks post last dose was approximately -1.5 log</w:t>
      </w:r>
      <w:r>
        <w:rPr>
          <w:rFonts w:ascii="Arial" w:cs="Arial" w:eastAsia="Arial" w:hAnsi="Arial"/>
          <w:sz w:val="22"/>
          <w:szCs w:val="22"/>
          <w:color w:val="auto"/>
          <w:vertAlign w:val="subscript"/>
        </w:rPr>
        <w:t>10</w:t>
      </w:r>
      <w:r>
        <w:rPr>
          <w:rFonts w:ascii="Arial" w:cs="Arial" w:eastAsia="Arial" w:hAnsi="Arial"/>
          <w:sz w:val="18"/>
          <w:szCs w:val="18"/>
          <w:color w:val="auto"/>
        </w:rPr>
        <w:t xml:space="preserve"> across cohorts;</w:t>
      </w:r>
    </w:p>
    <w:p>
      <w:pPr>
        <w:spacing w:after="0" w:line="86"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Repeat dosing of AB-729 continues to be generally safe and well-tolerated with only transient Grade 1 or 2 ALT elevations;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AB-729 continues to result in HBV-specific T-cell immune restoration and decrease of exhausted T-cells.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reported data for patients from Cohort K, which included HBeAg positive patients only, showed:</w:t>
      </w:r>
    </w:p>
    <w:p>
      <w:pPr>
        <w:spacing w:after="0" w:line="108"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seven patients reached HBsAg levels &lt;100 IU/ml during AB-729 treatment or follow-up;</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Two patients reached HBsAg levels &lt;LLOQ at one or more visits;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mean (SE) log10 change from baseline in HBeAg at end of treatment was -0.94(0.25) IU/mL.</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We anticipate presenting additional long-term off-treatment follow-up data from Part 3 of this clinical trial at a medical conference later this year.</w:t>
      </w:r>
    </w:p>
    <w:p>
      <w:pPr>
        <w:spacing w:after="0" w:line="2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efficacy and safety data for AB-729, derived from up to one year of dosing, supported our view that 60 mg every 8 weeks was an appropriate dose to move forward in our Phase 2a clinical trials. To advance our efforts to position AB-729 as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jc w:val="both"/>
        <w:spacing w:after="0" w:line="324" w:lineRule="auto"/>
        <w:rPr>
          <w:sz w:val="20"/>
          <w:szCs w:val="20"/>
          <w:color w:val="auto"/>
        </w:rPr>
      </w:pPr>
      <w:r>
        <w:rPr>
          <w:rFonts w:ascii="Arial" w:cs="Arial" w:eastAsia="Arial" w:hAnsi="Arial"/>
          <w:sz w:val="16"/>
          <w:szCs w:val="16"/>
          <w:color w:val="auto"/>
        </w:rPr>
        <w:t>potential cornerstone therapeutic in future HBV combination regimens, we are evaluating AB-729 in several Phase 2a proof-of-concept combination clinical trials with other agents with potentially complementary mechanisms of action via clinical collaborations with other companies as described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 (AB-729-201)</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FDA authorization in July 2021 to proceed with our Investigational New Drug (IND) application, we initiated AB-729-201, a randomized, open label, multicenter Phase 2a proof-of-concept clinical trial investigating the safety and antiviral activity of AB-729 in combination with ongoing NA therapy and short courses of Peg-IFNα-2a in patients with cHBV. We are currently enrolling up to 40 stably NA-suppressed, HBeAg negative, non-cirrhotic cHBV patients.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After 24-weeks of dosing with AB-729 (60 mg every 8 weeks), patients will be randomized into one of four groups to receive either AB-729 plus NA therapy plus Peg-IFNα-2a or NA therapy plus Peg-IFNα-2a for either 24 or 12 weeks. After completion of the assigned Peg-IFNα-2a treatment period, all patients will remain on NA therapy for the initial 24-week follow-up period, and will then discontinue NA treatment, provided they meet certain stopping criteria. If patients stop NA therapy, they will enter an intensive follow-up period for 48 weeks. We anticipate preliminary data from the AB-729-201 clinical trial in the second half of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Through a clinical collaboration agreement with Assembly that we entered into in August 2020, Assembly is evaluating AB-729 in combination with its HBV core inhibitor (capsid inhibitor) candidate VBR and standard-of-care NA therapy for the treatment of patients with cHBV. The randomized, multi-center, open-label Phase 2a proof-of-concept clinical trial was designed to evaluate the safety, pharmacokinetics, and antiviral activity of the triple combination of AB-729, VBR, and an NA compared to the double combinations of VBR with an NA and AB-729 with an NA. The clinical trial was designed to enroll approximately 60 virologically-suppressed patients with HBeAg negative cHBV in the first cohort of the trial. Patients are dosed for 48 weeks with AB-729 60 mg subcutaneously every 8 weeks and VBR (300 mg orally once daily), with a 48-week follow-up period. Both parties will share in the costs of the collaboration. Assembly has completed enrollment in the clinical trial. In July 2022, Assembly announced its plans to discontinue development of VBR. Despite this, in consultation with Assembly Biosciences, we plan to continue dosing patients in the Phase 2a proof-of-concept clinical trial in order to fully and accurately assess the results. Preliminary data from the trial is expected in the second half of 2022. Except to the extent necessary to carry out Assembly’s responsibilities with respect to the collaboration trial, we have not provided any license grant to Assembly for use of AB-729.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Vaccitech (AB-729-202)</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Through a clinical collaboration agreement with Vaccitech that we entered into in July 2021, we are enrolling patients in AB-729-202, a Phase 2a proof-of-concept clinical trial evaluating the safety, antiviral activity and immunogenicity of Vaccitech’s VTP-300, a proprietary T cell stimulating therapeutic vaccine, administered after AB-729 in NrtI-suppressed patients with cHBV. The trial is designed to enroll 40 NA-suppressed, HBeAg negative or positive, non-cirrhotic cHBV patients. All patients will receive AB-729 (60mg every 8 weeks) plus NA therapy for 24 weeks. At week 24, treatment with AB-729 will stop. Patients will continue only their NA therapy and will be randomized to receive VTP-300 or placebo for an additional 24 weeks. At week 48, all patients will be evaluated for eligibility to either discontinue or remain on NA therapy. This clinical trial will be managed by us, subject to oversight by a joint development committee comprised of representatives from both companies. We and Vaccitech retain full rights to our respective product candidates and will split all costs associated with the clinical trial. Pursuant to the agreement, the parties intend to undertake a larger Phase 2b clinical trial depending on the results of the initial Phase 2a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Antios</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terminated our clinical collaboration agreement with Antios that we entered into in June 2021. Antios completed enrollment in a single cohort of its ongoing Antios Phase 2a ANTT201 clinical trial evaluating its proprietary Active Site Polymerase Inhibitor Nucleotide (ASPIN), ATI-2173, in combination with AB-729 and Viread (tenofovir disoproxil fumarate), a nucleos(t)ide reverse transcriptase inhibitor which is currently approved by the FDA, for the treatment of patients with cHBV. Antios was responsible for conducting this clinical trial and for the costs of adding this single cohort to its existing clinical trial. We were responsible for the manufacture and supply of AB-729. Except to the extent necessary to carry out Antios’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responsibilities with respect to the collaboration trial, we did not provide any license grant to Antios for use of AB-729.</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majority of patients in this cohort were enrolled in Ukraine, which is currently in a state of war, and as a result these patients were lost to follow-up before completing the clinical trial. Antios recently terminated this clinical trial and we may report partial data on this cohort.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 (AB-836)</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AB-836 is a capsid inhibitor from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enrolled patients in a double-blind, randomized, placebo-controlled Phase 1a/1b clinical trial (“AB-836-001”) designed to evaluate the safety, tolerability, pharmacokinetics and antiviral activity of single and multiple doses of AB-836 in healthy subjects and patients with cHBV. The trial consists of three parts. Part 1 evaluated alternating single doses of AB-836 or placebo ranging from 10 mg to 175 mg in a fasted or fed state in healthy subjects. Part 2 evaluated multiple ascending doses of 50 mg, 100 mg or 150 mg of AB-836 or placebo once daily for 10 days in healthy subjects. Part 3, which is still on-going, has completed enrollment in HBV DNA positive cHBV patients who are HBeAg positive or negative and received either 50 mg, 100 mg or 200 mg of AB-836 or placebo once daily for 28 days.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June 2022, we presented a poster at the 2022 EASL ILC highlighting the most recent data from Part 3 of AB-836-001 showing that the 100mg and 200mg doses of AB-836 provided potent inhibition of HBV replication with mean declines in HBV DNA at Day 28 of 3.04 and 3.55 log</w:t>
      </w:r>
      <w:r>
        <w:rPr>
          <w:rFonts w:ascii="Arial" w:cs="Arial" w:eastAsia="Arial" w:hAnsi="Arial"/>
          <w:sz w:val="21"/>
          <w:szCs w:val="21"/>
          <w:color w:val="auto"/>
          <w:vertAlign w:val="subscript"/>
        </w:rPr>
        <w:t>10</w:t>
      </w:r>
      <w:r>
        <w:rPr>
          <w:rFonts w:ascii="Arial" w:cs="Arial" w:eastAsia="Arial" w:hAnsi="Arial"/>
          <w:sz w:val="17"/>
          <w:szCs w:val="17"/>
          <w:color w:val="auto"/>
        </w:rPr>
        <w:t xml:space="preserve"> IU/mL, respectively. From a safety standpoint, there were no deaths or SAEs observed. Two HBeAg positive patients in the 100mg dose cohort had transient Grade 3 ALT elevations that resolved with continued dosing and were not considered treatment emergent adverse events (TEAEs). Two patients in the 200mg cohort had Grade 3 and Grade 4 ALT elevations on the last day of dosing (Day 28) that returned to baseline during follow up, which were reported as TEAEs. The Grade 3 and Grade 4 ALT elevations seen in the 200 mg cohort were accompanied by serum IP-10 increases, an exploratory and hence not a definitive cytokine biomarker, which we had previously observed to be associated with potential liver toxicity in the capsid inhibitor space. All patients with ALT elevations were asymptomatic and none had changes in bilirubin or met drug-induced liver injury (DILI) criteria. There were no other clinically significant lab abnormalities, ECG or vital sign changes observed.</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these ALT findings, we plan to conduct an additional Phase 1 trial in healthy volunteers to determine whether or not these ALT elevations are beneficial or could be the result of liver toxicity, before continuing to dose cHBV patients. We will provide an update with respect to the status and timing of this clinical trial in the second half of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 (AB-101)</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PD-L1 inhibitors complement our pipeline of agents and could potentially be an important part of a combination therapy for the treatment of HBV by reawakening the immune system. Highly functional HBV-specific T cells within our immune system are believed to be required for long-term HBV viral resolution. However, HBV-specific T cells become functionally defective, and greatly reduced in their frequency during cHBV. One approach to boost HBV-specific T cells is to prevent PD-L1 proteins from binding to PD-1 and thus inhibiting the HBV-specific immune function of T cells.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AB-101 is our oral PD-L1 inhibitor, which we believe has the potential to reawaken patients’ HBV-specific immune response. In June 2022, we presented a poster at the 2022 EASL ILC highlighting data from a study that was designed to assess the preclinical activity of AB-101 and the compound’s ability to reinvigorate patient HBV-specific T-cells. Studies were conducted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18"/>
          <w:szCs w:val="18"/>
          <w:color w:val="auto"/>
        </w:rPr>
        <w:t xml:space="preserve">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w:t>
      </w:r>
      <w:r>
        <w:rPr>
          <w:rFonts w:ascii="Arial" w:cs="Arial" w:eastAsia="Arial" w:hAnsi="Arial"/>
          <w:sz w:val="18"/>
          <w:szCs w:val="18"/>
          <w:i w:val="1"/>
          <w:iCs w:val="1"/>
          <w:color w:val="auto"/>
        </w:rPr>
        <w:t>in vitro</w:t>
      </w:r>
      <w:r>
        <w:rPr>
          <w:rFonts w:ascii="Arial" w:cs="Arial" w:eastAsia="Arial" w:hAnsi="Arial"/>
          <w:sz w:val="18"/>
          <w:szCs w:val="18"/>
          <w:color w:val="auto"/>
        </w:rPr>
        <w:t>. This favorable preclinical profile supports further development of AB-101 as a therapeutic modality for cHBV treatment. We anticipate completing IND-enabling studies for AB-101 in the second half of 2022.</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also exploring potential oncology applications for our internal PD-L1 portfolio. Preclinical data was selected for publication at the American Society of Clinical Oncology (ASCO) Annual Meeting in June 2022 showing that our oral small-molecule PD-L1 inhibitors in development, which possess a novel mechanism of action, have the ability to mediate T-cell activation in primary human immune cells. The anti-tumor efficacy seen in vivo was comparable to anti-PD-L1 antibodies. The data is published in the Journal of Clinical Oncology.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 (AB-161)</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AB-161 is our next-generation oral HBV specific RNA destabilizer. We have conducted extensive non-clinical safety evaluations with AB-161 that provide confidence in this molecule’s ability to circumvent the peripheral neuropathy findings seen in non-clinical safety studies with our first-generation oral RNA destabilizer, AB-452. We anticipate completing IND-enabling studies for AB-161 in the second half of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our core mission is to find a cure for HBV, the magnitude of the coronavirus pandemic is undeniable. Given our science team’s proven expertise in the discovery of new antiviral therapies, in 2020 we initiated a drug discovery effort for treating coronaviruses, including COVID-19.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Our COVID-19 research program is focused on the discovery and development of new molecular entities that address specific viral targets including the nsp12 viral polymerase and the nsp5 viral protease. These targets are essential viral proteins which our science team has experience in targeting. We see an opportunity to pursue a potential combination therapy to achieve better patient treatment outcomes and use in prophylactic settings.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X-Chem, Inc. and Proteros biostructures GmbH</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March 2021, we entered into a discovery research and license agreement, as amended,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us to X-Chem and Proteros upon satisfaction of certain development, regulatory and commercial milestones, as well as royalties on sales. Through this collaboration, we have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We expect to nominate an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product candidate in the second half of 2022 and advance into IND-enabling studies. We are also continuing lead optimization activities for an Nsp12 viral polymerase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Collaborations and Royalty Entitlements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2021, we entered into a technology transfer and license agreement (the “License Agreement”) with Qilu Pharmaceutical Co., Ltd.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approval of a product manufactured by Qilu, or its designated contract manufacturing organization, by National Medical Products Administration in China for AB-729.</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Alnylam’s global net sales of ONPATTRO.</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June 30, 2022, an aggregate of $14.2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million of royalties have been collected by OMERS.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us and was not part of the royalty entitlement sale to 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Genevant Sciences, Ltd.</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June 30, 2022,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these patents, which collectively represent only a fraction of our extensive LNP patent portfolio, is as follows: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‘127 Patent</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No hearing date has been set for this matter.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‘435 Patent</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An oral hearing on the ‘435 Patent was held on October 7, 2021. On December 1, 2021, the Federal Circuit issued its opinion, leaving intact the PTAB’s holding regarding the validity of certain claims in the ‘435 patent and the invalidity of other claims in the ‘435 patent. The decision in the ‘435 appeal was rendered final by mandate on January 25,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‘069 Patent</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we filed our responsive brief on May 11, 2021, and Moderna filed its reply brief on July 1, 2021. An oral hearing on the ‘069 Patent was held on October 7, 2021, in a joint hearing with the hearing regarding the ‘435 patent, before the U.S. Court of Appeals for the Federal Circuit. On December 1, 2021, the Federal Circuit also issued its ruling with respect to the ‘069 patent, affirming the PTAB’s finding that all claims were valid. The Federal Circuit’s decision in the ‘069 appeal was rendered final by mandate on January 10,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 to the appeals on September 18, 2020. On March 22, 2022, Moderna filed further written submissions. The date for the oral proceedings has not been set.</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The motion is now fully briefed. No oral argument date has been set and no case schedule is yet in place.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18, 2022, Acuitas Therapeutics Inc. (“Acuitas”) filed a lawsuit against us and Genevant in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Arbutus and Genevant sought a pre-motion conference concerning their anticipated motion to dismiss all of Acuitas’ claims due to lack of subject matter jurisdiction. The request for a pre-motion conference was granted, but the case was subsequently re-assigned to a new judge who has not yet set a new pre-motion conference date. No case schedule is yet in place.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1" w:name="page32"/>
    <w:bookmarkEnd w:id="31"/>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4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82"/>
        </w:trPr>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20,971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38,760</w:t>
            </w:r>
          </w:p>
        </w:tc>
      </w:tr>
      <w:tr>
        <w:trPr>
          <w:trHeight w:val="217"/>
        </w:trPr>
        <w:tc>
          <w:tcPr>
            <w:tcW w:w="4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17"/>
        </w:trPr>
        <w:tc>
          <w:tcPr>
            <w:tcW w:w="4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(19,387)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r>
      <w:tr>
        <w:trPr>
          <w:trHeight w:val="223"/>
        </w:trPr>
        <w:tc>
          <w:tcPr>
            <w:tcW w:w="4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40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(14,192)</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(19,387)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(35,768)</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(6,478)</w:t>
            </w:r>
          </w:p>
        </w:tc>
      </w:tr>
      <w:tr>
        <w:trPr>
          <w:trHeight w:val="217"/>
        </w:trPr>
        <w:tc>
          <w:tcPr>
            <w:tcW w:w="440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 attributable to common shares</w:t>
            </w:r>
          </w:p>
        </w:tc>
        <w:tc>
          <w:tcPr>
            <w:tcW w:w="98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(14,192)</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(22,653)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0"/>
              </w:rPr>
              <w:t>Three Months Ended June 30,</w:t>
            </w: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of Total</w:t>
            </w:r>
          </w:p>
        </w:tc>
        <w:tc>
          <w:tcPr>
            <w:tcW w:w="40" w:type="dxa"/>
            <w:vAlign w:val="bottom"/>
          </w:tcPr>
          <w:p>
            <w:pPr>
              <w:spacing w:after="0"/>
              <w:rPr>
                <w:sz w:val="15"/>
                <w:szCs w:val="15"/>
                <w:color w:val="auto"/>
              </w:rPr>
            </w:pPr>
          </w:p>
        </w:tc>
      </w:tr>
      <w:tr>
        <w:trPr>
          <w:trHeight w:val="177"/>
        </w:trPr>
        <w:tc>
          <w:tcPr>
            <w:tcW w:w="5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6"/>
              </w:rPr>
              <w:t>(in thousands, except percentages)</w:t>
            </w: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40" w:type="dxa"/>
            <w:vAlign w:val="bottom"/>
          </w:tcPr>
          <w:p>
            <w:pPr>
              <w:spacing w:after="0"/>
              <w:rPr>
                <w:sz w:val="19"/>
                <w:szCs w:val="19"/>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9"/>
                <w:szCs w:val="19"/>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12 %</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49 %</w:t>
            </w:r>
          </w:p>
        </w:tc>
        <w:tc>
          <w:tcPr>
            <w:tcW w:w="40" w:type="dxa"/>
            <w:vAlign w:val="bottom"/>
          </w:tcPr>
          <w:p>
            <w:pPr>
              <w:spacing w:after="0"/>
              <w:rPr>
                <w:sz w:val="19"/>
                <w:szCs w:val="19"/>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r>
      <w:tr>
        <w:trPr>
          <w:trHeight w:val="442"/>
        </w:trPr>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2"/>
        </w:trPr>
        <w:tc>
          <w:tcPr>
            <w:tcW w:w="5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(in thousands, except percentages)</w:t>
            </w: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51 %</w:t>
            </w:r>
          </w:p>
        </w:tc>
      </w:tr>
      <w:tr>
        <w:trPr>
          <w:trHeight w:val="224"/>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Qilu Pharmaceutical Co., Ltd.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23"/>
        </w:trPr>
        <w:tc>
          <w:tcPr>
            <w:tcW w:w="5120" w:type="dxa"/>
            <w:vAlign w:val="bottom"/>
          </w:tcPr>
          <w:p>
            <w:pPr>
              <w:ind w:left="120"/>
              <w:spacing w:after="0"/>
              <w:rPr>
                <w:sz w:val="20"/>
                <w:szCs w:val="20"/>
                <w:color w:val="auto"/>
              </w:rPr>
            </w:pPr>
            <w:r>
              <w:rPr>
                <w:rFonts w:ascii="Arial" w:cs="Arial" w:eastAsia="Arial" w:hAnsi="Arial"/>
                <w:sz w:val="18"/>
                <w:szCs w:val="18"/>
                <w:color w:val="auto"/>
              </w:rPr>
              <w:t>Other milestone and royalty payments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2 %</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Alnylam Pharmaceuticals, Inc.</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47 %</w:t>
            </w: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Total revenue increased $11.9 million and $22.4 million for the three and six months ended June 30, 2022, respectively, compared to the same periods in 2021, primarily due to license revenue recognized related to our progress towards the satisfaction of our performance obligations with respect to the technology transfer and licensing agreement with Qilu, which closed in January 2022, as well as an increase in license royalty revenue from Alnylam and Acuitas due to the growth of Alnylam’s sales of ONPATTRO.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Operating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5"/>
                <w:szCs w:val="15"/>
                <w:color w:val="auto"/>
              </w:rPr>
            </w:pP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r>
      <w:tr>
        <w:trPr>
          <w:trHeight w:val="442"/>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67"/>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center"/>
              <w:ind w:left="67"/>
              <w:spacing w:after="0"/>
              <w:rPr>
                <w:sz w:val="20"/>
                <w:szCs w:val="20"/>
                <w:color w:val="auto"/>
              </w:rPr>
            </w:pPr>
            <w:r>
              <w:rPr>
                <w:rFonts w:ascii="Arial" w:cs="Arial" w:eastAsia="Arial" w:hAnsi="Arial"/>
                <w:sz w:val="14"/>
                <w:szCs w:val="14"/>
                <w:b w:val="1"/>
                <w:bCs w:val="1"/>
                <w:color w:val="auto"/>
                <w:w w:val="86"/>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80 %</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29,581</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8,356</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22 %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51,905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38,760</w:t>
            </w:r>
          </w:p>
        </w:tc>
        <w:tc>
          <w:tcPr>
            <w:tcW w:w="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Research and development expenses increased $7.1 million and $11.8 million for the three and six months ended June 30, 2022, respectively, compared to the same periods in 2021. The increase was due primarily to an increase in expenses for our ongoing AB-729 Phase 2a clinical trials, including our collaborations with Assembly and Vaccitech, and an increase in expenses for our early-stage development programs, including AB-101 and AB-161.</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General and administrative expenses increased $0.7 million and $1.7 million for the three and six months ended June 30, 2022, respectively, as compared to the same periods in 2021, due primarily to increases in employee compensation costs, professional fees, and non-cash stock 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AB-729 continues to progress through Phase 2a proof-of-concept clinical trials, we adjust our assumption regarding probability of success commensurate with the progression of the program, which will increase the fair value of the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other income (loss)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3720" w:type="dxa"/>
            <w:vAlign w:val="bottom"/>
          </w:tcPr>
          <w:p>
            <w:pPr>
              <w:spacing w:after="0"/>
              <w:rPr>
                <w:sz w:val="16"/>
                <w:szCs w:val="16"/>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183"/>
        </w:trPr>
        <w:tc>
          <w:tcPr>
            <w:tcW w:w="3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72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(1,450)</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interest income for the three and six months ended June 30, 2022 compared to the same periods in 2021 was due primarily to higher interest earned on higher average cash and investment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for both the three and six months ended June 30, 2022 and 2021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2022, we recognized income tax expense of $4.4 million for withholding taxes paid to the Chinese taxing authority by Qilu on our behalf in connection with the upfront license fee Qilu paid us.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Six Months Ended June 30,</w:t>
            </w:r>
          </w:p>
        </w:tc>
        <w:tc>
          <w:tcPr>
            <w:tcW w:w="1360" w:type="dxa"/>
            <w:vAlign w:val="bottom"/>
          </w:tcPr>
          <w:p>
            <w:pPr>
              <w:spacing w:after="0"/>
              <w:rPr>
                <w:sz w:val="15"/>
                <w:szCs w:val="15"/>
                <w:color w:val="auto"/>
              </w:rPr>
            </w:pPr>
          </w:p>
        </w:tc>
      </w:tr>
      <w:tr>
        <w:trPr>
          <w:trHeight w:val="37"/>
        </w:trPr>
        <w:tc>
          <w:tcPr>
            <w:tcW w:w="66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3"/>
        </w:trPr>
        <w:tc>
          <w:tcPr>
            <w:tcW w:w="6620" w:type="dxa"/>
            <w:vAlign w:val="bottom"/>
          </w:tcPr>
          <w:p>
            <w:pPr>
              <w:spacing w:after="0"/>
              <w:rPr>
                <w:sz w:val="15"/>
                <w:szCs w:val="15"/>
                <w:color w:val="auto"/>
              </w:rPr>
            </w:pP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2021</w:t>
            </w:r>
          </w:p>
        </w:tc>
      </w:tr>
      <w:tr>
        <w:trPr>
          <w:trHeight w:val="183"/>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5"/>
                <w:szCs w:val="15"/>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shd w:val="clear" w:color="auto" w:fill="CCEEFF"/>
          </w:tcPr>
          <w:p>
            <w:pPr>
              <w:jc w:val="right"/>
              <w:ind w:right="117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5,005</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license revenue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operating items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(31,890)</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(73,886)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(20,526)</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 pursuant to Share Purchase Agreement</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provided by other financing activities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31,163</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31,163</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662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Decrease in cash and cash equivalents</w:t>
            </w:r>
          </w:p>
        </w:tc>
        <w:tc>
          <w:tcPr>
            <w:tcW w:w="1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(21,297)</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109,282</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52,251</w:t>
            </w:r>
          </w:p>
        </w:tc>
      </w:tr>
      <w:tr>
        <w:trPr>
          <w:trHeight w:val="217"/>
        </w:trPr>
        <w:tc>
          <w:tcPr>
            <w:tcW w:w="66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and cash equivalents, end of period</w:t>
            </w:r>
          </w:p>
        </w:tc>
        <w:tc>
          <w:tcPr>
            <w:tcW w:w="1380" w:type="dxa"/>
            <w:vAlign w:val="bottom"/>
            <w:shd w:val="clear" w:color="auto" w:fill="CCEEFF"/>
          </w:tcPr>
          <w:p>
            <w:pPr>
              <w:jc w:val="right"/>
              <w:ind w:right="117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30,954</w:t>
            </w:r>
          </w:p>
        </w:tc>
      </w:tr>
    </w:tbl>
    <w:p>
      <w:pPr>
        <w:spacing w:after="0" w:line="30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six months ended June 30, 2022, $0.3 million of cash was provided by operating activities compared to $31.9 million used in operating activities for the six months ended June 30, 2021, an increase of $32.2 million. The increase was due primarily to a January 2022 upfront cash payment of $40.0 million from Qilu and a $4.0 million premium paid by Qilu as part of their $15.0 million equity investment. These cash inflows were partially offset by $43.7 million of cash used in operations.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six months ended June 30, 2022, net cash used in investing activities was $73.9 million, consisting primarily of additional investments in marketable securities of $84.6 million, partially offset by maturities of investments in marketable securities of $11.0 million. For the six months ended June 30, 2021, net cash provided by investing activities was $20.5 million, which consisted primarily of maturities of investments in marketable securities of $34.4 million, partially offset by additional investments in marketable securities of $54.1 million.</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six months ended June 30, 2022, net cash provided by financing activities was $11.6 million, which included $11.0 million for the fair value of the shares purchased by Qilu as part of their $15.0 million equity investment. The remaining $4.0 million was a premium paid by Qilu on the equity investment and was allocated to deferred revenue. For the six months ended June 30, 2021, net cash provided by financing activities was $31.2 million, which was primarily driven by $30.7 million in proceeds from sales of common shares under our Open Market Sale Agreement,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2022, we had cash, cash equivalents and investments in marketable securities of $200.6 million. We had no outstanding debt as of June 30,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24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have an Open Market Sale Agreement</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with Jefferies LLC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23, 2019, we filed a shelf registration statement on Form S-3 with the Securities and Exchange Commission (the “SEC”) (File No. 333-235674) and accompanying base prospectus, declared effective by the SEC on January 10, 2020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6"/>
          <w:szCs w:val="16"/>
          <w:color w:val="auto"/>
        </w:rPr>
        <w:t>“January 2020 Registration Statement”), for the offer and sale of up to $150.0 million of our securities. The January 2020 Registration Statement also contained a prospectus supplement in connection with the offering of up to $75.0 million of our common shares pursuant to the Sale Agreement. This prospectus supplement was fully utilized during 2020. On August 7, 2020, we filed a prospectus supplement with the SEC (the “August 2020 Prospectus Supplement”) in connection with the offering of up to an additional $75.0 million of our common shares pursuant to the Sale Agreement under the January 2020 Registration Statement. The August 2020 Prospectus Supplement was fully utilized during 2020.</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(the “March 2021 Prospectus Supplement”) in connection with the offering of up to an additional $75.0 million of our common shares pursuant to the Sale Agreement under the October 2020 Registration Statement. We fully utilized the March</w:t>
      </w:r>
    </w:p>
    <w:p>
      <w:pPr>
        <w:spacing w:after="0" w:line="2"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2021 Prospectus Supplement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spacing w:after="0" w:line="1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4, 2021, we filed a shelf registration statement on Form S-3 with the SEC (File No. 333-248467) and accompanying base prospectus, declared effective by the SEC on November 18, 2021 (the “November 2021 Registration Statement”), for the offer and sale of up to $250.0 million of our securities.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March 3, 2022, we filed a prospectus supplement with the SEC (the “March 2022 Prospectus Supplement”) in connection with the offering of up to an additional $100.0 million of our common shares pursuant to the Sale Agreement under: (i) the January 2020 Registration Statement; (ii) the October 2020 Registration Statement; and (iii) a shelf registration statement on Form S-3 (File No. 333-260782) that was declared effective by the SEC on November 18, 2021.</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six months ended June 30, 2022, we issued 69,048 common shares pursuant to the Sale Agreement, as amended, resulting in net proceeds of approximately $0.3 million. For the six months ended June 30, 2021, we issued 6,395,780 common shares pursuant to the Sale Agreement, resulting in net proceeds of approximately $26.4 million. As of June 30, 2022, there was approximately $152.0 million available in aggregate under the October 2021 Prospectus Supplement and the March 2022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Entitlements</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2021, we entered into a technology transfer and licensing agreement with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the Territory. In partial consideration for the rights granted by us, Qilu paid us a one-time upfront cash payment of $40 million and made an equity investment of $15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Cash requirements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that our $200.6 million of cash, cash equivalents and investments in marketable securities as of June 30, 2022 will be sufficient to fund our operations into the second quarter of 2024 based on our expectation of a net cash burn between $90 million and $95 million in 2022. In the future, substantial additional funds will be required to continue with the active development of our pipeline products and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61" w:lineRule="exact"/>
        <w:rPr>
          <w:sz w:val="20"/>
          <w:szCs w:val="20"/>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149" w:lineRule="exact"/>
        <w:rPr>
          <w:rFonts w:ascii="Arial" w:cs="Arial" w:eastAsia="Arial" w:hAnsi="Arial"/>
          <w:sz w:val="16"/>
          <w:szCs w:val="16"/>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requirement to make milestone payments related to our legacy agreements;</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28"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this item is not required to be provided by smaller reporting companies.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8" w:name="page39"/>
    <w:bookmarkEnd w:id="38"/>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2022, our principal executive officer and principal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The motion is now fully briefed. No oral argument date has been set and no case schedule is yet in place.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Arbutus and Genevant sought a pre-motion conference concerning their anticipated motion to dismiss all of Acuitas’ claims due to lack of subject matter jurisdiction. The request for a pre-motion conference was granted, but the case was subsequently re-assigned to a new judge who has not yet set a new pre-motion conference date. No case schedule is yet in place.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British Columbia</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us that was subsequently assigned to UBC. These inventions are licensed to us by UBC under a license agreement, initially entered into in 1998 and as amended in 2001, 2006 and 2007. We granted sublicenses under the UBC license to certain third parties, including Alnylam. In November 2014, UBC filed a demand for arbitration against us which alleged entitlement to unpaid royalties. In August 2019, the arbitrator issued his decision for the second phase of the arbitration, awarding UBC $5.9 million, which included interest of approximately $2.6 million. We paid the $5.9 million award to UBC in September 2019 and paid an additional $0.2 million award for costs and attorneys’ fees in March 2021, and this matter is now fully resolved.</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and the Company intends to pursue an award for reimbursement of costs and attorneys’ fees.</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Several of our and our collaboration partners’ current and planned clinical trials have been impacted and could be further delayed or suspended as a result of the military action by Russia in Ukraine.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February 2022, Russia commenced a military invasion of Ukraine. A portion of our clinical trial evaluating AB-836 and a cohort of Antios’ clinical trial evaluating a triple combination including AB-729 were being conducted in Ukraine. We had also planned to conduct a portion of the following clinical trials in Ukraine: (i) our Phase 2a clinical trial evaluating AB-729 in combination with ongoing NA therapy and short courses of PEG-IFNα-2a in cHBV patients and</w:t>
      </w:r>
    </w:p>
    <w:p>
      <w:pPr>
        <w:spacing w:after="0" w:line="1" w:lineRule="exact"/>
        <w:rPr>
          <w:sz w:val="20"/>
          <w:szCs w:val="20"/>
          <w:color w:val="auto"/>
        </w:rPr>
      </w:pPr>
    </w:p>
    <w:p>
      <w:pPr>
        <w:ind w:firstLine="5"/>
        <w:spacing w:after="0" w:line="247"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planned Phase 2a clinical trial to evaluate a triple combination of AB-729 with Vaccitech’s VTP-300 and a NA. We intend to utilize alternative clinical trial sites for our ongoing and planned clinical trials impacted by the military action in Ukraine.</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Russia’s invasion and the ensuing response by Ukraine has disrupted our and our collaboration partners’ current clinical trials in such jurisdictions and could increase our costs and disrupt future planned clinical development activities. For example,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color w:val="auto"/>
        </w:rPr>
        <w:t>enrollment was completed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However, the majority of patients in this cohort were enrolled in Ukraine and, as a result, these patients have been lost to follow-up before completing the clinical trial. Antios recently terminated this clinical trial and we have terminated our clinical collaboration agreement with Antios. We may report partial data on this cohort.</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Although the length and impact of Russia’s military action is highly unpredictable, actions by Russia, or potentially other countries, against Ukraine and surrounding areas may adversely affect our ability to adequately conduct or complete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 candidates could be significantly delayed, which would increase our costs, slow down our product candidate development and approval process and jeopardize our ability to commence product sales and generate revenues.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other material changes in our risk factors from those disclosed in our Annual Report on Form 10-K for the fiscal year-ended December 31, 2021.</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0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1"/>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77"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Notice of Articles and Articles of the Company, as amended (incorporated herein by reference to Exhibit 3.1 to the Registrant’s Annual Report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w w:val="99"/>
              </w:rPr>
            </w:pPr>
            <w:hyperlink r:id="rId52">
              <w:r>
                <w:rPr>
                  <w:rFonts w:ascii="Arial" w:cs="Arial" w:eastAsia="Arial" w:hAnsi="Arial"/>
                  <w:sz w:val="16"/>
                  <w:szCs w:val="16"/>
                  <w:color w:val="0000FF"/>
                  <w:w w:val="99"/>
                </w:rPr>
                <w:t>on Form 10-K for the year ended December 31, 2017, filed with the SEC on March 16, 2018)</w:t>
              </w:r>
            </w:hyperlink>
          </w:p>
        </w:tc>
        <w:tc>
          <w:tcPr>
            <w:tcW w:w="34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to Articles of the Company (incorporated herein by reference to Exhibit 3.1 to the Registrant’s Quarterly Report on Form 10-Q for</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8"/>
              </w:rPr>
            </w:pPr>
            <w:hyperlink r:id="rId53">
              <w:r>
                <w:rPr>
                  <w:rFonts w:ascii="Arial" w:cs="Arial" w:eastAsia="Arial" w:hAnsi="Arial"/>
                  <w:sz w:val="16"/>
                  <w:szCs w:val="16"/>
                  <w:color w:val="0000FF"/>
                  <w:w w:val="98"/>
                </w:rPr>
                <w:t>the quarter ended September 30, 2018, filed with the SEC on November 7, 2018)</w:t>
              </w:r>
            </w:hyperlink>
          </w:p>
        </w:tc>
        <w:tc>
          <w:tcPr>
            <w:tcW w:w="436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Arbutus Biopharma Corporation 2016 Omnibus Share and Incentive Plan, as supplemented and amended (incorporated herein by reference to</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6"/>
          </w:tcPr>
          <w:p>
            <w:pPr>
              <w:spacing w:after="0" w:line="164"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Exhibit 10.1 to the Registrant’s Current Report on Form 8-K filed with the SEC on May 31, 2022)</w:t>
              </w:r>
            </w:hyperlink>
          </w:p>
        </w:tc>
        <w:tc>
          <w:tcPr>
            <w:tcW w:w="3040" w:type="dxa"/>
            <w:vAlign w:val="bottom"/>
            <w:tcBorders>
              <w:top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0" w:type="dxa"/>
            <w:vAlign w:val="bottom"/>
            <w:gridSpan w:val="14"/>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Certification of Principal Executive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44">
              <w:r>
                <w:rPr>
                  <w:rFonts w:ascii="Arial" w:cs="Arial" w:eastAsia="Arial" w:hAnsi="Arial"/>
                  <w:sz w:val="16"/>
                  <w:szCs w:val="16"/>
                  <w:color w:val="0000FF"/>
                  <w:w w:val="99"/>
                </w:rPr>
                <w:t>to Section 302 of the Sarbanes-Oxley Act of 2002</w:t>
              </w:r>
            </w:hyperlink>
          </w:p>
        </w:tc>
        <w:tc>
          <w:tcPr>
            <w:tcW w:w="66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Certification of Principal Financial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45">
              <w:r>
                <w:rPr>
                  <w:rFonts w:ascii="Arial" w:cs="Arial" w:eastAsia="Arial" w:hAnsi="Arial"/>
                  <w:sz w:val="16"/>
                  <w:szCs w:val="16"/>
                  <w:color w:val="0000FF"/>
                  <w:w w:val="99"/>
                </w:rPr>
                <w:t>to Section 302 of the Sarbanes-Oxley Act of 2002</w:t>
              </w:r>
            </w:hyperlink>
          </w:p>
        </w:tc>
        <w:tc>
          <w:tcPr>
            <w:tcW w:w="66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1" w:lineRule="exact"/>
              <w:rPr>
                <w:rFonts w:ascii="Arial" w:cs="Arial" w:eastAsia="Arial" w:hAnsi="Arial"/>
                <w:sz w:val="16"/>
                <w:szCs w:val="16"/>
                <w:color w:val="0000FF"/>
                <w:w w:val="97"/>
              </w:rPr>
            </w:pPr>
            <w:hyperlink w:anchor="page46">
              <w:r>
                <w:rPr>
                  <w:rFonts w:ascii="Arial" w:cs="Arial" w:eastAsia="Arial" w:hAnsi="Arial"/>
                  <w:sz w:val="16"/>
                  <w:szCs w:val="16"/>
                  <w:color w:val="0000FF"/>
                  <w:w w:val="97"/>
                </w:rPr>
                <w:t>of 2002</w:t>
              </w:r>
            </w:hyperlink>
          </w:p>
        </w:tc>
        <w:tc>
          <w:tcPr>
            <w:tcW w:w="9480" w:type="dxa"/>
            <w:vAlign w:val="bottom"/>
            <w:tcBorders>
              <w:top w:val="single" w:sz="8" w:color="0000FF"/>
            </w:tcBorders>
            <w:gridSpan w:val="7"/>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Certification of Principal Financial Officer pursuant to 18 U.S.C. Section 1350, as adopted pursuant to Section 906 of the Sarbanes-Oxley Act of</w:t>
              </w:r>
            </w:hyperlink>
          </w:p>
        </w:tc>
      </w:tr>
      <w:tr>
        <w:trPr>
          <w:trHeight w:val="151"/>
        </w:trPr>
        <w:tc>
          <w:tcPr>
            <w:tcW w:w="9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2002</w:t>
              </w:r>
            </w:hyperlink>
          </w:p>
        </w:tc>
        <w:tc>
          <w:tcPr>
            <w:tcW w:w="20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80" w:lineRule="exact"/>
        <w:rPr>
          <w:sz w:val="20"/>
          <w:szCs w:val="20"/>
          <w:color w:val="auto"/>
        </w:rPr>
      </w:pPr>
    </w:p>
    <w:p>
      <w:pPr>
        <w:ind w:left="1040" w:right="120" w:hanging="713"/>
        <w:spacing w:after="0" w:line="260"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following materials from Arbutus Biopharma Corporation’s Quarterly Report on Form 10-Q for the quarter ended June 30, 2022,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1" w:lineRule="exact"/>
        <w:rPr>
          <w:sz w:val="20"/>
          <w:szCs w:val="20"/>
          <w:color w:val="auto"/>
        </w:rPr>
      </w:pPr>
    </w:p>
    <w:p>
      <w:pPr>
        <w:ind w:right="2700" w:firstLine="327"/>
        <w:spacing w:after="0" w:line="411" w:lineRule="auto"/>
        <w:tabs>
          <w:tab w:leader="none" w:pos="1029"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42" w:name="page43"/>
    <w:bookmarkEnd w:id="42"/>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10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2022.</w:t>
      </w:r>
    </w:p>
    <w:p>
      <w:pPr>
        <w:spacing w:after="0" w:line="200" w:lineRule="exact"/>
        <w:rPr>
          <w:sz w:val="20"/>
          <w:szCs w:val="20"/>
          <w:color w:val="auto"/>
        </w:rPr>
      </w:pP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ARBUTUS BIOPHARMA CORPORATION</w:t>
      </w:r>
    </w:p>
    <w:p>
      <w:pPr>
        <w:spacing w:after="0" w:line="75"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William H Collier</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William H Collier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i w:val="1"/>
                <w:iCs w:val="1"/>
                <w:color w:val="auto"/>
              </w:rPr>
              <w:t>(Principal Executive Officer)</w:t>
            </w:r>
          </w:p>
        </w:tc>
      </w:tr>
      <w:tr>
        <w:trPr>
          <w:trHeight w:val="7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David C. Hastings</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David C. Hastings</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Chief Financial Officer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i w:val="1"/>
                <w:iCs w:val="1"/>
                <w:color w:val="auto"/>
                <w:w w:val="93"/>
              </w:rPr>
              <w:t>(Principal Financial Officer and Principal Accounting Officer)</w:t>
            </w: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320" w:top="144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95" w:lineRule="exact"/>
        <w:rPr>
          <w:sz w:val="20"/>
          <w:szCs w:val="20"/>
          <w:color w:val="auto"/>
        </w:rPr>
      </w:pPr>
    </w:p>
    <w:p>
      <w:pPr>
        <w:ind w:left="1180" w:hanging="38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19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6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June 30, 2022,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6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June 30, 2022,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2" Type="http://schemas.openxmlformats.org/officeDocument/2006/relationships/hyperlink" Target="http://www.sec.gov/Archives/edgar/data/1447028/000162828018003276/exhibit31_articlesandartic.htm" TargetMode="External"/><Relationship Id="rId53" Type="http://schemas.openxmlformats.org/officeDocument/2006/relationships/hyperlink" Target="http://www.sec.gov/Archives/edgar/data/1447028/000162828018013909/exhibit31amendmenttoarticl.htm" TargetMode="External"/><Relationship Id="rId54" Type="http://schemas.openxmlformats.org/officeDocument/2006/relationships/hyperlink" Target="https://www.sec.gov/Archives/edgar/data/1447028/000144702822000041/omnibusplan2016wamen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2022-08-04T15:32:50Z</dcterms:created>
  <dcterms:modified xsi:type="dcterms:W3CDTF">2022-08-04T15:32:50Z</dcterms:modified>
</cp:coreProperties>
</file>