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283"/>
        <w:rPr/>
      </w:pPr>
      <w:r>
        <w:rPr/>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spacing w:lineRule="auto" w:line="288" w:before="16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u w:val="single"/>
        </w:rPr>
        <w:t>001-34949</w:t>
      </w:r>
    </w:p>
    <w:p>
      <w:pPr>
        <w:pStyle w:val="TextBody"/>
        <w:spacing w:lineRule="auto" w:line="288" w:before="160" w:after="283"/>
        <w:jc w:val="center"/>
        <w:rPr>
          <w:rFonts w:ascii="Times New Roman;sans-serif" w:hAnsi="Times New Roman;sans-serif"/>
          <w:b/>
          <w:color w:val="000000"/>
          <w:sz w:val="36"/>
          <w:u w:val="single"/>
        </w:rPr>
      </w:pPr>
      <w:r>
        <w:rPr>
          <w:rFonts w:ascii="Times New Roman;sans-serif" w:hAnsi="Times New Roman;sans-serif"/>
          <w:b/>
          <w:color w:val="000000"/>
          <w:sz w:val="36"/>
          <w:u w:val="single"/>
        </w:rPr>
        <w:t>ARBUTUS BIOPHARMA CORPORATION</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85" w:type="dxa"/>
        <w:jc w:val="center"/>
        <w:tblInd w:w="0" w:type="dxa"/>
        <w:tblCellMar>
          <w:top w:w="28" w:type="dxa"/>
          <w:left w:w="28" w:type="dxa"/>
          <w:bottom w:w="28" w:type="dxa"/>
          <w:right w:w="28" w:type="dxa"/>
        </w:tblCellMar>
      </w:tblPr>
      <w:tblGrid>
        <w:gridCol w:w="945"/>
        <w:gridCol w:w="829"/>
        <w:gridCol w:w="835"/>
        <w:gridCol w:w="109"/>
        <w:gridCol w:w="109"/>
        <w:gridCol w:w="109"/>
        <w:gridCol w:w="481"/>
        <w:gridCol w:w="481"/>
        <w:gridCol w:w="687"/>
      </w:tblGrid>
      <w:tr>
        <w:trPr/>
        <w:tc>
          <w:tcPr>
            <w:tcW w:w="94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British Columbia, 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98-0597776</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701 Veterans Circle, Warminster, PA 18974</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267-469-0914</w:t>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9" w:type="dxa"/>
        <w:jc w:val="center"/>
        <w:tblInd w:w="0" w:type="dxa"/>
        <w:tblCellMar>
          <w:top w:w="28" w:type="dxa"/>
          <w:left w:w="28" w:type="dxa"/>
          <w:bottom w:w="28" w:type="dxa"/>
          <w:right w:w="28" w:type="dxa"/>
        </w:tblCellMar>
      </w:tblPr>
      <w:tblGrid>
        <w:gridCol w:w="1070"/>
        <w:gridCol w:w="937"/>
        <w:gridCol w:w="948"/>
        <w:gridCol w:w="539"/>
        <w:gridCol w:w="539"/>
        <w:gridCol w:w="541"/>
        <w:gridCol w:w="1085"/>
        <w:gridCol w:w="1085"/>
        <w:gridCol w:w="1535"/>
      </w:tblGrid>
      <w:tr>
        <w:trPr/>
        <w:tc>
          <w:tcPr>
            <w:tcW w:w="1070"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without par value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ABUS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The Nasdaq Stock Market LLC</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CellMar>
          <w:top w:w="28" w:type="dxa"/>
          <w:left w:w="28" w:type="dxa"/>
          <w:bottom w:w="28" w:type="dxa"/>
          <w:right w:w="28" w:type="dxa"/>
        </w:tblCellMar>
      </w:tblPr>
      <w:tblGrid>
        <w:gridCol w:w="711"/>
        <w:gridCol w:w="626"/>
        <w:gridCol w:w="628"/>
        <w:gridCol w:w="479"/>
        <w:gridCol w:w="479"/>
        <w:gridCol w:w="481"/>
        <w:gridCol w:w="614"/>
        <w:gridCol w:w="614"/>
        <w:gridCol w:w="616"/>
        <w:gridCol w:w="769"/>
        <w:gridCol w:w="769"/>
        <w:gridCol w:w="772"/>
        <w:gridCol w:w="703"/>
        <w:gridCol w:w="703"/>
        <w:gridCol w:w="994"/>
      </w:tblGrid>
      <w:tr>
        <w:trPr/>
        <w:tc>
          <w:tcPr>
            <w:tcW w:w="71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16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160" w:after="283"/>
              <w:jc w:val="center"/>
              <w:rPr>
                <w:color w:val="000000"/>
              </w:rPr>
            </w:pPr>
            <w:r>
              <w:rPr>
                <w:color w:val="000000"/>
              </w:rPr>
              <w:t>☒</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Yes  ☐     No ☒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2, 2023, the registrant had 166,133,563 common shares, without par value, outstanding.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before="120" w:after="283"/>
        <w:rPr/>
      </w:pPr>
      <w:r>
        <w:rPr/>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tbl>
      <w:tblPr>
        <w:tblW w:w="10205" w:type="dxa"/>
        <w:jc w:val="left"/>
        <w:tblInd w:w="0" w:type="dxa"/>
        <w:tblCellMar>
          <w:top w:w="28" w:type="dxa"/>
          <w:left w:w="28" w:type="dxa"/>
          <w:bottom w:w="28" w:type="dxa"/>
          <w:right w:w="28" w:type="dxa"/>
        </w:tblCellMar>
      </w:tblPr>
      <w:tblGrid>
        <w:gridCol w:w="535"/>
        <w:gridCol w:w="471"/>
        <w:gridCol w:w="471"/>
        <w:gridCol w:w="2756"/>
        <w:gridCol w:w="2704"/>
        <w:gridCol w:w="2693"/>
        <w:gridCol w:w="167"/>
        <w:gridCol w:w="167"/>
        <w:gridCol w:w="241"/>
      </w:tblGrid>
      <w:tr>
        <w:trPr/>
        <w:tc>
          <w:tcPr>
            <w:tcW w:w="53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4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0">
              <w:r>
                <w:rPr>
                  <w:rStyle w:val="InternetLink"/>
                  <w:rFonts w:ascii="Times New Roman;sans-serif" w:hAnsi="Times New Roman;sans-serif"/>
                  <w:b w:val="false"/>
                  <w:color w:val="0000FF"/>
                  <w:sz w:val="20"/>
                  <w:u w:val="single"/>
                </w:rPr>
                <w:t>PART I. FINANCIAL INFORMATION</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0">
              <w:r>
                <w:rPr>
                  <w:rStyle w:val="InternetLink"/>
                  <w:rFonts w:ascii="Times New Roman;sans-serif" w:hAnsi="Times New Roman;sans-serif"/>
                  <w:b w:val="false"/>
                  <w:color w:val="0000FF"/>
                  <w:sz w:val="20"/>
                  <w:u w:val="single"/>
                </w:rPr>
                <w:t>1</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3">
              <w:r>
                <w:rPr>
                  <w:rStyle w:val="InternetLink"/>
                  <w:strike w:val="false"/>
                  <w:dstrike w:val="false"/>
                  <w:color w:val="0000FF"/>
                  <w:u w:val="none"/>
                  <w:effect w:val="none"/>
                </w:rPr>
                <w:t>           </w:t>
              </w:r>
            </w:hyperlink>
            <w:hyperlink w:anchor="ib7a526e1a5214e33a5b2ecc8636210a3_13">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3">
              <w:r>
                <w:rPr>
                  <w:rStyle w:val="InternetLink"/>
                  <w:rFonts w:ascii="Times New Roman;sans-serif" w:hAnsi="Times New Roman;sans-serif"/>
                  <w:b w:val="false"/>
                  <w:color w:val="0000FF"/>
                  <w:sz w:val="20"/>
                  <w:u w:val="single"/>
                </w:rPr>
                <w:t>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3">
              <w:r>
                <w:rPr>
                  <w:rStyle w:val="InternetLink"/>
                  <w:rFonts w:ascii="Times New Roman;sans-serif" w:hAnsi="Times New Roman;sans-serif"/>
                  <w:b w:val="false"/>
                  <w:color w:val="0000FF"/>
                  <w:sz w:val="20"/>
                  <w:u w:val="single"/>
                </w:rPr>
                <w:t>1</w:t>
              </w:r>
            </w:hyperlink>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xml:space="preserve">        </w:t>
            </w:r>
            <w:hyperlink w:anchor="ib7a526e1a5214e33a5b2ecc8636210a3_64">
              <w:r>
                <w:rPr>
                  <w:rStyle w:val="InternetLink"/>
                  <w:strike w:val="false"/>
                  <w:dstrike w:val="false"/>
                  <w:color w:val="0000FF"/>
                  <w:u w:val="none"/>
                  <w:effect w:val="none"/>
                </w:rPr>
                <w:t>   </w:t>
              </w:r>
            </w:hyperlink>
            <w:hyperlink w:anchor="ib7a526e1a5214e33a5b2ecc8636210a3_64">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64">
              <w:r>
                <w:rPr>
                  <w:rStyle w:val="InternetLink"/>
                  <w:rFonts w:ascii="Times New Roman;sans-serif" w:hAnsi="Times New Roman;sans-serif"/>
                  <w:b w:val="false"/>
                  <w:color w:val="0000FF"/>
                  <w:sz w:val="20"/>
                  <w:u w:val="single"/>
                </w:rPr>
                <w:t>17</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88">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88">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88">
              <w:r>
                <w:rPr>
                  <w:rStyle w:val="InternetLink"/>
                  <w:rFonts w:ascii="Times New Roman;sans-serif" w:hAnsi="Times New Roman;sans-serif"/>
                  <w:b w:val="false"/>
                  <w:color w:val="0000FF"/>
                  <w:sz w:val="20"/>
                  <w:u w:val="single"/>
                </w:rPr>
                <w:t>33</w:t>
              </w:r>
            </w:hyperlink>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91">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91">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91">
              <w:r>
                <w:rPr>
                  <w:rStyle w:val="InternetLink"/>
                  <w:rFonts w:ascii="Times New Roman;sans-serif" w:hAnsi="Times New Roman;sans-serif"/>
                  <w:b w:val="false"/>
                  <w:color w:val="0000FF"/>
                  <w:sz w:val="20"/>
                  <w:u w:val="single"/>
                </w:rPr>
                <w:t>33</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94">
              <w:r>
                <w:rPr>
                  <w:rStyle w:val="InternetLink"/>
                  <w:rFonts w:ascii="Times New Roman;sans-serif" w:hAnsi="Times New Roman;sans-serif"/>
                  <w:b w:val="false"/>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94">
              <w:r>
                <w:rPr>
                  <w:rStyle w:val="InternetLink"/>
                  <w:rFonts w:ascii="Times New Roman;sans-serif" w:hAnsi="Times New Roman;sans-serif"/>
                  <w:b w:val="false"/>
                  <w:color w:val="0000FF"/>
                  <w:sz w:val="20"/>
                  <w:u w:val="single"/>
                </w:rPr>
                <w:t>35</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97">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97">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97">
              <w:r>
                <w:rPr>
                  <w:rStyle w:val="InternetLink"/>
                  <w:rFonts w:ascii="Times New Roman;sans-serif" w:hAnsi="Times New Roman;sans-serif"/>
                  <w:b w:val="false"/>
                  <w:color w:val="0000FF"/>
                  <w:sz w:val="20"/>
                  <w:u w:val="single"/>
                </w:rPr>
                <w:t>35</w:t>
              </w:r>
            </w:hyperlink>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100">
              <w:r>
                <w:rPr>
                  <w:rStyle w:val="InternetLink"/>
                  <w:strike w:val="false"/>
                  <w:dstrike w:val="false"/>
                  <w:color w:val="0000FF"/>
                  <w:u w:val="none"/>
                  <w:effect w:val="none"/>
                </w:rPr>
                <w:t xml:space="preserve">  </w:t>
              </w:r>
            </w:hyperlink>
            <w:hyperlink w:anchor="ib7a526e1a5214e33a5b2ecc8636210a3_100">
              <w:r>
                <w:rPr>
                  <w:rStyle w:val="InternetLink"/>
                  <w:rFonts w:ascii="Times New Roman;sans-serif" w:hAnsi="Times New Roman;sans-serif"/>
                  <w:b w:val="false"/>
                  <w:strike w:val="false"/>
                  <w:dstrike w:val="false"/>
                  <w:color w:val="0000FF"/>
                  <w:sz w:val="20"/>
                  <w:u w:val="none"/>
                  <w:effect w:val="none"/>
                </w:rPr>
                <w:t>ITEM 1A.</w:t>
              </w:r>
            </w:hyperlink>
          </w:p>
        </w:tc>
        <w:tc>
          <w:tcPr>
            <w:tcW w:w="8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00">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00">
              <w:r>
                <w:rPr>
                  <w:rStyle w:val="InternetLink"/>
                  <w:rFonts w:ascii="Times New Roman;sans-serif" w:hAnsi="Times New Roman;sans-serif"/>
                  <w:b w:val="false"/>
                  <w:color w:val="0000FF"/>
                  <w:sz w:val="20"/>
                  <w:u w:val="single"/>
                </w:rPr>
                <w:t>36</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xml:space="preserve">          </w:t>
            </w:r>
            <w:hyperlink w:anchor="ib7a526e1a5214e33a5b2ecc8636210a3_103">
              <w:r>
                <w:rPr>
                  <w:rStyle w:val="InternetLink"/>
                  <w:strike w:val="false"/>
                  <w:dstrike w:val="false"/>
                  <w:color w:val="0000FF"/>
                  <w:u w:val="none"/>
                  <w:effect w:val="none"/>
                </w:rPr>
                <w:t> </w:t>
              </w:r>
            </w:hyperlink>
            <w:hyperlink w:anchor="ib7a526e1a5214e33a5b2ecc8636210a3_103">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03">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03">
              <w:r>
                <w:rPr>
                  <w:rStyle w:val="InternetLink"/>
                  <w:rFonts w:ascii="Times New Roman;sans-serif" w:hAnsi="Times New Roman;sans-serif"/>
                  <w:b w:val="false"/>
                  <w:color w:val="0000FF"/>
                  <w:sz w:val="20"/>
                  <w:u w:val="single"/>
                </w:rPr>
                <w:t>36</w:t>
              </w:r>
            </w:hyperlink>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106">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06">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06">
              <w:r>
                <w:rPr>
                  <w:rStyle w:val="InternetLink"/>
                  <w:rFonts w:ascii="Times New Roman;sans-serif" w:hAnsi="Times New Roman;sans-serif"/>
                  <w:b w:val="false"/>
                  <w:color w:val="0000FF"/>
                  <w:sz w:val="20"/>
                  <w:u w:val="single"/>
                </w:rPr>
                <w:t>36</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b7a526e1a5214e33a5b2ecc8636210a3_109">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09">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09">
              <w:r>
                <w:rPr>
                  <w:rStyle w:val="InternetLink"/>
                  <w:rFonts w:ascii="Times New Roman;sans-serif" w:hAnsi="Times New Roman;sans-serif"/>
                  <w:b w:val="false"/>
                  <w:color w:val="0000FF"/>
                  <w:sz w:val="20"/>
                  <w:u w:val="single"/>
                </w:rPr>
                <w:t>36</w:t>
              </w:r>
            </w:hyperlink>
          </w:p>
        </w:tc>
      </w:tr>
      <w:tr>
        <w:trPr/>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xml:space="preserve">          </w:t>
            </w:r>
            <w:hyperlink w:anchor="ib7a526e1a5214e33a5b2ecc8636210a3_112">
              <w:r>
                <w:rPr>
                  <w:rStyle w:val="InternetLink"/>
                  <w:strike w:val="false"/>
                  <w:dstrike w:val="false"/>
                  <w:color w:val="0000FF"/>
                  <w:u w:val="none"/>
                  <w:effect w:val="none"/>
                </w:rPr>
                <w:t> </w:t>
              </w:r>
            </w:hyperlink>
            <w:hyperlink w:anchor="ib7a526e1a5214e33a5b2ecc8636210a3_112">
              <w:r>
                <w:rPr>
                  <w:rStyle w:val="InternetLink"/>
                  <w:rFonts w:ascii="Times New Roman;sans-serif" w:hAnsi="Times New Roman;sans-serif"/>
                  <w:b w:val="false"/>
                  <w:strike w:val="false"/>
                  <w:dstrike w:val="false"/>
                  <w:color w:val="0000FF"/>
                  <w:sz w:val="20"/>
                  <w:u w:val="none"/>
                  <w:effect w:val="none"/>
                </w:rPr>
                <w:t>ITEM 5.</w:t>
              </w:r>
            </w:hyperlink>
          </w:p>
        </w:tc>
        <w:tc>
          <w:tcPr>
            <w:tcW w:w="81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12">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12">
              <w:r>
                <w:rPr>
                  <w:rStyle w:val="InternetLink"/>
                  <w:rFonts w:ascii="Times New Roman;sans-serif" w:hAnsi="Times New Roman;sans-serif"/>
                  <w:b w:val="false"/>
                  <w:color w:val="0000FF"/>
                  <w:sz w:val="20"/>
                  <w:u w:val="single"/>
                </w:rPr>
                <w:t>36</w:t>
              </w:r>
            </w:hyperlink>
          </w:p>
        </w:tc>
      </w:tr>
      <w:tr>
        <w:trPr/>
        <w:tc>
          <w:tcPr>
            <w:tcW w:w="1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xml:space="preserve">          </w:t>
            </w:r>
            <w:hyperlink w:anchor="ib7a526e1a5214e33a5b2ecc8636210a3_115">
              <w:r>
                <w:rPr>
                  <w:rStyle w:val="InternetLink"/>
                  <w:strike w:val="false"/>
                  <w:dstrike w:val="false"/>
                  <w:color w:val="0000FF"/>
                  <w:u w:val="none"/>
                  <w:effect w:val="none"/>
                </w:rPr>
                <w:t> </w:t>
              </w:r>
            </w:hyperlink>
            <w:hyperlink w:anchor="ib7a526e1a5214e33a5b2ecc8636210a3_115">
              <w:r>
                <w:rPr>
                  <w:rStyle w:val="InternetLink"/>
                  <w:rFonts w:ascii="Times New Roman;sans-serif" w:hAnsi="Times New Roman;sans-serif"/>
                  <w:b w:val="false"/>
                  <w:strike w:val="false"/>
                  <w:dstrike w:val="false"/>
                  <w:color w:val="0000FF"/>
                  <w:sz w:val="20"/>
                  <w:u w:val="none"/>
                  <w:effect w:val="none"/>
                </w:rPr>
                <w:t>ITEM 6.</w:t>
              </w:r>
            </w:hyperlink>
          </w:p>
        </w:tc>
        <w:tc>
          <w:tcPr>
            <w:tcW w:w="8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7a526e1a5214e33a5b2ecc8636210a3_115">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b7a526e1a5214e33a5b2ecc8636210a3_115">
              <w:r>
                <w:rPr>
                  <w:rStyle w:val="InternetLink"/>
                  <w:rFonts w:ascii="Times New Roman;sans-serif" w:hAnsi="Times New Roman;sans-serif"/>
                  <w:b w:val="false"/>
                  <w:color w:val="0000FF"/>
                  <w:sz w:val="20"/>
                  <w:u w:val="single"/>
                </w:rPr>
                <w:t>37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before="120" w:after="283"/>
        <w:rPr/>
      </w:pPr>
      <w:r>
        <w:rPr/>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tbl>
      <w:tblPr>
        <w:tblW w:w="8875" w:type="dxa"/>
        <w:jc w:val="center"/>
        <w:tblInd w:w="0" w:type="dxa"/>
        <w:tblCellMar>
          <w:top w:w="28" w:type="dxa"/>
          <w:left w:w="28" w:type="dxa"/>
          <w:bottom w:w="28" w:type="dxa"/>
          <w:right w:w="28" w:type="dxa"/>
        </w:tblCellMar>
      </w:tblPr>
      <w:tblGrid>
        <w:gridCol w:w="2070"/>
        <w:gridCol w:w="1826"/>
        <w:gridCol w:w="1849"/>
        <w:gridCol w:w="232"/>
        <w:gridCol w:w="908"/>
        <w:gridCol w:w="119"/>
        <w:gridCol w:w="109"/>
        <w:gridCol w:w="109"/>
        <w:gridCol w:w="109"/>
        <w:gridCol w:w="273"/>
        <w:gridCol w:w="1072"/>
        <w:gridCol w:w="199"/>
      </w:tblGrid>
      <w:tr>
        <w:trPr/>
        <w:tc>
          <w:tcPr>
            <w:tcW w:w="2070"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of accumulated depreciation of $11,135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$10,801) </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current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non-current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non-current</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unlimited number without par value</w:t>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165,132,193</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 157,455,363)</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1,339,453 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1,318,737 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(1,220,142)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(1,203,803)</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and Comprehensive Loss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spacing w:before="0" w:after="0"/>
        <w:jc w:val="center"/>
        <w:rPr/>
      </w:pPr>
      <w:r>
        <w:rPr/>
      </w:r>
    </w:p>
    <w:tbl>
      <w:tblPr>
        <w:tblW w:w="7481" w:type="dxa"/>
        <w:jc w:val="center"/>
        <w:tblInd w:w="0" w:type="dxa"/>
        <w:tblCellMar>
          <w:top w:w="28" w:type="dxa"/>
          <w:left w:w="28" w:type="dxa"/>
          <w:bottom w:w="28" w:type="dxa"/>
          <w:right w:w="28" w:type="dxa"/>
        </w:tblCellMar>
      </w:tblPr>
      <w:tblGrid>
        <w:gridCol w:w="1591"/>
        <w:gridCol w:w="1403"/>
        <w:gridCol w:w="1416"/>
        <w:gridCol w:w="264"/>
        <w:gridCol w:w="922"/>
        <w:gridCol w:w="109"/>
        <w:gridCol w:w="109"/>
        <w:gridCol w:w="109"/>
        <w:gridCol w:w="109"/>
        <w:gridCol w:w="264"/>
        <w:gridCol w:w="922"/>
        <w:gridCol w:w="109"/>
        <w:gridCol w:w="154"/>
      </w:tblGrid>
      <w:tr>
        <w:trPr/>
        <w:tc>
          <w:tcPr>
            <w:tcW w:w="1591"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and licenses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(loss)</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161,643,404 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148,428,326 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25"/>
        <w:gridCol w:w="320"/>
        <w:gridCol w:w="322"/>
        <w:gridCol w:w="525"/>
        <w:gridCol w:w="526"/>
        <w:gridCol w:w="240"/>
        <w:gridCol w:w="109"/>
        <w:gridCol w:w="109"/>
        <w:gridCol w:w="109"/>
        <w:gridCol w:w="196"/>
        <w:gridCol w:w="871"/>
        <w:gridCol w:w="109"/>
        <w:gridCol w:w="109"/>
        <w:gridCol w:w="109"/>
        <w:gridCol w:w="109"/>
        <w:gridCol w:w="204"/>
        <w:gridCol w:w="674"/>
        <w:gridCol w:w="113"/>
        <w:gridCol w:w="109"/>
        <w:gridCol w:w="109"/>
        <w:gridCol w:w="109"/>
        <w:gridCol w:w="196"/>
        <w:gridCol w:w="888"/>
        <w:gridCol w:w="109"/>
        <w:gridCol w:w="109"/>
        <w:gridCol w:w="109"/>
        <w:gridCol w:w="109"/>
        <w:gridCol w:w="260"/>
        <w:gridCol w:w="879"/>
        <w:gridCol w:w="145"/>
        <w:gridCol w:w="109"/>
        <w:gridCol w:w="109"/>
        <w:gridCol w:w="109"/>
        <w:gridCol w:w="209"/>
        <w:gridCol w:w="787"/>
        <w:gridCol w:w="172"/>
      </w:tblGrid>
      <w:tr>
        <w:trPr/>
        <w:tc>
          <w:tcPr>
            <w:tcW w:w="82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157,455,363 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7,423,622 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101,356 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151,852 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165,132,193 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(49,634)</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60" w:after="283"/>
        <w:jc w:val="center"/>
        <w:rPr/>
      </w:pPr>
      <w:r>
        <w:rPr/>
      </w:r>
    </w:p>
    <w:tbl>
      <w:tblPr>
        <w:tblW w:w="10225" w:type="dxa"/>
        <w:jc w:val="center"/>
        <w:tblInd w:w="0" w:type="dxa"/>
        <w:tblCellMar>
          <w:top w:w="28" w:type="dxa"/>
          <w:left w:w="28" w:type="dxa"/>
          <w:bottom w:w="28" w:type="dxa"/>
          <w:right w:w="28" w:type="dxa"/>
        </w:tblCellMar>
      </w:tblPr>
      <w:tblGrid>
        <w:gridCol w:w="784"/>
        <w:gridCol w:w="268"/>
        <w:gridCol w:w="269"/>
        <w:gridCol w:w="109"/>
        <w:gridCol w:w="109"/>
        <w:gridCol w:w="109"/>
        <w:gridCol w:w="525"/>
        <w:gridCol w:w="526"/>
        <w:gridCol w:w="231"/>
        <w:gridCol w:w="109"/>
        <w:gridCol w:w="109"/>
        <w:gridCol w:w="109"/>
        <w:gridCol w:w="196"/>
        <w:gridCol w:w="871"/>
        <w:gridCol w:w="109"/>
        <w:gridCol w:w="109"/>
        <w:gridCol w:w="109"/>
        <w:gridCol w:w="109"/>
        <w:gridCol w:w="196"/>
        <w:gridCol w:w="646"/>
        <w:gridCol w:w="109"/>
        <w:gridCol w:w="109"/>
        <w:gridCol w:w="109"/>
        <w:gridCol w:w="109"/>
        <w:gridCol w:w="196"/>
        <w:gridCol w:w="886"/>
        <w:gridCol w:w="109"/>
        <w:gridCol w:w="109"/>
        <w:gridCol w:w="109"/>
        <w:gridCol w:w="109"/>
        <w:gridCol w:w="246"/>
        <w:gridCol w:w="832"/>
        <w:gridCol w:w="138"/>
        <w:gridCol w:w="109"/>
        <w:gridCol w:w="109"/>
        <w:gridCol w:w="109"/>
        <w:gridCol w:w="203"/>
        <w:gridCol w:w="763"/>
        <w:gridCol w:w="160"/>
      </w:tblGrid>
      <w:tr>
        <w:trPr/>
        <w:tc>
          <w:tcPr>
            <w:tcW w:w="78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144,987,736 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(48,335)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86,501 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Share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3,579,952 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148,728,237 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(1,150,112)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165,845 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60" w:after="283"/>
        <w:jc w:val="center"/>
        <w:rPr/>
      </w:pPr>
      <w:r>
        <w:rPr/>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w:t>
      </w:r>
    </w:p>
    <w:tbl>
      <w:tblPr>
        <w:tblW w:w="7778" w:type="dxa"/>
        <w:jc w:val="center"/>
        <w:tblInd w:w="0" w:type="dxa"/>
        <w:tblCellMar>
          <w:top w:w="28" w:type="dxa"/>
          <w:left w:w="28" w:type="dxa"/>
          <w:bottom w:w="28" w:type="dxa"/>
          <w:right w:w="28" w:type="dxa"/>
        </w:tblCellMar>
      </w:tblPr>
      <w:tblGrid>
        <w:gridCol w:w="1932"/>
        <w:gridCol w:w="1698"/>
        <w:gridCol w:w="1709"/>
        <w:gridCol w:w="197"/>
        <w:gridCol w:w="727"/>
        <w:gridCol w:w="109"/>
        <w:gridCol w:w="109"/>
        <w:gridCol w:w="109"/>
        <w:gridCol w:w="109"/>
        <w:gridCol w:w="197"/>
        <w:gridCol w:w="727"/>
        <w:gridCol w:w="155"/>
      </w:tblGrid>
      <w:tr>
        <w:trPr/>
        <w:tc>
          <w:tcPr>
            <w:tcW w:w="1932"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royalty revenue</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and amortization of investments in marketable securities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operating items:</w:t>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license revenue</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in marketable securities</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Disposition of investments in marketable securities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Share Purchase Agreement</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the Open Market Sale Agreement</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stock options</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ESPP</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Increase (decrease) in cash and cash equivalents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120" w:after="283"/>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of U.S. Dollars, except share and per share amounts) </w:t>
      </w:r>
    </w:p>
    <w:p>
      <w:pPr>
        <w:pStyle w:val="TextBody"/>
        <w:spacing w:before="0" w:after="0"/>
        <w:jc w:val="center"/>
        <w:rPr/>
      </w:pPr>
      <w:r>
        <w:rPr/>
      </w:r>
    </w:p>
    <w:p>
      <w:pPr>
        <w:pStyle w:val="TextBody"/>
        <w:spacing w:lineRule="auto" w:line="288" w:before="0" w:after="0"/>
        <w:rPr/>
      </w:pPr>
      <w:r>
        <w:rPr>
          <w:rFonts w:ascii="Times New Roman;sans-serif" w:hAnsi="Times New Roman;sans-serif"/>
          <w:b/>
          <w:color w:val="000000"/>
          <w:sz w:val="20"/>
          <w:highlight w:val="white"/>
        </w:rPr>
        <w:t>1.</w:t>
      </w:r>
      <w:r>
        <w:rPr>
          <w:color w:val="000000"/>
          <w:highlight w:val="white"/>
        </w:rPr>
        <w:t xml:space="preserve">      </w:t>
      </w:r>
      <w:r>
        <w:rPr>
          <w:rFonts w:ascii="Times New Roman;sans-serif" w:hAnsi="Times New Roman;sans-serif"/>
          <w:b/>
          <w:color w:val="000000"/>
          <w:sz w:val="20"/>
        </w:rPr>
        <w:t>Nature of business and future operations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other coronaviruses. To address HBV, the Company is developing an RNA interference (“RNAi”) therapeutic, AB-729, an oral PD-L1 inhibitor, AB-101, and an oral RNA destabilizer, AB-161, to potentially identify a combination regimen with the aim of providing a functional cure for patients with chronic HBV infection (“cHBV”) by suppressing viral replication, reducing surface antigen and reawakening the immune system. The Company believes its lead compound, AB-729, is the only RNAi therapeutic with evidence of immune re-awakening. AB-729 is currently being evaluated in multiple phase 2 clinical trials. In addition, a Phase 1 clinical trial with AB-161 was recently initiated. The Company also has an ongoing drug discovery and development program directed to identifying novel, orally active agents for treating coronaviruses, including SARS-CoV-2, where the Company has nominated a compound and has begun IND-enabling preclinical studies. In addition, the Company is also exploring oncology applications for its internal PD-L1 portfolio.</w:t>
      </w:r>
    </w:p>
    <w:p>
      <w:pPr>
        <w:pStyle w:val="TextBody"/>
        <w:spacing w:before="0" w:after="0"/>
        <w:jc w:val="both"/>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Company had an aggregate of $178.5 million in cash, cash equivalents and investments in marketable securities. The Company had no outstanding debt as of March 31, 2023. The Company believes it has sufficient cash resources to fund its operations for at least the next 12 months.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highlight w:val="white"/>
        </w:rPr>
        <w:t>2.</w:t>
      </w:r>
      <w:r>
        <w:rPr>
          <w:color w:val="000000"/>
        </w:rPr>
        <w:t xml:space="preserve">      </w:t>
      </w:r>
      <w:r>
        <w:rPr>
          <w:rFonts w:ascii="Times New Roman;sans-serif" w:hAnsi="Times New Roman;sans-serif"/>
          <w:b/>
          <w:color w:val="000000"/>
          <w:sz w:val="20"/>
        </w:rPr>
        <w:t>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2022 included in the Company’s Annual Report on Form 10-K for the year ended December 31, 2022.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March 31, 2023 and December 31, 2022, the Company’s results of operations for the three months ended March 31, 2023 and 2022, and the Company’s cash flows for the three months ended March 31, 2023 and 2022. Such adjustments are of a normal recurring nature. The results of operations for the three months ended March 31, 2023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2022, except as described below under Recent Accounting Pronouncements.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balances and transactions have been eliminated. Certain prior year amounts have been reclassified to conform to the current year presentation.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is calculated based on the weighted average number of common shares outstanding. Diluted net loss per share does not differ from basic net loss per share for the three months ended March 31, 2023 and 2022, since the effect of including potential common shares would be anti-dilutive. For the three months ended March 31, 2023, potential common shares of 19.7 million pertaining to outstanding stock options and unvested restricted stock units were excluded from the calculation of net loss per share. A total of approximately 15.7 million outstanding stock options were excluded from the calculation for the three months ended March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collaborations and licenses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Company’s collaboration agreements fall under the scope of Accounting Standards Codification (“ASC”) Topic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 xml:space="preserve">(“ASC 808”), when both parties are active participants in the arrangement and are exposed to significant risks and rewards. For certain arrangements under the scope of ASC 808, the Company analogizes to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for some aspects, including for the delivery of a good or service (i.e., a unit of account).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sans-serif" w:hAnsi="Times New Roman;sans-serif"/>
          <w:b w:val="false"/>
          <w:i/>
          <w:color w:val="000000"/>
          <w:sz w:val="20"/>
        </w:rPr>
        <w:t>Balance Sheet - Offsetting</w:t>
      </w:r>
      <w:r>
        <w:rPr>
          <w:color w:val="000000"/>
        </w:rPr>
        <w:t xml:space="preserve"> </w:t>
      </w:r>
      <w:r>
        <w:rPr>
          <w:rFonts w:ascii="Times New Roman;sans-serif" w:hAnsi="Times New Roman;sans-serif"/>
          <w:b w:val="false"/>
          <w:color w:val="000000"/>
          <w:sz w:val="20"/>
        </w:rPr>
        <w:t>(“ASC 210-20”) the Company’s deferred revenue is offset by a contract asset as further discussed in Note 9.</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segment.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issued Accounting Standards Update 2016-13, Financial Instruments - Credit Losses: Measurement of Credit Losses in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all other recently issued standards and has determined that such standards will not have a material impact on the Company’s financial statements or do not otherwise apply to the Company’s operations.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instruments and other items at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 </w:t>
      </w:r>
    </w:p>
    <w:p>
      <w:pPr>
        <w:pStyle w:val="TextBody"/>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1 inputs are quoted market prices for identical instruments available in active markets.</w:t>
      </w:r>
    </w:p>
    <w:p>
      <w:pPr>
        <w:pStyle w:val="TextBody"/>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pStyle w:val="TextBody"/>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3 inputs are unobservable inputs for the asset or liability and will reflect management’s assumptions about market assumptions that would be used to price the asset or liability.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accounts receivable, accounts payable and accrued liabilities approximate their fair values due to the immediate or short-term maturity of these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$7.8 million as of March 31, 2023 and the increase of $0.3 million from December 31, 2022 has been recorded as a component of total operating expenses in the statements of operations and comprehensive loss for the three months ended March 31, 2023.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and indicates the fair value hierarchy of the valuation techniques used to determine such fair value:</w:t>
      </w:r>
    </w:p>
    <w:p>
      <w:pPr>
        <w:pStyle w:val="TextBody"/>
        <w:spacing w:before="0" w:after="0"/>
        <w:jc w:val="both"/>
        <w:rPr/>
      </w:pPr>
      <w:r>
        <w:rPr/>
      </w:r>
    </w:p>
    <w:tbl>
      <w:tblPr>
        <w:tblW w:w="9390" w:type="dxa"/>
        <w:jc w:val="left"/>
        <w:tblInd w:w="0" w:type="dxa"/>
        <w:tblCellMar>
          <w:top w:w="28" w:type="dxa"/>
          <w:left w:w="28" w:type="dxa"/>
          <w:bottom w:w="28" w:type="dxa"/>
          <w:right w:w="28" w:type="dxa"/>
        </w:tblCellMar>
      </w:tblPr>
      <w:tblGrid>
        <w:gridCol w:w="1480"/>
        <w:gridCol w:w="1300"/>
        <w:gridCol w:w="1315"/>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8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2023</w:t>
            </w:r>
          </w:p>
        </w:tc>
        <w:tc>
          <w:tcPr>
            <w:tcW w:w="52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tbl>
      <w:tblPr>
        <w:tblW w:w="9389" w:type="dxa"/>
        <w:jc w:val="left"/>
        <w:tblInd w:w="0" w:type="dxa"/>
        <w:tblCellMar>
          <w:top w:w="28" w:type="dxa"/>
          <w:left w:w="28" w:type="dxa"/>
          <w:bottom w:w="28" w:type="dxa"/>
          <w:right w:w="28" w:type="dxa"/>
        </w:tblCellMar>
      </w:tblPr>
      <w:tblGrid>
        <w:gridCol w:w="1479"/>
        <w:gridCol w:w="1304"/>
        <w:gridCol w:w="1311"/>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79"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52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fair value of the Company’s contingent consideration: </w:t>
      </w:r>
    </w:p>
    <w:tbl>
      <w:tblPr>
        <w:tblW w:w="10205" w:type="dxa"/>
        <w:jc w:val="left"/>
        <w:tblInd w:w="0" w:type="dxa"/>
        <w:tblCellMar>
          <w:top w:w="28" w:type="dxa"/>
          <w:left w:w="28" w:type="dxa"/>
          <w:bottom w:w="28" w:type="dxa"/>
          <w:right w:w="28" w:type="dxa"/>
        </w:tblCellMar>
      </w:tblPr>
      <w:tblGrid>
        <w:gridCol w:w="1031"/>
        <w:gridCol w:w="906"/>
        <w:gridCol w:w="910"/>
        <w:gridCol w:w="544"/>
        <w:gridCol w:w="1591"/>
        <w:gridCol w:w="281"/>
        <w:gridCol w:w="109"/>
        <w:gridCol w:w="109"/>
        <w:gridCol w:w="109"/>
        <w:gridCol w:w="594"/>
        <w:gridCol w:w="1313"/>
        <w:gridCol w:w="307"/>
        <w:gridCol w:w="109"/>
        <w:gridCol w:w="109"/>
        <w:gridCol w:w="109"/>
        <w:gridCol w:w="444"/>
        <w:gridCol w:w="1300"/>
        <w:gridCol w:w="330"/>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28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beginning of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in fair value of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end of the period</w:t>
            </w:r>
          </w:p>
        </w:tc>
      </w:tr>
      <w:tr>
        <w:trPr/>
        <w:tc>
          <w:tcPr>
            <w:tcW w:w="2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before="1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120" w:after="283"/>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4.    Investments in marketable securities</w:t>
      </w: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consisted of the following:</w:t>
      </w:r>
    </w:p>
    <w:tbl>
      <w:tblPr>
        <w:tblW w:w="10205" w:type="dxa"/>
        <w:jc w:val="left"/>
        <w:tblInd w:w="0" w:type="dxa"/>
        <w:tblCellMar>
          <w:top w:w="28" w:type="dxa"/>
          <w:left w:w="28" w:type="dxa"/>
          <w:bottom w:w="28" w:type="dxa"/>
          <w:right w:w="28" w:type="dxa"/>
        </w:tblCellMar>
      </w:tblPr>
      <w:tblGrid>
        <w:gridCol w:w="1212"/>
        <w:gridCol w:w="1039"/>
        <w:gridCol w:w="1040"/>
        <w:gridCol w:w="227"/>
        <w:gridCol w:w="890"/>
        <w:gridCol w:w="117"/>
        <w:gridCol w:w="109"/>
        <w:gridCol w:w="109"/>
        <w:gridCol w:w="109"/>
        <w:gridCol w:w="513"/>
        <w:gridCol w:w="989"/>
        <w:gridCol w:w="267"/>
        <w:gridCol w:w="109"/>
        <w:gridCol w:w="109"/>
        <w:gridCol w:w="109"/>
        <w:gridCol w:w="363"/>
        <w:gridCol w:w="1185"/>
        <w:gridCol w:w="187"/>
        <w:gridCol w:w="109"/>
        <w:gridCol w:w="109"/>
        <w:gridCol w:w="109"/>
        <w:gridCol w:w="211"/>
        <w:gridCol w:w="826"/>
        <w:gridCol w:w="158"/>
      </w:tblGrid>
      <w:tr>
        <w:trPr/>
        <w:tc>
          <w:tcPr>
            <w:tcW w:w="121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2023</w:t>
            </w:r>
          </w:p>
        </w:tc>
        <w:tc>
          <w:tcPr>
            <w:tcW w:w="69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money market fund</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auto" w:val="clear"/>
            <w:vAlign w:val="center"/>
          </w:tcPr>
          <w:p>
            <w:pPr>
              <w:pStyle w:val="TableContents"/>
              <w:spacing w:before="0" w:after="283"/>
              <w:rPr>
                <w:sz w:val="4"/>
                <w:szCs w:val="4"/>
              </w:rPr>
            </w:pPr>
            <w:r>
              <w:rPr>
                <w:sz w:val="4"/>
                <w:szCs w:val="4"/>
              </w:rPr>
            </w:r>
          </w:p>
        </w:tc>
        <w:tc>
          <w:tcPr>
            <w:tcW w:w="1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Gross unrealized gain (loss) is pre-tax and is reported in accumulated other comprehensive loss.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07"/>
        <w:gridCol w:w="1039"/>
        <w:gridCol w:w="1045"/>
        <w:gridCol w:w="227"/>
        <w:gridCol w:w="890"/>
        <w:gridCol w:w="117"/>
        <w:gridCol w:w="109"/>
        <w:gridCol w:w="109"/>
        <w:gridCol w:w="109"/>
        <w:gridCol w:w="513"/>
        <w:gridCol w:w="989"/>
        <w:gridCol w:w="267"/>
        <w:gridCol w:w="109"/>
        <w:gridCol w:w="109"/>
        <w:gridCol w:w="109"/>
        <w:gridCol w:w="363"/>
        <w:gridCol w:w="1184"/>
        <w:gridCol w:w="187"/>
        <w:gridCol w:w="109"/>
        <w:gridCol w:w="109"/>
        <w:gridCol w:w="109"/>
        <w:gridCol w:w="211"/>
        <w:gridCol w:w="826"/>
        <w:gridCol w:w="159"/>
      </w:tblGrid>
      <w:tr>
        <w:trPr/>
        <w:tc>
          <w:tcPr>
            <w:tcW w:w="1207"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69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Gross unrealized gain (loss) is pre-tax and is reported in accumulated other comprehensive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term to maturity of the $106.2 million of short-term marketable securities held by the Company as of March 31, 2023 is less than one year. As of March 31, 2023, the Company held $31.8 million of long-term marketable securities with contractual maturities of more than one year, but less than five years. As of December 31, 2022, the Company’s $116.1 million of short-term marketable securities had contractual maturities of less than one year, while the Company’s $37.4 million of long-term marketable securities had maturities of more than one year, but less than five years.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respectively, the Company had 47 and 53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likely that the Company will not be required to sell the securities prior to the anticipated recovery of their amortized cost basis. The issuers continue to make timely interest payments on the bonds. The fair value is expected to recover as the bonds approach maturity.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investments in marketable securities totaling $0.6 million at each of March 31, 2023 and December 31, 2022 is included in Prepaid expenses and other current assets.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realized gains or losses during the three months ended March 31, 2023. The Company had realized gains of less than $0.1 million for the three months ended March 31, 2022.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5.</w:t>
      </w:r>
      <w:r>
        <w:rPr>
          <w:color w:val="000000"/>
        </w:rPr>
        <w:t>     </w:t>
      </w:r>
      <w:r>
        <w:rPr>
          <w:rFonts w:ascii="Times New Roman;sans-serif" w:hAnsi="Times New Roman;sans-serif"/>
          <w:b/>
          <w:color w:val="000000"/>
          <w:sz w:val="20"/>
        </w:rPr>
        <w:t>Investment in Genevant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agreement with Roivant Sciences Ltd.,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March 31, 2023, the carrying value of the Company’s investment in Genevant was zero and the Company owned approximately 16% of the common equity of Genevant.</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Accounts payable and accrued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are comprised of the following:</w:t>
      </w:r>
    </w:p>
    <w:tbl>
      <w:tblPr>
        <w:tblW w:w="7135" w:type="dxa"/>
        <w:jc w:val="left"/>
        <w:tblInd w:w="0" w:type="dxa"/>
        <w:tblCellMar>
          <w:top w:w="28" w:type="dxa"/>
          <w:left w:w="28" w:type="dxa"/>
          <w:bottom w:w="28" w:type="dxa"/>
          <w:right w:w="28" w:type="dxa"/>
        </w:tblCellMar>
      </w:tblPr>
      <w:tblGrid>
        <w:gridCol w:w="1448"/>
        <w:gridCol w:w="1276"/>
        <w:gridCol w:w="1280"/>
        <w:gridCol w:w="284"/>
        <w:gridCol w:w="829"/>
        <w:gridCol w:w="146"/>
        <w:gridCol w:w="109"/>
        <w:gridCol w:w="109"/>
        <w:gridCol w:w="109"/>
        <w:gridCol w:w="300"/>
        <w:gridCol w:w="1026"/>
        <w:gridCol w:w="219"/>
      </w:tblGrid>
      <w:tr>
        <w:trPr/>
        <w:tc>
          <w:tcPr>
            <w:tcW w:w="144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accruals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 accruals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payable and accrued liabilities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120" w:after="283"/>
        <w:rPr/>
      </w:pPr>
      <w:r>
        <w:rPr/>
      </w:r>
    </w:p>
    <w:p>
      <w:pPr>
        <w:pStyle w:val="TextBody"/>
        <w:spacing w:before="0" w:after="0"/>
        <w:ind w:left="0" w:right="0" w:hanging="540"/>
        <w:jc w:val="both"/>
        <w:rPr/>
      </w:pPr>
      <w:r>
        <w:rPr/>
      </w:r>
    </w:p>
    <w:p>
      <w:pPr>
        <w:pStyle w:val="TextBody"/>
        <w:spacing w:before="0" w:after="0"/>
        <w:ind w:left="0" w:right="0" w:hanging="540"/>
        <w:jc w:val="both"/>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7.    Sale of future royalties </w:t>
      </w:r>
    </w:p>
    <w:p>
      <w:pPr>
        <w:pStyle w:val="TextBody"/>
        <w:spacing w:lineRule="auto" w:line="288" w:before="240" w:after="283"/>
        <w:jc w:val="both"/>
        <w:rPr/>
      </w:pPr>
      <w:r>
        <w:rPr>
          <w:rFonts w:ascii="Times New Roman;sans-serif" w:hAnsi="Times New Roman;sans-serif"/>
          <w:b w:val="false"/>
          <w:color w:val="000000"/>
          <w:sz w:val="20"/>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(Patisiran) (“ONPATTRO”), an RNA interference therapeutic currently being sold by Alnylam Pharmaceuticals, Inc. (“Alnylam”).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2023, the Company estimated an effective annual interest rate of approximately 7.6%.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2023, the Company has recorded an aggregate of $20.0 million of non-cash royalty revenue for royalties earned by OMERS. There are a number of factors that could materially affect the amount and timing of royalty payments from Alnylam, none of which are within the Company’s control.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recognized non-cash royalty revenue of $1.2 million and related non-cash interest expense of $0.2 million. During the three months ended March 31, 2022, the Company recognized non-cash royalty revenue of $1.4 million and related non-cash interest expense of $0.5 million.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activity related to the net liability for the three months ended March 31, 2023 and 2022:</w:t>
      </w:r>
    </w:p>
    <w:tbl>
      <w:tblPr>
        <w:tblW w:w="7884" w:type="dxa"/>
        <w:jc w:val="center"/>
        <w:tblInd w:w="0" w:type="dxa"/>
        <w:tblCellMar>
          <w:top w:w="28" w:type="dxa"/>
          <w:left w:w="28" w:type="dxa"/>
          <w:bottom w:w="28" w:type="dxa"/>
          <w:right w:w="28" w:type="dxa"/>
        </w:tblCellMar>
      </w:tblPr>
      <w:tblGrid>
        <w:gridCol w:w="1966"/>
        <w:gridCol w:w="1727"/>
        <w:gridCol w:w="1737"/>
        <w:gridCol w:w="211"/>
        <w:gridCol w:w="721"/>
        <w:gridCol w:w="109"/>
        <w:gridCol w:w="109"/>
        <w:gridCol w:w="109"/>
        <w:gridCol w:w="109"/>
        <w:gridCol w:w="211"/>
        <w:gridCol w:w="721"/>
        <w:gridCol w:w="154"/>
      </w:tblGrid>
      <w:tr>
        <w:trPr/>
        <w:tc>
          <w:tcPr>
            <w:tcW w:w="1966"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Contingencies and commitments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Purchase Agreement with Enantigen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is a financial liability and is measured at its fair value at each reporting period, with any changes in fair value from the previous reporting period recorded in the statements of operations and comprehensive loss (see Note 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was $7.8 million as of March 31, 2023.</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9.</w:t>
      </w:r>
      <w:r>
        <w:rPr>
          <w:color w:val="000000"/>
        </w:rPr>
        <w:t xml:space="preserve">      </w:t>
      </w:r>
      <w:r>
        <w:rPr>
          <w:rFonts w:ascii="Times New Roman;sans-serif" w:hAnsi="Times New Roman;sans-serif"/>
          <w:b/>
          <w:color w:val="000000"/>
          <w:sz w:val="20"/>
        </w:rPr>
        <w:t>Collaborations, contracts and licensing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Qilu Pharmaceutical Co., Ltd.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AB-729, including pharmaceutical products that include AB-729, for the treatment or prevention of hepatitis B in China, Hong Kong, Macau and Taiwan (the “Territory”).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AB-729 in the Territory. The royalties are payable on a product-by-product and region-by-region basis, subject to certain limitations.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Qilu has received all approvals required for it or its designated contract manufacturing organization to manufacture AB-729 in the Territory.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of the combined performance obligation to be $49.3 million, which includes the $40.0 million upfront fee, $4.4 million of withholding taxes paid by Qilu on behalf of the Company, the premium 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three months ended March 31, 2023:</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20"/>
        <w:gridCol w:w="1070"/>
        <w:gridCol w:w="1076"/>
        <w:gridCol w:w="267"/>
        <w:gridCol w:w="914"/>
        <w:gridCol w:w="138"/>
        <w:gridCol w:w="109"/>
        <w:gridCol w:w="109"/>
        <w:gridCol w:w="109"/>
        <w:gridCol w:w="614"/>
        <w:gridCol w:w="2099"/>
        <w:gridCol w:w="320"/>
        <w:gridCol w:w="109"/>
        <w:gridCol w:w="109"/>
        <w:gridCol w:w="109"/>
        <w:gridCol w:w="354"/>
        <w:gridCol w:w="1214"/>
        <w:gridCol w:w="265"/>
      </w:tblGrid>
      <w:tr>
        <w:trPr/>
        <w:tc>
          <w:tcPr>
            <w:tcW w:w="12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3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3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Collaboration Revenue Recognized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License Revenue</w:t>
            </w:r>
          </w:p>
        </w:tc>
      </w:tr>
      <w:tr>
        <w:trPr/>
        <w:tc>
          <w:tcPr>
            <w:tcW w:w="3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performance obligation</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30,119 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19,151 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asset</w:t>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license revenue</w:t>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deferred license revenue</w:t>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license revenue</w:t>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$4.1 million and $9.6 million of revenue based on labor hours expended by the Company on its Manufacturing Obligations during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balance of the deferred license revenue was $19.2 million, which, in accordance with ASC 210-20, was partially offset by the contract asset associated with the manufacturing cost reimbursement of $0.8 million, resulting in a net deferred license revenue liability of $18.4 million. The $4.4 million of withholding taxes paid by Qilu on behalf of the Company was recorded as income tax expense during the twelve months ended December 31, 2022.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less than $0.1 million and no expense for related amortization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Vaccitech plc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entered into a clinical collaboration agreement with Vaccitech plc (“Vaccitech”) to evaluate AB-729 followed by Vaccitech’s VTP-300, a proprietary T-cell stimulating HBV antigen-specific immunotherapeutic, in nucleos(t)ide reverse transcriptase inhibitor (“NrtI”)-suppressed patients with cHBV.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120" w:after="283"/>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 The Company incurred $0.6 million and $0.2 million of expenses, net of reimbursements from Vaccitech, related to the collaboration during the three months ended March 31, 2023 and 2022, respectively and reflected those costs in research and development in the statements of operations and comprehensive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Assembly Biosciences,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clinical collaboration agreement with Assembly Biosciences, Inc. (“Assembly”) to evaluate AB-729 in combination with Assembly’s first-generation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continued dosing patients in the Phase 2a proof-of-concept clinical trial in order to fully and accurately assess the results. Based on preliminary data reported in late 2022, both parties have mutually agreed to discontinue the clinical trial following completion of the final, on-treatment visit at week 48. The Company and Assembly are sharing in the costs of the collaboration. The Company incurred $0.7 million and $0.6 million of expenses related to the collaboration during the three months ended March 31, 2023 and 2022, respectively. Those costs are reflected in research and development in the statements of operations and comprehensive loss. Except to the extent necessary to carry out Assembly’s responsibilities with respect to the collaboration trial, the Company has not provided any license grant to Assembly for use of its AB-729 compound.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X-Chem, Inc. and Proteros biostructures GmbH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entered into a discovery research and license agreement, as amended, with X-Chem, Inc. (“X-Chem”) and Proteros biostructures GmbH (“Proteros”) to focus on the discovery of novel inhibitors targeting the SARS-CoV-2 nsp5 main protease (Mpro). The agreement is designed to accelerate the development of pan-coronavirus agents to treat COVID-19 and potential future coronavirus outbreaks. This collaboration brought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Mpro (an essential protein required for the virus to replicate itself) and the use of state-of-the-art structure guided methods to rapidly optimize Mpro inhibitors to progress to clinical candidates. Through this collaboration, the Company has identified and obtained a worldwide exclusive license to several molecules that inhibit Mpro, a validated target for the treatment of COVID-19 and potential future coronavirus outbreaks. In the fourth quarter of 2022, the Company nominated AB-343 as its lead candidate that inhibits Mpro and the Company is also continuing lead optimization activities for an nsp12 viral polymerase candidate.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provides for payments by the Company to X-Chem and Proteros upon satisfaction of certain development, regulatory and commercial milestones, as well as royalties on sales. The agreement with X-Chem and Proteros was amended, effective March 31, 2022, primarily to extend the term of the collaboration and update the funding and fee structure. The Company incurred $0.5 million and $0.3 million of expenses related to the collaboration during the three months ended March 31, 2023 and 2022, respectively. Those costs are reflected in research and development in the statements of operations and comprehensive loss.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Royalty Entitlements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Alnylam Pharmaceuticals, Inc. and Acuitas Therapeutics, Inc.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royalty entitlements to Alnylam’s global net sales of ONPATTRO.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120" w:after="283"/>
        <w:rPr/>
      </w:pPr>
      <w:r>
        <w:rPr/>
      </w:r>
    </w:p>
    <w:p>
      <w:pPr>
        <w:pStyle w:val="TextBody"/>
        <w:spacing w:lineRule="auto" w:line="268" w:before="0" w:after="0"/>
        <w:jc w:val="both"/>
        <w:rPr/>
      </w:pPr>
      <w:r>
        <w:rPr>
          <w:rFonts w:ascii="Times New Roman;sans-serif" w:hAnsi="Times New Roman;sans-serif"/>
          <w:b w:val="false"/>
          <w:color w:val="000000"/>
          <w:sz w:val="20"/>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March 31, 2023, an aggregate of $20.0 million of</w:t>
      </w:r>
      <w:r>
        <w:rPr>
          <w:color w:val="000000"/>
        </w:rPr>
        <w:t xml:space="preserve"> </w:t>
      </w:r>
      <w:r>
        <w:rPr>
          <w:rFonts w:ascii="Times New Roman;sans-serif" w:hAnsi="Times New Roman;sans-serif"/>
          <w:b w:val="false"/>
          <w:color w:val="000000"/>
          <w:sz w:val="20"/>
        </w:rPr>
        <w:t xml:space="preserve">royalties have been earned by OMERS.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Revenues are summarized in the following table:</w:t>
      </w:r>
    </w:p>
    <w:tbl>
      <w:tblPr>
        <w:tblW w:w="6862" w:type="dxa"/>
        <w:jc w:val="left"/>
        <w:tblInd w:w="0" w:type="dxa"/>
        <w:tblCellMar>
          <w:top w:w="28" w:type="dxa"/>
          <w:left w:w="28" w:type="dxa"/>
          <w:bottom w:w="28" w:type="dxa"/>
          <w:right w:w="28" w:type="dxa"/>
        </w:tblCellMar>
      </w:tblPr>
      <w:tblGrid>
        <w:gridCol w:w="1162"/>
        <w:gridCol w:w="1021"/>
        <w:gridCol w:w="1027"/>
        <w:gridCol w:w="290"/>
        <w:gridCol w:w="850"/>
        <w:gridCol w:w="149"/>
        <w:gridCol w:w="149"/>
        <w:gridCol w:w="149"/>
        <w:gridCol w:w="149"/>
        <w:gridCol w:w="290"/>
        <w:gridCol w:w="996"/>
        <w:gridCol w:w="149"/>
        <w:gridCol w:w="109"/>
        <w:gridCol w:w="109"/>
        <w:gridCol w:w="109"/>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81"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481" w:type="dxa"/>
            <w:gridSpan w:val="4"/>
            <w:tcBorders/>
            <w:shd w:fill="auto" w:val="clea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Acuitas Therapeutics, Inc.</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Alnylam Pharmaceuticals, Inc.</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Authorized share capital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Company’s authorized share capital consists of an unlimited number of common shares and preferred shares, without par value, and 1,164,000 Series A participating convertible preferred shares, without par value.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Open Market Sale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Open Market Sale Agreement with Jefferies LLC dated December 20, 2018, as amended by Amendment No. 1, dated December 20, 2019, Amendment No. 2, dated August 7, 2020 and Amendment No. 3, dated March 4, 2021 (as amended, the “Sale Agreement”), under which the Company may issue and sell common shares, from time to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for an offering of up to an additional $75.0 million of its common shares pursuant to the Sale Agreement under the October 2020 Registration Statement. The March 2021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the Company issued 7,423,622 and 69,048 common shares pursuant to the Sale Agreement, respectively, resulting in net proceeds of approximately $19.9 million and $0.3 million, respectively. As of March 31, 2023, there was approximately $110.7 million remaining available in aggregate under the October 2021 Prospectus Supplement and the March 2022 Prospectus Supplement.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information about the Company’s stock-based compensation for the three months ended March 31, 2023 and 2022 and the expense recognized in the condensed consolidated statements of operations: </w:t>
      </w:r>
    </w:p>
    <w:tbl>
      <w:tblPr>
        <w:tblW w:w="7579" w:type="dxa"/>
        <w:jc w:val="center"/>
        <w:tblInd w:w="0" w:type="dxa"/>
        <w:tblCellMar>
          <w:top w:w="28" w:type="dxa"/>
          <w:left w:w="28" w:type="dxa"/>
          <w:bottom w:w="28" w:type="dxa"/>
          <w:right w:w="28" w:type="dxa"/>
        </w:tblCellMar>
      </w:tblPr>
      <w:tblGrid>
        <w:gridCol w:w="1335"/>
        <w:gridCol w:w="1175"/>
        <w:gridCol w:w="1180"/>
        <w:gridCol w:w="297"/>
        <w:gridCol w:w="869"/>
        <w:gridCol w:w="153"/>
        <w:gridCol w:w="153"/>
        <w:gridCol w:w="153"/>
        <w:gridCol w:w="153"/>
        <w:gridCol w:w="297"/>
        <w:gridCol w:w="869"/>
        <w:gridCol w:w="153"/>
        <w:gridCol w:w="140"/>
        <w:gridCol w:w="140"/>
        <w:gridCol w:w="140"/>
        <w:gridCol w:w="109"/>
        <w:gridCol w:w="109"/>
        <w:gridCol w:w="154"/>
      </w:tblGrid>
      <w:tr>
        <w:trPr/>
        <w:tc>
          <w:tcPr>
            <w:tcW w:w="133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72" w:type="dxa"/>
            <w:gridSpan w:val="3"/>
            <w:tcBorders/>
            <w:shd w:fill="auto" w:val="clea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w:t>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 during period</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4,372,295 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(RSUs)</w:t>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during period</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1,344,550 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w:t>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1,344,550 restricted stock units (“RSUs”). The RSUs vest in three equal annual installments beginning one year from the grant date.</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2022 and our unaudited condensed consolidated financial statements for the three months ended March 31, 2023. Our consolidated financial statements have been prepared in accordance with United States generally accepted accounting principles and are presented in U.S. dollars.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REFERENCES TO ARBUTUS BIOPHARMA CORPORATION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pStyle w:val="TextBody"/>
        <w:spacing w:before="0" w:after="0"/>
        <w:jc w:val="both"/>
        <w:rPr/>
      </w:pPr>
      <w:r>
        <w:rPr/>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strategy, future operations, preclinical research, preclinical studies, clinical trials, prospects and the plans of management;</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our product candidates to achieve their desired or anticipated outcomes;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cost, timing and results of our clinical development plans and clinical trials, including our clinical collaborations with third parties;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discovery, development and commercialization of a curative combination regimen for chronic hepatitis B infection, a disease of the liver caused by the hepatitis B virus (“HBV”);</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of our product candidates to improve upon the standard of care and contribute to a functional curative combination treatment regimen;</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necessary regulatory approvals;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adequate financing through a combination of financing activities and operations;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us to discover and/or develop new molecular entities for treating coronaviruses, including COVID-19;</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returns and benefits from strategic alliances, licensing agreements, and research collaborations with third parties, and the timing thereof;</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our technology licensed to third parties, and the timing thereof;</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anticipated revenue and expense fluctuation and guidance;</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the timing of announcing data from our ongoing clinical trials;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current patent disputes and litigation;</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of a net cash burn between $90 million and $95 million in 2023;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belief that we have sufficient cash resources to fund our operations into the first quarter of 2025,</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2022 (the “Form 10-K”), and in particular the risks and uncertainties discussed under “Item 1A-Risk Factors” of this Form 10-Q and the Form 10-K. As a result, you should not place undue reliance on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3260"/>
                <wp:effectExtent l="0" t="0" r="0" b="0"/>
                <wp:wrapNone/>
                <wp:docPr id="20" name="Frame20"/>
                <a:graphic xmlns:a="http://schemas.openxmlformats.org/drawingml/2006/main">
                  <a:graphicData uri="http://schemas.microsoft.com/office/word/2010/wordprocessingShape">
                    <wps:wsp>
                      <wps:cNvSpPr txBox="1"/>
                      <wps:spPr>
                        <a:xfrm>
                          <a:off x="0" y="0"/>
                          <a:ext cx="6480175" cy="6832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120" w:after="283"/>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To address HBV, we are developing an RNA interference (“RNAi”) therapeutic, AB-729, an oral PD-L1 inhibitor, AB-101, and an oral RNA destabilizer, AB-161, to potentially identify a combination regimen with the aim of providing a functional cure for patients with chronic HBV infection (“cHBV”) by suppressing viral replication, reducing surface antigen and reawakening the immune system. We believe our lead compound, AB-729, is the only RNAi therapeutic with evidence of immune re-awakening. AB-729 is currently being evaluated in multiple phase 2 clinical trials. In addition, a Phase 1 clinical trial with AB-161 was recently initiated. We also have an ongoing drug discovery and development program directed to identifying novel, orally active agents for treating coronaviruses, including SARS-CoV-2, where we have nominated a compound and have begun IND-enabling preclinical studies. In addition, we are also exploring oncology applications for our internal PD-L1 portfolio.</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core elements of our strategy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Developing a broad portfolio of compounds that target cHBV.</w:t>
      </w:r>
      <w:r>
        <w:rPr>
          <w:color w:val="000000"/>
        </w:rPr>
        <w:t xml:space="preserve"> </w:t>
      </w:r>
      <w:r>
        <w:rPr>
          <w:rFonts w:ascii="Times New Roman;sans-serif" w:hAnsi="Times New Roman;sans-serif"/>
          <w:b w:val="false"/>
          <w:color w:val="000000"/>
          <w:sz w:val="20"/>
        </w:rPr>
        <w:t>Our HBV product pipeline includes a subcutaneously-delivered RNAi therapeutic, an oral HBV RNA destabilizer compound and an oral PD-L1 inhibitor. We believe that a combination of compounds that can suppress HBV DNA replication and hepatitis B surface antigen (“HBsAg”) expression as well as reawaken patients’ HBV-specific immune response would address the most important elements to achieving a functional cure. We define a functional cure as unquantifiable plasma HBV DNA and HBsAg levels more than six months after discontinuation of all treatment, with or without quantifiable anti-HBsAg antibodies.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AB-729 is our proprietary subcutaneously-delivered RNAi therapeutic product candidate that suppresses all HBV antigens, including HBsAg expression, which is thought to be a key prerequisite to enable reawakening of a patient’s immune system to respond to HBV. AB-729 is currently in two Phase 2a proof-of-concept clinical trials in combination with other agents with potentially complementary mechanisms of action, and we are also continuing to follow patients from our Phase 1a/1b clinical trial (“AB-729-001”). Preliminary data from AB-729-001 has shown that treatment with AB-729 provided robust and comparable HBsAg declines regardless of dose, dosing interval or patient characteristics and was generally safe and well-tolerated after completing dosing in 41 patients. Preliminary data also suggests that treatment with AB-729 increased HBV-specific immune responses and, in a small number of patients who discontinued both AB-729 and nucleos(t)ide analogue (“NA”) therapy, a sustained reduction in HBsAg and HBV DNA persisted after stopping AB-729. The clinical data for AB-729 continues to support its development as a potential cornerstone agent for the treatment of cHBV infection.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Preclinical data presented at the 2022 Discovery on Target Conference showed that AB-161 reduced HBV RNA and HBsAg in multiple preclinical models, with favorable liver centricity and lack of observed peripheral neuropathy. At the Global Hepatitis Summit in April 2023, we presented preclinical data showing that AB-161 provides robust anti-HBV activity, including suppression of HBV RNA and HBsAg production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rFonts w:ascii="Times New Roman;sans-serif" w:hAnsi="Times New Roman;sans-serif"/>
          <w:b w:val="false"/>
          <w:color w:val="000000"/>
          <w:sz w:val="20"/>
        </w:rPr>
        <w:t>.  We recently dosed the first healthy subject in our single-ascending Phase 1 clinical trial with AB-161.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that has the potential to reawaken patients’ HBV-specific immune response by inhibiting PD-L1.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In April 2023, we received verbal communication from the U.S. Food and Drug Administration (“FDA”) that the AB-101 Investigational New Drug (“IND”) application has been placed on clinical hold. For purposes of clarity, the Phase 1 clinical trial had not been initiated and we had not dosed any patients with AB-101. The FDA indicated they will provide an official clinical hold letter to us within thirty days of the verbal communication. Based on this communication, we no longer intend to report initial data from the single-ascending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dose portion of a Phase 1 clinical trial in the second half of 2023. We are also exploring potential oncology applications for our internal PD-L1 portfolio. </w:t>
      </w:r>
    </w:p>
    <w:p>
      <w:pPr>
        <w:pStyle w:val="TextBody"/>
        <w:spacing w:before="0" w:after="0"/>
        <w:jc w:val="both"/>
        <w:rPr/>
      </w:pPr>
      <w:r>
        <w:rPr/>
      </w:r>
    </w:p>
    <w:p>
      <w:pPr>
        <w:pStyle w:val="TextBody"/>
        <w:spacing w:lineRule="auto" w:line="288" w:before="0" w:after="0"/>
        <w:ind w:left="0" w:right="0" w:hanging="360"/>
        <w:jc w:val="both"/>
        <w:rPr/>
      </w:pPr>
      <w:r>
        <w:rPr>
          <w:color w:val="000000"/>
        </w:rPr>
        <w:t xml:space="preserve">• </w:t>
      </w:r>
      <w:r>
        <w:rPr>
          <w:rFonts w:ascii="Times New Roman;sans-serif" w:hAnsi="Times New Roman;sans-serif"/>
          <w:b/>
          <w:color w:val="000000"/>
          <w:sz w:val="20"/>
        </w:rPr>
        <w:t xml:space="preserve">Combining therapeutic product candidates with complementary mechanisms of action to find a functional cure for people with cHBV. </w:t>
      </w:r>
      <w:r>
        <w:rPr>
          <w:rFonts w:ascii="Times New Roman;sans-serif" w:hAnsi="Times New Roman;sans-serif"/>
          <w:b w:val="false"/>
          <w:color w:val="000000"/>
          <w:sz w:val="20"/>
        </w:rPr>
        <w:t>We believe that our proprietary product candidates AB-729, AB-101 and AB-161 may provide our first proprietary combination therapy for patients with cHBV. In-line with our strategy to position AB-729 as a potential cornerstone therapeutic in future HBV combination regimens, and to help guide future development of combination therapies of AB-729 with other compounds from our proprietary HBV portfolio, we are evaluating AB-729 in combination with other agents with potentially complementary mechanisms of action, including the following:</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AB-729 in combination with ongoing standard-of-care NA therapy and short courses of Peg-IFNα-2a in patients with cHBV in a Phase 2a proof-of-concept clinical trial (“AB-729-201”). Preliminary data from the lead-in phase of this clinical trial further validated AB-729’s potential to reduce HBsAg in cHBV patients.</w:t>
      </w:r>
    </w:p>
    <w:p>
      <w:pPr>
        <w:pStyle w:val="TextBody"/>
        <w:spacing w:lineRule="auto" w:line="288" w:before="180" w:after="283"/>
        <w:ind w:left="0" w:right="0" w:hanging="360"/>
        <w:jc w:val="both"/>
        <w:rPr>
          <w:color w:val="000000"/>
        </w:rPr>
      </w:pPr>
      <w:r>
        <w:rPr>
          <w:color w:val="000000"/>
        </w:rPr>
        <w:t>•    </w:t>
      </w:r>
      <w:r>
        <w:rPr>
          <w:rFonts w:ascii="Times New Roman;sans-serif" w:hAnsi="Times New Roman;sans-serif"/>
          <w:b w:val="false"/>
          <w:color w:val="000000"/>
          <w:sz w:val="20"/>
        </w:rPr>
        <w:t>AB-729 in combination with Vaccitech plc’s (“Vaccitech”) VTP-300, a proprietary T-cell stimulating HBV antigen-specific immunotherapeutic, and NA therapy for the treatment of patients with cHBV in a Phase 2a proof-of-concept clinical trial (“AB-729-202”). We recently amended the clinical trial to include an additional arm with an approved PD-1 monoclonal antibody inhibitor, nivolumab (Opdivo®).</w:t>
      </w:r>
    </w:p>
    <w:p>
      <w:pPr>
        <w:pStyle w:val="TextBody"/>
        <w:spacing w:before="0" w:after="0"/>
        <w:jc w:val="both"/>
        <w:rPr/>
      </w:pPr>
      <w:r>
        <w:rPr/>
      </w:r>
    </w:p>
    <w:p>
      <w:pPr>
        <w:pStyle w:val="TextBody"/>
        <w:spacing w:lineRule="auto" w:line="288" w:before="0" w:after="0"/>
        <w:ind w:left="0" w:right="0" w:hanging="360"/>
        <w:jc w:val="both"/>
        <w:rPr/>
      </w:pPr>
      <w:r>
        <w:rPr>
          <w:color w:val="000000"/>
        </w:rPr>
        <w:t>•    </w:t>
      </w:r>
      <w:r>
        <w:rPr>
          <w:rFonts w:ascii="Times New Roman;sans-serif" w:hAnsi="Times New Roman;sans-serif"/>
          <w:b/>
          <w:color w:val="000000"/>
          <w:sz w:val="20"/>
        </w:rPr>
        <w:t xml:space="preserve">Advancing small molecule antiviral product candidates to treat COVID-19 and future coronavirus outbreaks. </w:t>
      </w:r>
      <w:r>
        <w:rPr>
          <w:rFonts w:ascii="Times New Roman;sans-serif" w:hAnsi="Times New Roman;sans-serif"/>
          <w:b w:val="false"/>
          <w:color w:val="000000"/>
          <w:sz w:val="20"/>
        </w:rPr>
        <w:t>This program is focused on the discovery and development of new molecular entities for treating coronaviruses, including COVID-19, that address specific viral targets including the nsp5 viral protease (“Mpro”) and the nsp12 viral polymerase.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    </w:t>
      </w:r>
      <w:r>
        <w:rPr>
          <w:rFonts w:ascii="Times New Roman;sans-serif" w:hAnsi="Times New Roman;sans-serif"/>
          <w:b w:val="false"/>
          <w:color w:val="000000"/>
          <w:sz w:val="20"/>
        </w:rPr>
        <w:t>In the fourth quarter of 2022, we nominated AB-343 as our lead coronavirus drug candidate that inhibits the SARS-CoV-2 Mpro, a validated target for the treatment of COVID-19 and potential future coronavirus outbreaks. At the 36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International Conference on Antiviral Research in March 2023, we presented preclinical data that demonstrated the antiviral potency, selectivity and favorable pharmacokinetic profile of AB-343, which supports the further development of AB-343 as a potential ritonavir-free oral treatment for COVID-19 and other human coronaviruses. We are advancing AB-343 into IND-enabling studies. We are also continuing lead optimization activities for an nsp12 viral polymerase, which could potentially be combined with AB-343 to achieve better patient treatment outcomes and for use in prophylactic settings.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pipeline includes multiple product candidates that target various steps in the HBV viral lifecycle and pan-coronavirus compounds that target essential viral targets for replication.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pipeline consists of the following programs: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both"/>
        <w:rPr/>
      </w:pPr>
      <w:r>
        <w:rPr/>
        <w:drawing>
          <wp:inline distT="0" distB="63500" distL="0" distR="0">
            <wp:extent cx="6286500" cy="2905125"/>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6286500" cy="2905125"/>
                    </a:xfrm>
                    <a:prstGeom prst="rect">
                      <a:avLst/>
                    </a:prstGeom>
                  </pic:spPr>
                </pic:pic>
              </a:graphicData>
            </a:graphic>
          </wp:inline>
        </w:drawing>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expansion opportunities for our pipeline through internal discovery and development activities and through potential strategic alliances.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RNAi therapeutic (AB-729)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AB-729 is a subcutaneously-delivered RNAi single-trigger therapeutic targeted to hepatocytes using our proprietary covalently conjugated GalNAc delivery technology. AB-729 reduces all HBV antigens and inhibits viral replication.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1a/1b single- and multiple-dose clinical trial (AB-729-001)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three-part clinical trial, we investigated the safety, tolerability, pharmacokinetics, and pharmacodynamics of single- and multi-doses of AB-729 in healthy subjects and in cHBV patients with the goal of identifying the most appropriate doses and dosing intervals to take forward into Phase 2 clinical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first two parts evaluated single ascending doses of AB-729 in healthy subjects and in patients with cHBV, respectively. Data showed that a 60mg or 90mg single dose of AB-729 results in robust HBsAg and HBV DNA declines in HBV DNA positive patients. Part 3 of the trial dosed HBV DNA negative/positive patients with 60mg or 90mg of AB-729 every 4, 8 or twelve weeks. Dosing of patients in Part 3 has been completed and we are continuing to follow these patients.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Data from Part 3 of the AB-729-001 clinical trial was presented at the 2022 European Association for the Study of the Liver (EASL) International Liver Congress™ (ILC) in June 2022 and showed that repeat dosing of 60mg and 90mg of AB-729 in 41 patients resulted in robust and comparable HBsAg declines in HBeAg positive/negative and HBV DNA positive/negative patients at week 48 (1.89 to 2.15 log</w:t>
      </w:r>
      <w:r>
        <w:rPr>
          <w:rFonts w:ascii="Times New Roman;sans-serif" w:hAnsi="Times New Roman;sans-serif"/>
          <w:b w:val="false"/>
          <w:color w:val="000000"/>
          <w:sz w:val="13"/>
        </w:rPr>
        <w:t xml:space="preserve">10 </w:t>
      </w:r>
      <w:r>
        <w:rPr>
          <w:rFonts w:ascii="Times New Roman;sans-serif" w:hAnsi="Times New Roman;sans-serif"/>
          <w:b w:val="false"/>
          <w:color w:val="000000"/>
          <w:sz w:val="20"/>
        </w:rPr>
        <w:t>decline in HBsAg). Fifty percent of the patients (16 out of 32) maintained HBsAg levels below 100 IU/mL 24 weeks after their last dose of AB-729. Patients treated with AB-729 experienced an increase in HBV-specific T-cells activation and a decrease in exhausted T-cells. In this trial, AB-729 was generally safe and well-tolerated.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At the AASLD Liver Meeting in November 2022, we presented additional data from Part 3 of the AB-729-001 clinical trial, which included nine patients who had previously completed 48 weeks of treatment with AB-729, and 24 weeks later met protocol-defined criteria to also stop NA therapy. These nine patients had completed 12 to 44 weeks of follow-up after discontinuing their NA therapy. None had met the protocol-defined criteria to restart NA therapy and there was no evidence of clinical or biochemical relapse. HBsAg levels remained at 1.05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to 2.35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 xml:space="preserve">below pre-trial levels in all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nine patients. Three patients experienced transient HBV DNA elevations that spontaneously resolved without intervention, which further supports AB-729’s potential for immunological control.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At the Global Hepatitis Summit in April 2023, we reported in an oral presentation additional off-treatment data from these nine patients who had stopped all treatments. One patient restarted NA therapy at the investigator’s request after the week 20 visit; no alanine transaminase (“ALT”) elevation or safety signals were observed. Another patient met the protocol-defined HBV DNA criteria to restart NA therapy without evidence of any ALT flare. The seven remaining patients continue to maintain low HBV DNA levels off all therapy, and HBsAg levels remain below baseline (-0.8 to -1.6 log</w:t>
      </w:r>
      <w:r>
        <w:rPr>
          <w:rFonts w:ascii="Times New Roman;sans-serif" w:hAnsi="Times New Roman;sans-serif"/>
          <w:b w:val="false"/>
          <w:color w:val="000000"/>
          <w:sz w:val="13"/>
        </w:rPr>
        <w:t>10</w:t>
      </w:r>
      <w:r>
        <w:rPr>
          <w:rFonts w:ascii="Times New Roman;sans-serif" w:hAnsi="Times New Roman;sans-serif"/>
          <w:b w:val="false"/>
          <w:color w:val="000000"/>
          <w:sz w:val="20"/>
        </w:rPr>
        <w:t xml:space="preserve">) up to one and a half years after the last dose of AB-729. There were no adverse events reported and no ALT flares were observed in the clinical trial.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new clinical data for AB-729 continues to support its development as a potential cornerstone agent for the treatment of cHBV infection. The efficacy and safety data for AB-729, derived from up to one year of dosing, supported our view that 60 mg every 8 weeks was an appropriate dose to move forward in our Phase 2a clinical trials. To advance our efforts to position AB-729 as a potential cornerstone therapeutic in future HBV combination regimens, we are evaluating AB-729 in two Phase 2a proof-of-concept combination clinical trials with other agents with potentially complementary mechanisms of action, some via clinical collaborations with other companies as described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AB-729 in combination with Peg-IFNα-2a (AB-729-201)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enrollment in a randomized, open label, multicenter Phase 2a proof-of-concept clinical trial investigating the safety and antiviral activity of AB-729 in combination with ongoing NA therapy and short courses of Peg-IFNα-2a in 43 stably NA-suppressed, HBeAg negative, non-cirrhotic patients with cHBV. After 24-weeks of dosing with AB-729 (60mg every 8 weeks), patients are randomized into one of four arms to receive ongoing NA therapy plus Peg-IFNα-2a for either 12 or 24 weeks, with or without additional doses of AB-729.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Preliminary data from the lead-in phase of the trial further validated AB-729’s capacity to reduce HBsAg. For the first 15 patients who reached week 16 of treatment and received two doses of AB-729 plus NA therapy, the mean HBsAg decline was 1.51 log</w:t>
      </w:r>
      <w:r>
        <w:rPr>
          <w:rFonts w:ascii="Times New Roman;sans-serif" w:hAnsi="Times New Roman;sans-serif"/>
          <w:b w:val="false"/>
          <w:color w:val="000000"/>
          <w:sz w:val="13"/>
        </w:rPr>
        <w:t>10</w:t>
      </w:r>
      <w:r>
        <w:rPr>
          <w:rFonts w:ascii="Times New Roman;sans-serif" w:hAnsi="Times New Roman;sans-serif"/>
          <w:b w:val="false"/>
          <w:color w:val="000000"/>
          <w:sz w:val="20"/>
        </w:rPr>
        <w:t>, comparable to the decline observed at the same timepoint in the Phase 1b clinical trial AB-729-001 (1.56 log</w:t>
      </w:r>
      <w:r>
        <w:rPr>
          <w:rFonts w:ascii="Times New Roman;sans-serif" w:hAnsi="Times New Roman;sans-serif"/>
          <w:b w:val="false"/>
          <w:color w:val="000000"/>
          <w:sz w:val="13"/>
        </w:rPr>
        <w:t>10</w:t>
      </w:r>
      <w:r>
        <w:rPr>
          <w:rFonts w:ascii="Times New Roman;sans-serif" w:hAnsi="Times New Roman;sans-serif"/>
          <w:b w:val="false"/>
          <w:color w:val="000000"/>
          <w:sz w:val="20"/>
        </w:rPr>
        <w:t>), while continuing to exhibit a generally safe and well-tolerated profile. We anticipate providing preliminary data from patients who have received the combination of AB-729, NA therapy and Peg-IFNα-2a in the second quarter of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Vaccitech (AB-729-202)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a clinical collaboration agreement with Vaccitech that we entered into in July 2021, we are enrolling patients in AB-729-202, a Phase 2a proof-of-concept clinical trial evaluating the safety, antiviral activity and immunogenicity of Vaccitech’s VTP-300, a proprietary T-cell stimulating HBV antigen-specific immunotherapeutic, administered after AB-729 in NA-suppressed patients with cHBV. The trial is designed to enroll 40 NA-suppressed, HBeAg negative or positive, non-cirrhotic cHBV patients. All patients will receive AB-729 (60mg every 8 weeks) plus NA therapy for 24 weeks. At week 24, treatment with AB-729 will stop. Patients will continue only their NA therapy and will be randomized to receive VTP-300 or placebo at week 26, week 30 and at week 38 (if protocol-defined eligibility is met). At week 48, all patients will be evaluated for eligibility to discontinue NA therapy and will be followed for an additional 24-48 weeks. We anticipate providing preliminary data from patients who received the combination of AB-729, NA therapy and VTP-300 in the second half of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amended the AB-729-202 protocol to include an additional arm with an approved PD-1 inhibitor, nivolumab (Opdivo®). In this additional arm, twenty patients will receive AB-729 (60mg every 8 weeks) plus NA therapy for 24 weeks, followed by administration of VTP-300 plus a low dose of nivolumab in conjunction with the booster dose(s) only while remaining on their NA therapy. At week 48, all patients will be evaluated for eligibility to discontinue NA therapy, and will be followed for an additional 24-48 weeks. We anticipate dosing the first patient in this amended arm in the second quarter of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clinical trial is being managed by us, subject to oversight by a joint development committee comprised of representatives from both companies. We and Vaccitech retain full rights to our respective product candidates and will split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costs associated with the clinical trial. Pursuant to the agreement, the parties intend to undertake a larger Phase 2b clinical trial depending on the results of the initial Phase 2a clinical trial.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HBV RNA Destabilizer (AB-161)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HBV RNA destabilizers are small molecule orally available agents that cause the destabilization and ultimate degradation of HBV RNAs. Mechanistically, RNA destabilizers target the host proteins PAPD5/7, which are involved in regulating the stability of HBV RNA transcripts.  In doing so, RNA destabilizers lead to the selective degradation of HBV RNAs, thus reducing HBsAg levels and inhibiting viral replication. To provide a proprietary all-oral treatment regimen for patients with cHBV, we believe inclusion of a small molecule RNA destabilizer is key. HBV RNA destabilizers have the potential to complement or replace subcutaneously delivered RNAi agents, such as AB-729.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AB-161 is our next-generation oral small molecule RNA destabilizer specifically designed to target the liver. We have conducted extensive non-clinical safety evaluations with AB-161 that provide confidence in this molecule’s ability to circumvent the peripheral neuropathy findings seen in non-clinical safety studies with our first-generation oral RNA destabilizer, AB-452. Preclinical data presented at the 2022 Discovery on Target Conference showed that AB-161 reduced HBV RNA and HBsAg in multiple preclinical models, with favorable liver centricity and lack of observed peripheral neuropathy. At the Global Hepatitis Summit in April 2023, we presented preclinical data showing that AB-161 provides robust anti-HBV activity, including suppression of HBV RNA and HBsAg production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rFonts w:ascii="Times New Roman;sans-serif" w:hAnsi="Times New Roman;sans-serif"/>
          <w:b w:val="false"/>
          <w:color w:val="000000"/>
          <w:sz w:val="20"/>
        </w:rPr>
        <w:t>. We recently dosed the first healthy subject in our Phase 1 clinical trial with AB-161, with initial single-ascending dose data expected in the second half of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PD-L1 Inhibitor (AB-101)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candidate that we believe will allow for controlled checkpoint blockade while minimizing the systemic safety issues typically seen with checkpoint antibody therapies. Preclinical data generated thus far indicates that AB-101 mediates activation and reinvigoration of HBV-specific T-cells from cHBV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was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believe AB-101, when used in combination with other approved and investigational agents, could potentially lead to a functional cure in HBV chronically infected patients.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verbal communication from the FDA that the AB-101 IND application has been placed on clinical hold. For purposes of clarity, the Phase 1 clinical trial had not been initiated and we had not dosed any patients with AB-101. The FDA indicated they will provide an official clinical hold letter to us within thirty days of the verbal communication. Based on this communication, we no longer intend to report initial data from the single-ascending dose portion of a Phase 1 clinical trial in the second half of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exploring potential oncology applications for our internal PD-L1 portfolio. Preclinical data was selected for publication at the American Society of Clinical Oncology (ASCO) Annual Meeting in June 2022 showing that our oral small-molecule PD-L1 inhibitors in development, which possess a novel mechanism of action, have the ability to mediate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T-cell activation in primary human immune cells. The anti-tumor efficacy seen in vivo was comparable to anti-PD-L1 antibodies. The data is published in the Journal of Clinical Oncology.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Coronavirus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our scientific team’s proven expertise in discovering, developing and commercializing new antiviral therapies, in 2020 we initiated a drug discovery effort for treating COVID-19, pan-coronaviruses and potential future outbreaks.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program. As we strive to identify and develop new antiviral small molecules to treat COVID-19 and future coronavirus outbreaks, we have focused our research efforts on two essential targets critical for replication across all coronaviruses – nsp5 protease and nsp12 polymerase. These targets are essential viral proteins that our science team has experience in targeting.</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Mpro Inhibitor (AB-343)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AB-343 is our lead coronavirus drug candidate that inhibits Mpro. At the 36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International Conference on Antiviral Research in March 2023, we presented preclinical data that demonstrated the antiviral potency, selectivity and favorable pharmacokinetic profile of AB-343, which supports the further development of AB-343 as a potential ritonavir-free oral treatment for COVID-19 and other human coronaviruses. We are currently conducting IND-enabling studies with AB-343, and on completion, we expect to initiate a Phase 1 clinical trial in the second half of 2023. We also intend to nominate a nsp12 clinical candidate and initiate IND-enabling studies in the second half of 2023. An nsp12 viral polymerase could potentially be combined with AB-343 to achieve better patient treatment outcomes and for use in prophylactic settings.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X-Chem, Inc. and Proteros biostructures GmbH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entered into a discovery research and license agreement, as amended, with X-Chem, Inc. (“X-Chem”) and Proteros biostructures GmbH (“Proteros”) to focus on the discovery of novel inhibitors targeting the SARS-CoV-2 nsp5 main protease (Mpro).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Mpro (an essential protein required for the virus to replicate itself) and the use of state-of-the-art structure guided methods to rapidly optimize Mpro inhibitors to progress to clinical candidates. The agreement provides for payments by us to X-Chem and Proteros upon satisfaction of certain development, regulatory and commercial milestones, as well as royalties on sales. Through this collaboration, we identified and obtained a worldwide exclusive license to several molecules that inhibit Mpro, a validated target for the treatment of COVID-19 and potential future coronavirus outbreaks.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Collaborations, Royalty Entitlements and Intellectual Property Litigation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Qilu Pharmaceutical Co., Ltd. (“Qilu”)</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AB-729 in the Territory. The royalties are payable on a product-by-product and region-by-region basis, subject to certain limitations.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Qilu has received all approvals required for it or its designated contract manufacturing organization to manufacture AB-729 in the Territory.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Alnylam Pharmaceuticals, Inc. (“Alnylam”) and Acuitas Therapeutics, Inc. (“Acuitas”)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royalty entitlements to Alnylam’s global net sales of ONPATTRO.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we entered into a license agreement with Alnylam that entitles Alnylam to develop and commercialize products with our lipid nanoparticle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March 31, 2023, an aggregate of $20.0 million of royalties have been earned by OMERS.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Genevant Sciences, Ltd.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owned approximately 16% of the common equity of Genevant and the carrying value of our investment in Genevant was zero. Our entitlement to receive future royalties or sublicensing revenue from Genevant was not impacted by the recapitalization.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Inter Partes Review Petitions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status of these patents, which collectively represent only a fraction of our extensive LNP patent portfolio, is as follows:</w:t>
      </w:r>
    </w:p>
    <w:p>
      <w:pPr>
        <w:pStyle w:val="TextBody"/>
        <w:spacing w:before="0" w:after="0"/>
        <w:jc w:val="both"/>
        <w:rPr/>
      </w:pPr>
      <w:r>
        <w:rPr/>
      </w:r>
    </w:p>
    <w:p>
      <w:pPr>
        <w:pStyle w:val="TextBody"/>
        <w:spacing w:lineRule="auto" w:line="288" w:before="0" w:after="0"/>
        <w:jc w:val="both"/>
        <w:rPr>
          <w:color w:val="000000"/>
          <w:u w:val="single"/>
        </w:rPr>
      </w:pPr>
      <w:r>
        <w:rPr>
          <w:color w:val="000000"/>
          <w:u w:val="single"/>
        </w:rPr>
        <w:t>‘</w:t>
      </w:r>
      <w:r>
        <w:rPr>
          <w:rFonts w:ascii="Times New Roman;sans-serif" w:hAnsi="Times New Roman;sans-serif"/>
          <w:b w:val="false"/>
          <w:color w:val="000000"/>
          <w:sz w:val="20"/>
          <w:u w:val="single"/>
        </w:rPr>
        <w:t>127 Patent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and Merck European Oppositions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The date for the oral proceedings has not been set.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the patent holder, the ‘127 Patent, the ‘435 Patent, the ‘069 Patent and the ‘254 Patent have been licensed to Genevant and are included in the rights licensed by us to Genevant under the Genevant License.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w:t>
      </w:r>
      <w:r>
        <w:rPr>
          <w:color w:val="000000"/>
        </w:rPr>
        <w:t xml:space="preserve"> </w:t>
      </w:r>
      <w:r>
        <w:rPr>
          <w:rFonts w:ascii="Times New Roman;sans-serif" w:hAnsi="Times New Roman;sans-serif"/>
          <w:b w:val="false"/>
          <w:color w:val="000000"/>
          <w:sz w:val="20"/>
        </w:rPr>
        <w:t>On March 16, 2023, the Court held a Rule 16 scheduling conference, and on March 21, 2023, the Court issued a scheduling order in the matter without setting a trial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No case schedule is yet in place.</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JUDGEMENTS AND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to our condensed consolidated financial statements included in “Part I, Item 1-Financial Statements (Unaudited)” of this Quarterly Report on Form 10-Q for a description of recent accounting pronouncements applicable to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results of our operations for the periods shown:</w:t>
      </w:r>
    </w:p>
    <w:tbl>
      <w:tblPr>
        <w:tblW w:w="5418" w:type="dxa"/>
        <w:jc w:val="center"/>
        <w:tblInd w:w="0" w:type="dxa"/>
        <w:tblCellMar>
          <w:top w:w="28" w:type="dxa"/>
          <w:left w:w="28" w:type="dxa"/>
          <w:bottom w:w="28" w:type="dxa"/>
          <w:right w:w="28" w:type="dxa"/>
        </w:tblCellMar>
      </w:tblPr>
      <w:tblGrid>
        <w:gridCol w:w="781"/>
        <w:gridCol w:w="688"/>
        <w:gridCol w:w="691"/>
        <w:gridCol w:w="211"/>
        <w:gridCol w:w="796"/>
        <w:gridCol w:w="109"/>
        <w:gridCol w:w="109"/>
        <w:gridCol w:w="109"/>
        <w:gridCol w:w="109"/>
        <w:gridCol w:w="211"/>
        <w:gridCol w:w="796"/>
        <w:gridCol w:w="109"/>
        <w:gridCol w:w="109"/>
        <w:gridCol w:w="109"/>
        <w:gridCol w:w="109"/>
        <w:gridCol w:w="109"/>
        <w:gridCol w:w="109"/>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1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120" w:after="283"/>
        <w:rPr/>
      </w:pPr>
      <w:r>
        <w:rPr/>
      </w:r>
    </w:p>
    <w:p>
      <w:pPr>
        <w:pStyle w:val="TextBody"/>
        <w:spacing w:lineRule="auto" w:line="288" w:before="0" w:after="0"/>
        <w:jc w:val="both"/>
        <w:rPr/>
      </w:pPr>
      <w:r>
        <w:rPr>
          <w:rFonts w:ascii="Times New Roman;sans-serif" w:hAnsi="Times New Roman;sans-serif"/>
          <w:b/>
          <w:color w:val="000000"/>
          <w:sz w:val="20"/>
        </w:rPr>
        <w:t>Revenue</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summarized in the following table: </w:t>
      </w:r>
    </w:p>
    <w:tbl>
      <w:tblPr>
        <w:tblW w:w="8582" w:type="dxa"/>
        <w:jc w:val="left"/>
        <w:tblInd w:w="0" w:type="dxa"/>
        <w:tblCellMar>
          <w:top w:w="28" w:type="dxa"/>
          <w:left w:w="28" w:type="dxa"/>
          <w:bottom w:w="28" w:type="dxa"/>
          <w:right w:w="28" w:type="dxa"/>
        </w:tblCellMar>
      </w:tblPr>
      <w:tblGrid>
        <w:gridCol w:w="1314"/>
        <w:gridCol w:w="1155"/>
        <w:gridCol w:w="1161"/>
        <w:gridCol w:w="211"/>
        <w:gridCol w:w="616"/>
        <w:gridCol w:w="109"/>
        <w:gridCol w:w="109"/>
        <w:gridCol w:w="109"/>
        <w:gridCol w:w="109"/>
        <w:gridCol w:w="255"/>
        <w:gridCol w:w="211"/>
        <w:gridCol w:w="501"/>
        <w:gridCol w:w="109"/>
        <w:gridCol w:w="109"/>
        <w:gridCol w:w="109"/>
        <w:gridCol w:w="211"/>
        <w:gridCol w:w="721"/>
        <w:gridCol w:w="109"/>
        <w:gridCol w:w="109"/>
        <w:gridCol w:w="109"/>
        <w:gridCol w:w="109"/>
        <w:gridCol w:w="246"/>
        <w:gridCol w:w="220"/>
        <w:gridCol w:w="561"/>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$5.9 million for the three months ended March 31, 2023 compared to the same period in 2022, primarily due to a decrease in license revenue recognized related to our progress towards the satisfaction of our performance obligations with respect to the technology transfer and licensing agreement with Qilu, which closed in January 2022, as well as a decrease in license royalty revenue from Alnylam and Acuitas due to a decrease in Alnylam’s sales of ONPATTRO.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Operating expenses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are summarized in the following table:</w:t>
      </w:r>
    </w:p>
    <w:tbl>
      <w:tblPr>
        <w:tblW w:w="9121" w:type="dxa"/>
        <w:jc w:val="left"/>
        <w:tblInd w:w="0" w:type="dxa"/>
        <w:tblCellMar>
          <w:top w:w="28" w:type="dxa"/>
          <w:left w:w="28" w:type="dxa"/>
          <w:bottom w:w="28" w:type="dxa"/>
          <w:right w:w="28" w:type="dxa"/>
        </w:tblCellMar>
      </w:tblPr>
      <w:tblGrid>
        <w:gridCol w:w="1473"/>
        <w:gridCol w:w="1292"/>
        <w:gridCol w:w="1299"/>
        <w:gridCol w:w="211"/>
        <w:gridCol w:w="721"/>
        <w:gridCol w:w="109"/>
        <w:gridCol w:w="109"/>
        <w:gridCol w:w="109"/>
        <w:gridCol w:w="109"/>
        <w:gridCol w:w="256"/>
        <w:gridCol w:w="210"/>
        <w:gridCol w:w="501"/>
        <w:gridCol w:w="109"/>
        <w:gridCol w:w="109"/>
        <w:gridCol w:w="109"/>
        <w:gridCol w:w="211"/>
        <w:gridCol w:w="721"/>
        <w:gridCol w:w="109"/>
        <w:gridCol w:w="109"/>
        <w:gridCol w:w="109"/>
        <w:gridCol w:w="109"/>
        <w:gridCol w:w="247"/>
        <w:gridCol w:w="219"/>
        <w:gridCol w:w="561"/>
      </w:tblGrid>
      <w:tr>
        <w:trPr/>
        <w:tc>
          <w:tcPr>
            <w:tcW w:w="1473"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$0.2 million for the three months ended March 31, 2023, compared to the same period in 2022. The decrease was due primarily to a decrease in expenses for our AB-836 Phase 1a/1b clinical trial, which was discontinued in the fourth quarter of 2022, partially offset by an increase in expenses for our coronavirus program and other early-stage development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research and development expenses are not tracked by project as they benefit multiple projects or our technology platform and because our most-advanced programs are not yet in late-stage clinical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$0.7 million for the three months ended March 31, 2023 as compared to the same period in 2022 due primarily to increases in employee compensation costs and non-cash stock-based compensation expense.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AB-729 continues to progress through Phase 2a proof-of-concept clinical trials, we will adjust our assumptions regarding probability of success commensurate with the progression of the program, which will increase the fair value of the liability.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loss (income)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other income (loss) are summarized in the following table:</w:t>
      </w:r>
    </w:p>
    <w:tbl>
      <w:tblPr>
        <w:tblW w:w="5316" w:type="dxa"/>
        <w:jc w:val="left"/>
        <w:tblInd w:w="0" w:type="dxa"/>
        <w:tblCellMar>
          <w:top w:w="28" w:type="dxa"/>
          <w:left w:w="28" w:type="dxa"/>
          <w:bottom w:w="28" w:type="dxa"/>
          <w:right w:w="28" w:type="dxa"/>
        </w:tblCellMar>
      </w:tblPr>
      <w:tblGrid>
        <w:gridCol w:w="804"/>
        <w:gridCol w:w="704"/>
        <w:gridCol w:w="711"/>
        <w:gridCol w:w="238"/>
        <w:gridCol w:w="696"/>
        <w:gridCol w:w="123"/>
        <w:gridCol w:w="123"/>
        <w:gridCol w:w="123"/>
        <w:gridCol w:w="123"/>
        <w:gridCol w:w="238"/>
        <w:gridCol w:w="611"/>
        <w:gridCol w:w="123"/>
        <w:gridCol w:w="109"/>
        <w:gridCol w:w="109"/>
        <w:gridCol w:w="109"/>
        <w:gridCol w:w="109"/>
        <w:gridCol w:w="109"/>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three months ended March 31, 2023 compared to the same period in 2022 was due primarily to higher interest earned on our cash and investment balances due to a general increase in market interest rates.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both the three months ended March 31, 2023 and 2022 consisted primarily of non-cash amortization of discount and issuance costs related to the sale of a portion of our ONPATTRO royalty interest to OMERS in July 2019. The decrease is related to the declining balance of the unamortized discount and issuance costs.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recognized income tax expense of $4.4 million for withholding taxes paid to the Chinese taxing authority by Qilu on our behalf in connection with the upfront license fee Qilu paid us. We did not recognize any income tax expense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activities for the periods indicated:</w:t>
      </w:r>
    </w:p>
    <w:tbl>
      <w:tblPr>
        <w:tblW w:w="8604" w:type="dxa"/>
        <w:jc w:val="left"/>
        <w:tblInd w:w="0" w:type="dxa"/>
        <w:tblCellMar>
          <w:top w:w="28" w:type="dxa"/>
          <w:left w:w="28" w:type="dxa"/>
          <w:bottom w:w="28" w:type="dxa"/>
          <w:right w:w="28" w:type="dxa"/>
        </w:tblCellMar>
      </w:tblPr>
      <w:tblGrid>
        <w:gridCol w:w="2174"/>
        <w:gridCol w:w="1895"/>
        <w:gridCol w:w="1931"/>
        <w:gridCol w:w="211"/>
        <w:gridCol w:w="796"/>
        <w:gridCol w:w="109"/>
        <w:gridCol w:w="109"/>
        <w:gridCol w:w="109"/>
        <w:gridCol w:w="109"/>
        <w:gridCol w:w="211"/>
        <w:gridCol w:w="796"/>
        <w:gridCol w:w="154"/>
      </w:tblGrid>
      <w:tr>
        <w:trPr/>
        <w:tc>
          <w:tcPr>
            <w:tcW w:w="2174"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items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license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items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Share Purchase Agreement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the Open Market Sale Agreement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other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$27.3 million of cash was used in operating activities compared to $20.6 million provided by operating activities for the three months ended March 31, 2022, a change of $47.9 million. The change was due primarily to a January 2022 upfront cash payment of $40.0 million from Qilu and a $4.0 million premium paid by Qilu as part of their $15.0 million equity investment in us. Also contributing to the change was timing of accruals and payments.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provided by investing activities was $16.7 million, resulting primarily from maturities of investments in marketable securities of $37.0 million, partially offset by additional investments in marketable securities of $20.2 million. For the three months ended March 31, 2022, net cash used in investing activities was $60.1 million, which consisted primarily of additional investments in marketable securities of $62.0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financing activities was $20.4 million, which was primarily related to $19.9 million in proceeds from sales of common shares under the Sale Agreement. For the three months ended March 31, 2022, net cash provided by financing activities was $11.5 million, which included $11.0 million for the fair value of the shares purchased by Qilu as part of their $15.0 million equity investment in us, of which the remaining $4.0 million was a premium paid by Qilu on the equity investment and was allocated to deferred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cash equivalents and investments in marketable securities of $178.5 million. We had no outstanding debt as of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Open Market Sale Agreement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have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LLC dated December 20, 2018, as amended by Amendment No. 1, dated December 20, 2019, Amendment No. 2, dated August 7, 2020 and Amendment No. 3, dated March 4, 2021 (as amended, the “Sale Agreement”), under which we may offer and sell common shares, from time to time.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we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our securities. The January 2020 Registration Statement also contained a prospectus supplement for an offering of up to $50.0 million of our common shares pursuant to the Sale Agreement. This 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for an offering of up to an additional $75.0 million of our common shares pursuant to the Sale Agreement under the October 2020 Registration Statement, which we fully utilized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we filed a shelf registration statement on Form S-3 with the SEC (File No. 333-260782) and accompanying base prospectus, which was declared effective by the SEC on November 18, 2021 (the “November 2021 Registration Statement”), for the offer and sale of up to $250.0 million of our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issued 7,423,622 common shares pursuant to the Sale Agreement, as amended, resulting in net proceeds of approximately $19.9 million. For the three months ended March 31, 2022, we issued 69,048 common shares pursuant to the Sale Agreement, resulting in net proceeds of approximately $0.3 million. As of March 31, 2023, there was approximately $110.7 million available in aggregate under the October 2021 Prospectus Supplement and the March 2022 Prospectus Supplement.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Entitlements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December 31, 2022, we have recorded an aggregate of $18.9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AB-729 for the treatment or prevention of cHBV in the Territory. 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AB-729 in the Territory.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$178.5 million of cash, cash equivalents and investments in marketable securities as of March 31, 2023 will be sufficient to fund our operations into the first quarter of 2025. We expect a net cash burn between $90 million and $95 million in 2023. In the future, substantial additional funds will be required to continue with the active development of our pipeline products and technologies. In particular, our funding needs may vary depending on a number of factors including:</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our legacy collaborative partnerships and licensing agreements, including potential royalty payments from Alnylam’s ONPATTRO;</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ongoing collaborative partnerships, including milestone and royalty payments;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requirement to make milestone payments related to our legacy agreements;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extent to which we continue the development of our product candidates, add new product candidates to our pipeline, or form collaborative relationships or licensing arrangements to advance our product candidates;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delays in the development of our product candidates due to preclinical and clinical findings;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decisions to in-license or acquire additional products, product candidates or technology for development;</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attract and retain development or commercialization partners, and their effectiveness in carrying out the development and ultimate commercialization of one or more of our product candidates;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whether batches of product candidates that we manufacture fail to meet specifications resulting in clinical trial delays and investigational and remanufacturing costs;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decisions, and the timing of decisions, made by health regulatory agencies regarding our technology and product candidates;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competing products, product candidates and technological and market developments; and</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costs associated with prosecuting and enforcing our patent claims and other intellectual property rights, including litigation and arbitration arising in the course of our business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under this item is not required to be provided by smaller reporting companies.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ITEM 4.    </w:t>
      </w:r>
      <w:r>
        <w:rPr>
          <w:color w:val="000000"/>
        </w:rPr>
        <w:t xml:space="preserve">  </w:t>
      </w:r>
      <w:r>
        <w:rPr>
          <w:rFonts w:ascii="Times New Roman;sans-serif" w:hAnsi="Times New Roman;sans-serif"/>
          <w:b/>
          <w:color w:val="000000"/>
          <w:sz w:val="20"/>
        </w:rPr>
        <w:t>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our disclosure controls and procedures as of March 31, 2023. The term “disclosure controls and procedures”, as defined in Rules 13a-15(e) and 15d-15(e) under the Securities Exchange Act of 1934, as amended (the “Exchange Act”), means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12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2023, our principal executive officer and principal financial officer concluded that, as of such date, our disclosure controls and procedures were effective at the reasonable assurance level.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120" w:after="283"/>
        <w:rPr/>
      </w:pPr>
      <w:r>
        <w:rPr/>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and Genevant Sciences Ltd.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w:t>
      </w:r>
      <w:r>
        <w:rPr>
          <w:color w:val="000000"/>
        </w:rPr>
        <w:t xml:space="preserve"> </w:t>
      </w:r>
      <w:r>
        <w:rPr>
          <w:rFonts w:ascii="Times New Roman;sans-serif" w:hAnsi="Times New Roman;sans-serif"/>
          <w:b w:val="false"/>
          <w:color w:val="000000"/>
          <w:sz w:val="20"/>
        </w:rPr>
        <w:t>On March 16, 2023, the Court held a Rule 16 scheduling conference, and on March 21, 2023, the Court issued a scheduling order in the matter without setting a trial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No case schedule is yet in place.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120" w:after="283"/>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believe that such matters, individually or in the aggregate, will have a material adverse effect on our consolidated results of operations, cash flows, or financial condition.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we announced that we were notified via verbal communication from the FDA that our AB-101 IND application has been placed on clinical hold. It may take a considerable period of time, the length of which is not certain at this time, and expense for us to fully address the FDA’s concerns. Even if we are able to fully respond to the FDA’s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in our risk factors from those disclosed in our Annual Report on Form 10-K for the fiscal year-ended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83260"/>
                <wp:effectExtent l="0" t="0" r="0" b="0"/>
                <wp:wrapNone/>
                <wp:docPr id="39" name="Frame38"/>
                <a:graphic xmlns:a="http://schemas.openxmlformats.org/drawingml/2006/main">
                  <a:graphicData uri="http://schemas.microsoft.com/office/word/2010/wordprocessingShape">
                    <wps:wsp>
                      <wps:cNvSpPr txBox="1"/>
                      <wps:spPr>
                        <a:xfrm>
                          <a:off x="0" y="0"/>
                          <a:ext cx="6480175" cy="6832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120" w:after="283"/>
                        <w:jc w:val="center"/>
                        <w:rPr/>
                      </w:pPr>
                      <w:r>
                        <w:rPr/>
                      </w:r>
                    </w:p>
                  </w:txbxContent>
                </v:textbox>
              </v:rect>
            </w:pict>
          </mc:Fallback>
        </mc:AlternateContent>
      </w:r>
    </w:p>
    <w:p>
      <w:pPr>
        <w:pStyle w:val="TextBody"/>
        <w:spacing w:before="120" w:after="283"/>
        <w:rPr/>
      </w:pPr>
      <w:r>
        <w:rPr/>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jc w:val="both"/>
        <w:rPr/>
      </w:pPr>
      <w:r>
        <w:rPr/>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754"/>
        <w:gridCol w:w="2605"/>
        <w:gridCol w:w="3708"/>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3708"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Pr>
                <w:t>Notice of Articles and Articles of the Company, as amended (incorporated herein by reference to Exhibit 3.1 to the Registrant’s Annual Report on Form 10-K for the year ended December 31, 2017, filed with the SEC on March 16, 2018</w:t>
              </w:r>
            </w:hyperlink>
            <w:hyperlink r:id="rId4">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Pr>
                <w:t>Amendment to Articles of the Company (incorporated herein by reference to Exhibit 3.1 to the Registrant’s Quarterly Report on Form 10-Q for the quarter ended September 30, 2018, filed with the SEC on November 7, 2018</w:t>
              </w:r>
            </w:hyperlink>
            <w:hyperlink r:id="rId6">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10xqex311.htm">
              <w:r>
                <w:rPr>
                  <w:rStyle w:val="InternetLink"/>
                </w:rPr>
                <w:t>Certification of Principal Executive Officer pursuant to Rule 13a-14(a) or 15d-14(a) of the Securities Exchange Act of 1934, as adopted pursuant to Section 302 of the Sarbanes-Oxley Act of 200</w:t>
              </w:r>
            </w:hyperlink>
            <w:hyperlink w:anchor="a2023-q110xqex311.htm">
              <w:r>
                <w:rPr>
                  <w:rStyle w:val="InternetLink"/>
                </w:rPr>
                <w:t>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10xqex312.htm">
              <w:r>
                <w:rPr>
                  <w:rStyle w:val="InternetLink"/>
                </w:rPr>
                <w:t>Certification of Principal Financial Officer pursuant to Rule 13a-14(a) or 15d-14(a) of the Securities Exchange Act of 1934, as adopted pursuant to Section 302 of the Sarbanes-Oxley Act of 200</w:t>
              </w:r>
            </w:hyperlink>
            <w:hyperlink w:anchor="a2023-q110xqex312.htm">
              <w:r>
                <w:rPr>
                  <w:rStyle w:val="InternetLink"/>
                </w:rPr>
                <w:t>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10xqex321.htm">
              <w:r>
                <w:rPr>
                  <w:rStyle w:val="InternetLink"/>
                </w:rPr>
                <w:t>Certification of Principal Executive Officer pursuant to 18 U.S.C. Section 1350, as adopted pursuant to Section 906 of the Sarbanes-Oxley Act of 200</w:t>
              </w:r>
            </w:hyperlink>
            <w:hyperlink w:anchor="a2023-q110xqex321.htm">
              <w:r>
                <w:rPr>
                  <w:rStyle w:val="InternetLink"/>
                </w:rPr>
                <w:t>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10xqex322.htm">
              <w:r>
                <w:rPr>
                  <w:rStyle w:val="InternetLink"/>
                </w:rPr>
                <w:t>Certification of Principal Financial Officer pursuant to 18 U.S.C. Section 1350, as adopted pursuant to Section 906 of the Sarbanes-Oxley Act of 200</w:t>
              </w:r>
            </w:hyperlink>
            <w:hyperlink w:anchor="a2023-q110xqex322.htm">
              <w:r>
                <w:rPr>
                  <w:rStyle w:val="InternetLink"/>
                </w:rPr>
                <w:t>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materials from Arbutus Biopharma Corporation’s Quarterly Report on Form 10-Q for the quarter ended March 31, 2023,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 </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r>
    </w:tbl>
    <w:p>
      <w:pPr>
        <w:pStyle w:val="TextBody"/>
        <w:spacing w:before="60" w:after="283"/>
        <w:jc w:val="both"/>
        <w:rPr/>
      </w:pPr>
      <w:r>
        <w:rPr/>
      </w:r>
    </w:p>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7355"/>
                <wp:effectExtent l="0" t="0" r="0" b="0"/>
                <wp:wrapNone/>
                <wp:docPr id="40" name="Frame39"/>
                <a:graphic xmlns:a="http://schemas.openxmlformats.org/drawingml/2006/main">
                  <a:graphicData uri="http://schemas.microsoft.com/office/word/2010/wordprocessingShape">
                    <wps:wsp>
                      <wps:cNvSpPr txBox="1"/>
                      <wps:spPr>
                        <a:xfrm>
                          <a:off x="0" y="0"/>
                          <a:ext cx="6480175" cy="42735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120" w:after="283"/>
                        <w:jc w:val="center"/>
                        <w:rPr/>
                      </w:pPr>
                      <w:r>
                        <w:rPr/>
                      </w:r>
                    </w:p>
                  </w:txbxContent>
                </v:textbox>
              </v:rect>
            </w:pict>
          </mc:Fallback>
        </mc:AlternateContent>
      </w:r>
    </w:p>
    <w:p>
      <w:pPr>
        <w:pStyle w:val="TextBody"/>
        <w:spacing w:before="120" w:after="283"/>
        <w:rPr/>
      </w:pPr>
      <w:r>
        <w:rPr/>
      </w:r>
    </w:p>
    <w:p>
      <w:pPr>
        <w:pStyle w:val="TextBody"/>
        <w:spacing w:before="160" w:after="283"/>
        <w:jc w:val="center"/>
        <w:rPr/>
      </w:pPr>
      <w:r>
        <w:rPr/>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60" w:after="283"/>
        <w:ind w:left="0" w:right="0" w:firstLine="495"/>
        <w:jc w:val="both"/>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May 4, 2023.</w:t>
      </w:r>
    </w:p>
    <w:p>
      <w:pPr>
        <w:pStyle w:val="TextBody"/>
        <w:spacing w:before="160" w:after="283"/>
        <w:ind w:left="0" w:right="0" w:firstLine="495"/>
        <w:jc w:val="both"/>
        <w:rPr/>
      </w:pPr>
      <w:r>
        <w:rPr/>
      </w:r>
    </w:p>
    <w:tbl>
      <w:tblPr>
        <w:tblW w:w="7437" w:type="dxa"/>
        <w:jc w:val="left"/>
        <w:tblInd w:w="0" w:type="dxa"/>
        <w:tblCellMar>
          <w:top w:w="28" w:type="dxa"/>
          <w:left w:w="28" w:type="dxa"/>
          <w:bottom w:w="28" w:type="dxa"/>
          <w:right w:w="28" w:type="dxa"/>
        </w:tblCellMar>
      </w:tblPr>
      <w:tblGrid>
        <w:gridCol w:w="124"/>
        <w:gridCol w:w="109"/>
        <w:gridCol w:w="109"/>
        <w:gridCol w:w="595"/>
        <w:gridCol w:w="595"/>
        <w:gridCol w:w="595"/>
        <w:gridCol w:w="1550"/>
        <w:gridCol w:w="1550"/>
        <w:gridCol w:w="22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ARBUTUS BIOPHARMA CORPORATION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H. Collier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 Collier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3260"/>
                <wp:effectExtent l="0" t="0" r="0" b="0"/>
                <wp:wrapNone/>
                <wp:docPr id="41" name="Frame40"/>
                <a:graphic xmlns:a="http://schemas.openxmlformats.org/drawingml/2006/main">
                  <a:graphicData uri="http://schemas.microsoft.com/office/word/2010/wordprocessingShape">
                    <wps:wsp>
                      <wps:cNvSpPr txBox="1"/>
                      <wps:spPr>
                        <a:xfrm>
                          <a:off x="0" y="0"/>
                          <a:ext cx="6480175" cy="6832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120" w:after="283"/>
                        <w:jc w:val="center"/>
                        <w:rPr/>
                      </w:pPr>
                      <w:r>
                        <w:rPr/>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100" w:after="100"/>
        <w:jc w:val="right"/>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William Collier, certify that: </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center"/>
        <w:rPr/>
      </w:pPr>
      <w:r>
        <w:rPr/>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092" w:type="dxa"/>
        <w:jc w:val="center"/>
        <w:tblInd w:w="0" w:type="dxa"/>
        <w:tblCellMar>
          <w:top w:w="28" w:type="dxa"/>
          <w:left w:w="28" w:type="dxa"/>
          <w:bottom w:w="28" w:type="dxa"/>
          <w:right w:w="28" w:type="dxa"/>
        </w:tblCellMar>
      </w:tblPr>
      <w:tblGrid>
        <w:gridCol w:w="124"/>
        <w:gridCol w:w="109"/>
        <w:gridCol w:w="109"/>
        <w:gridCol w:w="1098"/>
        <w:gridCol w:w="1098"/>
        <w:gridCol w:w="15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Hastings, certify that: </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center"/>
        <w:rPr/>
      </w:pPr>
      <w:r>
        <w:rPr/>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2847" w:type="dxa"/>
        <w:jc w:val="center"/>
        <w:tblInd w:w="0" w:type="dxa"/>
        <w:tblCellMar>
          <w:top w:w="28" w:type="dxa"/>
          <w:left w:w="28" w:type="dxa"/>
          <w:bottom w:w="28" w:type="dxa"/>
          <w:right w:w="28" w:type="dxa"/>
        </w:tblCellMar>
      </w:tblPr>
      <w:tblGrid>
        <w:gridCol w:w="124"/>
        <w:gridCol w:w="109"/>
        <w:gridCol w:w="109"/>
        <w:gridCol w:w="731"/>
        <w:gridCol w:w="731"/>
        <w:gridCol w:w="10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before="100" w:after="100"/>
        <w:jc w:val="right"/>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March 31, 2023,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 </w:t>
      </w:r>
    </w:p>
    <w:p>
      <w:pPr>
        <w:pStyle w:val="TextBody"/>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spacing w:before="0" w:after="0"/>
        <w:jc w:val="center"/>
        <w:rPr/>
      </w:pPr>
      <w:r>
        <w:rPr/>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092" w:type="dxa"/>
        <w:jc w:val="center"/>
        <w:tblInd w:w="0" w:type="dxa"/>
        <w:tblCellMar>
          <w:top w:w="28" w:type="dxa"/>
          <w:left w:w="28" w:type="dxa"/>
          <w:bottom w:w="28" w:type="dxa"/>
          <w:right w:w="28" w:type="dxa"/>
        </w:tblCellMar>
      </w:tblPr>
      <w:tblGrid>
        <w:gridCol w:w="124"/>
        <w:gridCol w:w="109"/>
        <w:gridCol w:w="109"/>
        <w:gridCol w:w="1098"/>
        <w:gridCol w:w="1098"/>
        <w:gridCol w:w="15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spacing w:before="0" w:after="10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100" w:after="100"/>
        <w:jc w:val="center"/>
        <w:rPr/>
      </w:pPr>
      <w:r>
        <w:rPr/>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March 31, 2023,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 </w:t>
      </w:r>
    </w:p>
    <w:p>
      <w:pPr>
        <w:pStyle w:val="TextBody"/>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spacing w:before="0" w:after="0"/>
        <w:jc w:val="center"/>
        <w:rPr/>
      </w:pPr>
      <w:r>
        <w:rPr/>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2892" w:type="dxa"/>
        <w:jc w:val="center"/>
        <w:tblInd w:w="0" w:type="dxa"/>
        <w:tblCellMar>
          <w:top w:w="28" w:type="dxa"/>
          <w:left w:w="28" w:type="dxa"/>
          <w:bottom w:w="28" w:type="dxa"/>
          <w:right w:w="28" w:type="dxa"/>
        </w:tblCellMar>
      </w:tblPr>
      <w:tblGrid>
        <w:gridCol w:w="124"/>
        <w:gridCol w:w="109"/>
        <w:gridCol w:w="109"/>
        <w:gridCol w:w="744"/>
        <w:gridCol w:w="744"/>
        <w:gridCol w:w="10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7028/000162828018003276/exhibit31_articlesandartic.htm" TargetMode="External"/><Relationship Id="rId4" Type="http://schemas.openxmlformats.org/officeDocument/2006/relationships/hyperlink" Target="http://www.sec.gov/Archives/edgar/data/1447028/000162828018003276/exhibit31_articlesandartic.htm" TargetMode="External"/><Relationship Id="rId5" Type="http://schemas.openxmlformats.org/officeDocument/2006/relationships/hyperlink" Target="http://www.sec.gov/Archives/edgar/data/1447028/000162828018013909/exhibit31amendmenttoarticl.htm" TargetMode="External"/><Relationship Id="rId6" Type="http://schemas.openxmlformats.org/officeDocument/2006/relationships/hyperlink" Target="http://www.sec.gov/Archives/edgar/data/1447028/000162828018013909/exhibit31amendmenttoarticl.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21416</Words>
  <CharactersWithSpaces>140427</CharactersWithSpaces>
  <Paragraphs>1604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