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          </w:t>
      </w:r>
    </w:p>
    <w:p>
      <w:pPr>
        <w:pStyle w:val="TextBody"/>
        <w:bidi w:val="0"/>
        <w:spacing w:lineRule="auto" w:line="288" w:before="16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u w:val="single"/>
        </w:rPr>
        <w:t>001-34949</w:t>
      </w:r>
    </w:p>
    <w:p>
      <w:pPr>
        <w:pStyle w:val="TextBody"/>
        <w:bidi w:val="0"/>
        <w:spacing w:lineRule="auto" w:line="288" w:before="160" w:after="283"/>
        <w:jc w:val="center"/>
        <w:rPr>
          <w:rFonts w:ascii="Times New Roman;sans-serif" w:hAnsi="Times New Roman;sans-serif"/>
          <w:b/>
          <w:color w:val="000000"/>
          <w:sz w:val="36"/>
          <w:u w:val="single"/>
        </w:rPr>
      </w:pPr>
      <w:r>
        <w:rPr>
          <w:rFonts w:ascii="Times New Roman;sans-serif" w:hAnsi="Times New Roman;sans-serif"/>
          <w:b/>
          <w:color w:val="000000"/>
          <w:sz w:val="36"/>
          <w:u w:val="single"/>
        </w:rPr>
        <w:t>ARBUTUS BIOPHARMA CORPORATION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585" w:type="dxa"/>
        <w:jc w:val="center"/>
        <w:tblInd w:w="0" w:type="dxa"/>
        <w:tblLayout w:type="fixed"/>
        <w:tblCellMar>
          <w:top w:w="28" w:type="dxa"/>
          <w:left w:w="28" w:type="dxa"/>
          <w:bottom w:w="28" w:type="dxa"/>
          <w:right w:w="28" w:type="dxa"/>
        </w:tblCellMar>
      </w:tblPr>
      <w:tblGrid>
        <w:gridCol w:w="945"/>
        <w:gridCol w:w="829"/>
        <w:gridCol w:w="835"/>
        <w:gridCol w:w="109"/>
        <w:gridCol w:w="109"/>
        <w:gridCol w:w="109"/>
        <w:gridCol w:w="481"/>
        <w:gridCol w:w="481"/>
        <w:gridCol w:w="687"/>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98-0597776</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701 Veterans Circle, Warminster, PA 18974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and Zip Code)</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267-469-0914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79" w:type="dxa"/>
        <w:jc w:val="center"/>
        <w:tblInd w:w="0" w:type="dxa"/>
        <w:tblLayout w:type="fixed"/>
        <w:tblCellMar>
          <w:top w:w="28" w:type="dxa"/>
          <w:left w:w="28" w:type="dxa"/>
          <w:bottom w:w="28" w:type="dxa"/>
          <w:right w:w="28" w:type="dxa"/>
        </w:tblCellMar>
      </w:tblPr>
      <w:tblGrid>
        <w:gridCol w:w="1070"/>
        <w:gridCol w:w="937"/>
        <w:gridCol w:w="948"/>
        <w:gridCol w:w="539"/>
        <w:gridCol w:w="539"/>
        <w:gridCol w:w="541"/>
        <w:gridCol w:w="1085"/>
        <w:gridCol w:w="1085"/>
        <w:gridCol w:w="1535"/>
      </w:tblGrid>
      <w:tr>
        <w:trPr/>
        <w:tc>
          <w:tcPr>
            <w:tcW w:w="107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without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ABUS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The Nasdaq Stock Market LLC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left"/>
        <w:tblInd w:w="0" w:type="dxa"/>
        <w:tblLayout w:type="fixed"/>
        <w:tblCellMar>
          <w:top w:w="28" w:type="dxa"/>
          <w:left w:w="28" w:type="dxa"/>
          <w:bottom w:w="28" w:type="dxa"/>
          <w:right w:w="28" w:type="dxa"/>
        </w:tblCellMar>
      </w:tblPr>
      <w:tblGrid>
        <w:gridCol w:w="711"/>
        <w:gridCol w:w="626"/>
        <w:gridCol w:w="628"/>
        <w:gridCol w:w="479"/>
        <w:gridCol w:w="479"/>
        <w:gridCol w:w="481"/>
        <w:gridCol w:w="614"/>
        <w:gridCol w:w="614"/>
        <w:gridCol w:w="616"/>
        <w:gridCol w:w="769"/>
        <w:gridCol w:w="769"/>
        <w:gridCol w:w="772"/>
        <w:gridCol w:w="703"/>
        <w:gridCol w:w="703"/>
        <w:gridCol w:w="99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44" w:type="dxa"/>
            <w:gridSpan w:val="3"/>
            <w:tcBorders/>
            <w:tcMar>
              <w:top w:w="0" w:type="dxa"/>
              <w:left w:w="0" w:type="dxa"/>
              <w:bottom w:w="0" w:type="dxa"/>
              <w:right w:w="0" w:type="dxa"/>
            </w:tcMar>
            <w:vAlign w:val="center"/>
          </w:tcPr>
          <w:p>
            <w:pPr>
              <w:pStyle w:val="TableContents"/>
              <w:bidi w:val="0"/>
              <w:spacing w:lineRule="auto" w:line="240" w:before="16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160" w:after="283"/>
              <w:jc w:val="center"/>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Yes  ☐     No ☒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August 1, 2023, the registrant had 167,556,661 common shares, without par value,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ARBUTUS BIOPHARMA CORPORATION</w:t>
      </w:r>
    </w:p>
    <w:tbl>
      <w:tblPr>
        <w:tblW w:w="10205" w:type="dxa"/>
        <w:jc w:val="left"/>
        <w:tblInd w:w="0" w:type="dxa"/>
        <w:tblLayout w:type="fixed"/>
        <w:tblCellMar>
          <w:top w:w="28" w:type="dxa"/>
          <w:left w:w="28" w:type="dxa"/>
          <w:bottom w:w="28" w:type="dxa"/>
          <w:right w:w="28" w:type="dxa"/>
        </w:tblCellMar>
      </w:tblPr>
      <w:tblGrid>
        <w:gridCol w:w="535"/>
        <w:gridCol w:w="471"/>
        <w:gridCol w:w="471"/>
        <w:gridCol w:w="2756"/>
        <w:gridCol w:w="2704"/>
        <w:gridCol w:w="2693"/>
        <w:gridCol w:w="167"/>
        <w:gridCol w:w="167"/>
        <w:gridCol w:w="241"/>
      </w:tblGrid>
      <w:tr>
        <w:trPr/>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10">
              <w:r>
                <w:rPr>
                  <w:rStyle w:val="InternetLink"/>
                  <w:rFonts w:ascii="Times New Roman;sans-serif" w:hAnsi="Times New Roman;sans-serif"/>
                  <w:b w:val="false"/>
                  <w:color w:val="0000FF"/>
                  <w:sz w:val="20"/>
                  <w:u w:val="single"/>
                </w:rPr>
                <w:t>PART I. FINANCIAL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10">
              <w:r>
                <w:rPr>
                  <w:rStyle w:val="InternetLink"/>
                  <w:rFonts w:ascii="Times New Roman;sans-serif" w:hAnsi="Times New Roman;sans-serif"/>
                  <w:b w:val="false"/>
                  <w:color w:val="0000FF"/>
                  <w:sz w:val="20"/>
                  <w:u w:val="single"/>
                </w:rPr>
                <w:t>1</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13">
              <w:r>
                <w:rPr>
                  <w:rStyle w:val="InternetLink"/>
                  <w:strike w:val="false"/>
                  <w:dstrike w:val="false"/>
                  <w:color w:val="0000FF"/>
                  <w:u w:val="none"/>
                  <w:effect w:val="none"/>
                </w:rPr>
                <w:t>           </w:t>
              </w:r>
            </w:hyperlink>
            <w:hyperlink w:anchor="i7329fb4ad525493c978af8915872f031_13">
              <w:r>
                <w:rPr>
                  <w:rStyle w:val="InternetLink"/>
                  <w:rFonts w:ascii="Times New Roman;sans-serif" w:hAnsi="Times New Roman;sans-serif"/>
                  <w:b w:val="false"/>
                  <w:strike w:val="false"/>
                  <w:dstrike w:val="false"/>
                  <w:color w:val="0000FF"/>
                  <w:sz w:val="20"/>
                  <w:u w:val="none"/>
                  <w:effect w:val="none"/>
                </w:rPr>
                <w:t>ITEM 1.</w:t>
              </w:r>
            </w:hyperlink>
          </w:p>
        </w:tc>
        <w:tc>
          <w:tcPr>
            <w:tcW w:w="8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13">
              <w:r>
                <w:rPr>
                  <w:rStyle w:val="InternetLink"/>
                  <w:rFonts w:ascii="Times New Roman;sans-serif" w:hAnsi="Times New Roman;sans-serif"/>
                  <w:b w:val="false"/>
                  <w:color w:val="0000FF"/>
                  <w:sz w:val="20"/>
                  <w:u w:val="single"/>
                </w:rPr>
                <w:t>FINANCIAL STATEMENTS (UNAUDITED)</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13">
              <w:r>
                <w:rPr>
                  <w:rStyle w:val="InternetLink"/>
                  <w:rFonts w:ascii="Times New Roman;sans-serif" w:hAnsi="Times New Roman;sans-serif"/>
                  <w:b w:val="false"/>
                  <w:color w:val="0000FF"/>
                  <w:sz w:val="20"/>
                  <w:u w:val="single"/>
                </w:rPr>
                <w:t>1</w:t>
              </w:r>
            </w:hyperlink>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hyperlink w:anchor="i7329fb4ad525493c978af8915872f031_61">
              <w:r>
                <w:rPr>
                  <w:rStyle w:val="InternetLink"/>
                  <w:strike w:val="false"/>
                  <w:dstrike w:val="false"/>
                  <w:color w:val="0000FF"/>
                  <w:u w:val="none"/>
                  <w:effect w:val="none"/>
                </w:rPr>
                <w:t>   </w:t>
              </w:r>
            </w:hyperlink>
            <w:hyperlink w:anchor="i7329fb4ad525493c978af8915872f031_61">
              <w:r>
                <w:rPr>
                  <w:rStyle w:val="InternetLink"/>
                  <w:rFonts w:ascii="Times New Roman;sans-serif" w:hAnsi="Times New Roman;sans-serif"/>
                  <w:b w:val="false"/>
                  <w:strike w:val="false"/>
                  <w:dstrike w:val="false"/>
                  <w:color w:val="0000FF"/>
                  <w:sz w:val="20"/>
                  <w:u w:val="none"/>
                  <w:effect w:val="none"/>
                </w:rPr>
                <w:t>ITEM 2.</w:t>
              </w:r>
            </w:hyperlink>
          </w:p>
        </w:tc>
        <w:tc>
          <w:tcPr>
            <w:tcW w:w="8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6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61">
              <w:r>
                <w:rPr>
                  <w:rStyle w:val="InternetLink"/>
                  <w:rFonts w:ascii="Times New Roman;sans-serif" w:hAnsi="Times New Roman;sans-serif"/>
                  <w:b w:val="false"/>
                  <w:color w:val="0000FF"/>
                  <w:sz w:val="20"/>
                  <w:u w:val="single"/>
                </w:rPr>
                <w:t>18</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7329fb4ad525493c978af8915872f031_85">
              <w:r>
                <w:rPr>
                  <w:rStyle w:val="InternetLink"/>
                  <w:rFonts w:ascii="Times New Roman;sans-serif" w:hAnsi="Times New Roman;sans-serif"/>
                  <w:b w:val="false"/>
                  <w:strike w:val="false"/>
                  <w:dstrike w:val="false"/>
                  <w:color w:val="0000FF"/>
                  <w:sz w:val="20"/>
                  <w:u w:val="none"/>
                  <w:effect w:val="none"/>
                </w:rPr>
                <w:t>ITEM 3.</w:t>
              </w:r>
            </w:hyperlink>
          </w:p>
        </w:tc>
        <w:tc>
          <w:tcPr>
            <w:tcW w:w="8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85">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85">
              <w:r>
                <w:rPr>
                  <w:rStyle w:val="InternetLink"/>
                  <w:rFonts w:ascii="Times New Roman;sans-serif" w:hAnsi="Times New Roman;sans-serif"/>
                  <w:b w:val="false"/>
                  <w:color w:val="0000FF"/>
                  <w:sz w:val="20"/>
                  <w:u w:val="single"/>
                </w:rPr>
                <w:t>35</w:t>
              </w:r>
            </w:hyperlink>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7329fb4ad525493c978af8915872f031_88">
              <w:r>
                <w:rPr>
                  <w:rStyle w:val="InternetLink"/>
                  <w:rFonts w:ascii="Times New Roman;sans-serif" w:hAnsi="Times New Roman;sans-serif"/>
                  <w:b w:val="false"/>
                  <w:strike w:val="false"/>
                  <w:dstrike w:val="false"/>
                  <w:color w:val="0000FF"/>
                  <w:sz w:val="20"/>
                  <w:u w:val="none"/>
                  <w:effect w:val="none"/>
                </w:rPr>
                <w:t>ITEM 4.</w:t>
              </w:r>
            </w:hyperlink>
          </w:p>
        </w:tc>
        <w:tc>
          <w:tcPr>
            <w:tcW w:w="8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88">
              <w:r>
                <w:rPr>
                  <w:rStyle w:val="InternetLink"/>
                  <w:rFonts w:ascii="Times New Roman;sans-serif" w:hAnsi="Times New Roman;sans-serif"/>
                  <w:b w:val="false"/>
                  <w:color w:val="0000FF"/>
                  <w:sz w:val="20"/>
                  <w:u w:val="single"/>
                </w:rPr>
                <w:t>CONTROLS AND PROCEDURES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88">
              <w:r>
                <w:rPr>
                  <w:rStyle w:val="InternetLink"/>
                  <w:rFonts w:ascii="Times New Roman;sans-serif" w:hAnsi="Times New Roman;sans-serif"/>
                  <w:b w:val="false"/>
                  <w:color w:val="0000FF"/>
                  <w:sz w:val="20"/>
                  <w:u w:val="single"/>
                </w:rPr>
                <w:t>35</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91">
              <w:r>
                <w:rPr>
                  <w:rStyle w:val="InternetLink"/>
                  <w:rFonts w:ascii="Times New Roman;sans-serif" w:hAnsi="Times New Roman;sans-serif"/>
                  <w:b w:val="false"/>
                  <w:color w:val="0000FF"/>
                  <w:sz w:val="20"/>
                  <w:u w:val="single"/>
                </w:rPr>
                <w:t>PART II. 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91">
              <w:r>
                <w:rPr>
                  <w:rStyle w:val="InternetLink"/>
                  <w:rFonts w:ascii="Times New Roman;sans-serif" w:hAnsi="Times New Roman;sans-serif"/>
                  <w:b w:val="false"/>
                  <w:color w:val="0000FF"/>
                  <w:sz w:val="20"/>
                  <w:u w:val="single"/>
                </w:rPr>
                <w:t>37</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7329fb4ad525493c978af8915872f031_94">
              <w:r>
                <w:rPr>
                  <w:rStyle w:val="InternetLink"/>
                  <w:rFonts w:ascii="Times New Roman;sans-serif" w:hAnsi="Times New Roman;sans-serif"/>
                  <w:b w:val="false"/>
                  <w:strike w:val="false"/>
                  <w:dstrike w:val="false"/>
                  <w:color w:val="0000FF"/>
                  <w:sz w:val="20"/>
                  <w:u w:val="none"/>
                  <w:effect w:val="none"/>
                </w:rPr>
                <w:t>ITEM 1.</w:t>
              </w:r>
            </w:hyperlink>
          </w:p>
        </w:tc>
        <w:tc>
          <w:tcPr>
            <w:tcW w:w="8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94">
              <w:r>
                <w:rPr>
                  <w:rStyle w:val="InternetLink"/>
                  <w:rFonts w:ascii="Times New Roman;sans-serif" w:hAnsi="Times New Roman;sans-serif"/>
                  <w:b w:val="false"/>
                  <w:color w:val="0000FF"/>
                  <w:sz w:val="20"/>
                  <w:u w:val="single"/>
                </w:rPr>
                <w:t>LEGAL PROCEEDINGS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94">
              <w:r>
                <w:rPr>
                  <w:rStyle w:val="InternetLink"/>
                  <w:rFonts w:ascii="Times New Roman;sans-serif" w:hAnsi="Times New Roman;sans-serif"/>
                  <w:b w:val="false"/>
                  <w:color w:val="0000FF"/>
                  <w:sz w:val="20"/>
                  <w:u w:val="single"/>
                </w:rPr>
                <w:t>37</w:t>
              </w:r>
            </w:hyperlink>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7329fb4ad525493c978af8915872f031_97">
              <w:r>
                <w:rPr>
                  <w:rStyle w:val="InternetLink"/>
                  <w:strike w:val="false"/>
                  <w:dstrike w:val="false"/>
                  <w:color w:val="0000FF"/>
                  <w:u w:val="none"/>
                  <w:effect w:val="none"/>
                </w:rPr>
                <w:t xml:space="preserve">  </w:t>
              </w:r>
            </w:hyperlink>
            <w:hyperlink w:anchor="i7329fb4ad525493c978af8915872f031_97">
              <w:r>
                <w:rPr>
                  <w:rStyle w:val="InternetLink"/>
                  <w:rFonts w:ascii="Times New Roman;sans-serif" w:hAnsi="Times New Roman;sans-serif"/>
                  <w:b w:val="false"/>
                  <w:strike w:val="false"/>
                  <w:dstrike w:val="false"/>
                  <w:color w:val="0000FF"/>
                  <w:sz w:val="20"/>
                  <w:u w:val="none"/>
                  <w:effect w:val="none"/>
                </w:rPr>
                <w:t>ITEM 1A.</w:t>
              </w:r>
            </w:hyperlink>
          </w:p>
        </w:tc>
        <w:tc>
          <w:tcPr>
            <w:tcW w:w="8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97">
              <w:r>
                <w:rPr>
                  <w:rStyle w:val="InternetLink"/>
                  <w:rFonts w:ascii="Times New Roman;sans-serif" w:hAnsi="Times New Roman;sans-serif"/>
                  <w:b w:val="false"/>
                  <w:color w:val="0000FF"/>
                  <w:sz w:val="20"/>
                  <w:u w:val="singl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97">
              <w:r>
                <w:rPr>
                  <w:rStyle w:val="InternetLink"/>
                  <w:rFonts w:ascii="Times New Roman;sans-serif" w:hAnsi="Times New Roman;sans-serif"/>
                  <w:b w:val="false"/>
                  <w:color w:val="0000FF"/>
                  <w:sz w:val="20"/>
                  <w:u w:val="single"/>
                </w:rPr>
                <w:t>38</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hyperlink w:anchor="i7329fb4ad525493c978af8915872f031_100">
              <w:r>
                <w:rPr>
                  <w:rStyle w:val="InternetLink"/>
                  <w:strike w:val="false"/>
                  <w:dstrike w:val="false"/>
                  <w:color w:val="0000FF"/>
                  <w:u w:val="none"/>
                  <w:effect w:val="none"/>
                </w:rPr>
                <w:t> </w:t>
              </w:r>
            </w:hyperlink>
            <w:hyperlink w:anchor="i7329fb4ad525493c978af8915872f031_100">
              <w:r>
                <w:rPr>
                  <w:rStyle w:val="InternetLink"/>
                  <w:rFonts w:ascii="Times New Roman;sans-serif" w:hAnsi="Times New Roman;sans-serif"/>
                  <w:b w:val="false"/>
                  <w:strike w:val="false"/>
                  <w:dstrike w:val="false"/>
                  <w:color w:val="0000FF"/>
                  <w:sz w:val="20"/>
                  <w:u w:val="none"/>
                  <w:effect w:val="none"/>
                </w:rPr>
                <w:t>ITEM 2.</w:t>
              </w:r>
            </w:hyperlink>
          </w:p>
        </w:tc>
        <w:tc>
          <w:tcPr>
            <w:tcW w:w="8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100">
              <w:r>
                <w:rPr>
                  <w:rStyle w:val="InternetLink"/>
                  <w:rFonts w:ascii="Times New Roman;sans-serif" w:hAnsi="Times New Roman;sans-serif"/>
                  <w:b w:val="false"/>
                  <w:color w:val="0000FF"/>
                  <w:sz w:val="20"/>
                  <w:u w:val="single"/>
                </w:rPr>
                <w:t>UNREGISTERED SALES OF EQUITY SECURITIES AND USE OF PROCEEDS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100">
              <w:r>
                <w:rPr>
                  <w:rStyle w:val="InternetLink"/>
                  <w:rFonts w:ascii="Times New Roman;sans-serif" w:hAnsi="Times New Roman;sans-serif"/>
                  <w:b w:val="false"/>
                  <w:color w:val="0000FF"/>
                  <w:sz w:val="20"/>
                  <w:u w:val="single"/>
                </w:rPr>
                <w:t>38</w:t>
              </w:r>
            </w:hyperlink>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7329fb4ad525493c978af8915872f031_103">
              <w:r>
                <w:rPr>
                  <w:rStyle w:val="InternetLink"/>
                  <w:rFonts w:ascii="Times New Roman;sans-serif" w:hAnsi="Times New Roman;sans-serif"/>
                  <w:b w:val="false"/>
                  <w:strike w:val="false"/>
                  <w:dstrike w:val="false"/>
                  <w:color w:val="0000FF"/>
                  <w:sz w:val="20"/>
                  <w:u w:val="none"/>
                  <w:effect w:val="none"/>
                </w:rPr>
                <w:t>ITEM 3.</w:t>
              </w:r>
            </w:hyperlink>
          </w:p>
        </w:tc>
        <w:tc>
          <w:tcPr>
            <w:tcW w:w="8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103">
              <w:r>
                <w:rPr>
                  <w:rStyle w:val="InternetLink"/>
                  <w:rFonts w:ascii="Times New Roman;sans-serif" w:hAnsi="Times New Roman;sans-serif"/>
                  <w:b w:val="false"/>
                  <w:color w:val="0000FF"/>
                  <w:sz w:val="20"/>
                  <w:u w:val="single"/>
                </w:rPr>
                <w:t>DEFAULTS UPON SENIOR SECURITIES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103">
              <w:r>
                <w:rPr>
                  <w:rStyle w:val="InternetLink"/>
                  <w:rFonts w:ascii="Times New Roman;sans-serif" w:hAnsi="Times New Roman;sans-serif"/>
                  <w:b w:val="false"/>
                  <w:color w:val="0000FF"/>
                  <w:sz w:val="20"/>
                  <w:u w:val="single"/>
                </w:rPr>
                <w:t>38</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7329fb4ad525493c978af8915872f031_106">
              <w:r>
                <w:rPr>
                  <w:rStyle w:val="InternetLink"/>
                  <w:rFonts w:ascii="Times New Roman;sans-serif" w:hAnsi="Times New Roman;sans-serif"/>
                  <w:b w:val="false"/>
                  <w:strike w:val="false"/>
                  <w:dstrike w:val="false"/>
                  <w:color w:val="0000FF"/>
                  <w:sz w:val="20"/>
                  <w:u w:val="none"/>
                  <w:effect w:val="none"/>
                </w:rPr>
                <w:t>ITEM 4.</w:t>
              </w:r>
            </w:hyperlink>
          </w:p>
        </w:tc>
        <w:tc>
          <w:tcPr>
            <w:tcW w:w="8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106">
              <w:r>
                <w:rPr>
                  <w:rStyle w:val="InternetLink"/>
                  <w:rFonts w:ascii="Times New Roman;sans-serif" w:hAnsi="Times New Roman;sans-serif"/>
                  <w:b w:val="false"/>
                  <w:color w:val="0000FF"/>
                  <w:sz w:val="20"/>
                  <w:u w:val="single"/>
                </w:rPr>
                <w:t>MINE SAFETY DISCLOSURES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106">
              <w:r>
                <w:rPr>
                  <w:rStyle w:val="InternetLink"/>
                  <w:rFonts w:ascii="Times New Roman;sans-serif" w:hAnsi="Times New Roman;sans-serif"/>
                  <w:b w:val="false"/>
                  <w:color w:val="0000FF"/>
                  <w:sz w:val="20"/>
                  <w:u w:val="single"/>
                </w:rPr>
                <w:t>38</w:t>
              </w:r>
            </w:hyperlink>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hyperlink w:anchor="i7329fb4ad525493c978af8915872f031_109">
              <w:r>
                <w:rPr>
                  <w:rStyle w:val="InternetLink"/>
                  <w:strike w:val="false"/>
                  <w:dstrike w:val="false"/>
                  <w:color w:val="0000FF"/>
                  <w:u w:val="none"/>
                  <w:effect w:val="none"/>
                </w:rPr>
                <w:t> </w:t>
              </w:r>
            </w:hyperlink>
            <w:hyperlink w:anchor="i7329fb4ad525493c978af8915872f031_109">
              <w:r>
                <w:rPr>
                  <w:rStyle w:val="InternetLink"/>
                  <w:rFonts w:ascii="Times New Roman;sans-serif" w:hAnsi="Times New Roman;sans-serif"/>
                  <w:b w:val="false"/>
                  <w:strike w:val="false"/>
                  <w:dstrike w:val="false"/>
                  <w:color w:val="0000FF"/>
                  <w:sz w:val="20"/>
                  <w:u w:val="none"/>
                  <w:effect w:val="none"/>
                </w:rPr>
                <w:t>ITEM 5.</w:t>
              </w:r>
            </w:hyperlink>
          </w:p>
        </w:tc>
        <w:tc>
          <w:tcPr>
            <w:tcW w:w="8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109">
              <w:r>
                <w:rPr>
                  <w:rStyle w:val="InternetLink"/>
                  <w:rFonts w:ascii="Times New Roman;sans-serif" w:hAnsi="Times New Roman;sans-serif"/>
                  <w:b w:val="false"/>
                  <w:color w:val="0000FF"/>
                  <w:sz w:val="20"/>
                  <w:u w:val="single"/>
                </w:rPr>
                <w:t>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109">
              <w:r>
                <w:rPr>
                  <w:rStyle w:val="InternetLink"/>
                  <w:rFonts w:ascii="Times New Roman;sans-serif" w:hAnsi="Times New Roman;sans-serif"/>
                  <w:b w:val="false"/>
                  <w:color w:val="0000FF"/>
                  <w:sz w:val="20"/>
                  <w:u w:val="single"/>
                </w:rPr>
                <w:t>38</w:t>
              </w:r>
            </w:hyperlink>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hyperlink w:anchor="i7329fb4ad525493c978af8915872f031_112">
              <w:r>
                <w:rPr>
                  <w:rStyle w:val="InternetLink"/>
                  <w:strike w:val="false"/>
                  <w:dstrike w:val="false"/>
                  <w:color w:val="0000FF"/>
                  <w:u w:val="none"/>
                  <w:effect w:val="none"/>
                </w:rPr>
                <w:t> </w:t>
              </w:r>
            </w:hyperlink>
            <w:hyperlink w:anchor="i7329fb4ad525493c978af8915872f031_112">
              <w:r>
                <w:rPr>
                  <w:rStyle w:val="InternetLink"/>
                  <w:rFonts w:ascii="Times New Roman;sans-serif" w:hAnsi="Times New Roman;sans-serif"/>
                  <w:b w:val="false"/>
                  <w:strike w:val="false"/>
                  <w:dstrike w:val="false"/>
                  <w:color w:val="0000FF"/>
                  <w:sz w:val="20"/>
                  <w:u w:val="none"/>
                  <w:effect w:val="none"/>
                </w:rPr>
                <w:t>ITEM 6.</w:t>
              </w:r>
            </w:hyperlink>
          </w:p>
        </w:tc>
        <w:tc>
          <w:tcPr>
            <w:tcW w:w="8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329fb4ad525493c978af8915872f031_112">
              <w:r>
                <w:rPr>
                  <w:rStyle w:val="InternetLink"/>
                  <w:rFonts w:ascii="Times New Roman;sans-serif" w:hAnsi="Times New Roman;sans-serif"/>
                  <w:b w:val="false"/>
                  <w:color w:val="0000FF"/>
                  <w:sz w:val="20"/>
                  <w:u w:val="single"/>
                </w:rPr>
                <w:t>EXHIBITS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329fb4ad525493c978af8915872f031_112">
              <w:r>
                <w:rPr>
                  <w:rStyle w:val="InternetLink"/>
                  <w:rFonts w:ascii="Times New Roman;sans-serif" w:hAnsi="Times New Roman;sans-serif"/>
                  <w:b w:val="false"/>
                  <w:color w:val="0000FF"/>
                  <w:sz w:val="20"/>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and per share amounts)</w:t>
      </w:r>
    </w:p>
    <w:tbl>
      <w:tblPr>
        <w:tblW w:w="8775" w:type="dxa"/>
        <w:jc w:val="center"/>
        <w:tblInd w:w="0" w:type="dxa"/>
        <w:tblLayout w:type="fixed"/>
        <w:tblCellMar>
          <w:top w:w="28" w:type="dxa"/>
          <w:left w:w="28" w:type="dxa"/>
          <w:bottom w:w="28" w:type="dxa"/>
          <w:right w:w="28" w:type="dxa"/>
        </w:tblCellMar>
      </w:tblPr>
      <w:tblGrid>
        <w:gridCol w:w="2070"/>
        <w:gridCol w:w="1826"/>
        <w:gridCol w:w="1849"/>
        <w:gridCol w:w="213"/>
        <w:gridCol w:w="837"/>
        <w:gridCol w:w="109"/>
        <w:gridCol w:w="109"/>
        <w:gridCol w:w="109"/>
        <w:gridCol w:w="109"/>
        <w:gridCol w:w="273"/>
        <w:gridCol w:w="1072"/>
        <w:gridCol w:w="199"/>
      </w:tblGrid>
      <w:tr>
        <w:trPr/>
        <w:tc>
          <w:tcPr>
            <w:tcW w:w="207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current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151,139 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of accumulated depreciation of $11,477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2022: $10,801)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non-current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195,419 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license revenue, current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current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license revenue, non-current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non-current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unlimited number without par value</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166,922,739</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 157,455,363)</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(1,203,803)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136,852 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195,419 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 and Comprehensive Loss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80"/>
        <w:gridCol w:w="1071"/>
        <w:gridCol w:w="1081"/>
        <w:gridCol w:w="264"/>
        <w:gridCol w:w="922"/>
        <w:gridCol w:w="109"/>
        <w:gridCol w:w="109"/>
        <w:gridCol w:w="109"/>
        <w:gridCol w:w="109"/>
        <w:gridCol w:w="264"/>
        <w:gridCol w:w="922"/>
        <w:gridCol w:w="109"/>
        <w:gridCol w:w="109"/>
        <w:gridCol w:w="109"/>
        <w:gridCol w:w="109"/>
        <w:gridCol w:w="804"/>
        <w:gridCol w:w="382"/>
        <w:gridCol w:w="213"/>
        <w:gridCol w:w="213"/>
        <w:gridCol w:w="213"/>
        <w:gridCol w:w="213"/>
        <w:gridCol w:w="805"/>
        <w:gridCol w:w="381"/>
        <w:gridCol w:w="305"/>
      </w:tblGrid>
      <w:tr>
        <w:trPr/>
        <w:tc>
          <w:tcPr>
            <w:tcW w:w="128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Collaborations and licenses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26,822 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10,092 </w:t>
            </w:r>
          </w:p>
        </w:tc>
        <w:tc>
          <w:tcPr>
            <w:tcW w:w="3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51,905 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(25,083)</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(loss)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3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213"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30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(33,433)</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(25,513)</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w:t>
            </w:r>
          </w:p>
        </w:tc>
        <w:tc>
          <w:tcPr>
            <w:tcW w:w="3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(33,433)</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(29,957)</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166,063,284 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148,750,048 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163,855,661 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148,589,711 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(32,413)</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(31,719)</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and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320"/>
        <w:gridCol w:w="322"/>
        <w:gridCol w:w="525"/>
        <w:gridCol w:w="526"/>
        <w:gridCol w:w="240"/>
        <w:gridCol w:w="109"/>
        <w:gridCol w:w="109"/>
        <w:gridCol w:w="109"/>
        <w:gridCol w:w="196"/>
        <w:gridCol w:w="871"/>
        <w:gridCol w:w="109"/>
        <w:gridCol w:w="109"/>
        <w:gridCol w:w="109"/>
        <w:gridCol w:w="109"/>
        <w:gridCol w:w="204"/>
        <w:gridCol w:w="674"/>
        <w:gridCol w:w="113"/>
        <w:gridCol w:w="109"/>
        <w:gridCol w:w="109"/>
        <w:gridCol w:w="109"/>
        <w:gridCol w:w="196"/>
        <w:gridCol w:w="888"/>
        <w:gridCol w:w="109"/>
        <w:gridCol w:w="109"/>
        <w:gridCol w:w="109"/>
        <w:gridCol w:w="109"/>
        <w:gridCol w:w="260"/>
        <w:gridCol w:w="879"/>
        <w:gridCol w:w="145"/>
        <w:gridCol w:w="109"/>
        <w:gridCol w:w="109"/>
        <w:gridCol w:w="109"/>
        <w:gridCol w:w="209"/>
        <w:gridCol w:w="787"/>
        <w:gridCol w:w="172"/>
      </w:tblGrid>
      <w:tr>
        <w:trPr/>
        <w:tc>
          <w:tcPr>
            <w:tcW w:w="8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157,455,363 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(50,488)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136,852 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the Open Market Sale Agreement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7,423,622 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exercise of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101,356 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ESPP</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151,852 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available-for-sale securities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165,132,193 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(49,634)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143,915 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2,964 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2,964 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the Open Market Sale Agreement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1,790,546 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available-for-sale securities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166,922,739 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77,202 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(1,237,236)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(49,468)</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134,693 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and per share amounts)</w:t>
      </w:r>
    </w:p>
    <w:p>
      <w:pPr>
        <w:pStyle w:val="TextBody"/>
        <w:bidi w:val="0"/>
        <w:spacing w:before="0" w:after="0"/>
        <w:jc w:val="center"/>
        <w:rPr/>
      </w:pPr>
      <w:r>
        <w:rPr/>
      </w:r>
    </w:p>
    <w:tbl>
      <w:tblPr>
        <w:tblW w:w="10225" w:type="dxa"/>
        <w:jc w:val="center"/>
        <w:tblInd w:w="0" w:type="dxa"/>
        <w:tblLayout w:type="fixed"/>
        <w:tblCellMar>
          <w:top w:w="28" w:type="dxa"/>
          <w:left w:w="28" w:type="dxa"/>
          <w:bottom w:w="28" w:type="dxa"/>
          <w:right w:w="28" w:type="dxa"/>
        </w:tblCellMar>
      </w:tblPr>
      <w:tblGrid>
        <w:gridCol w:w="784"/>
        <w:gridCol w:w="268"/>
        <w:gridCol w:w="269"/>
        <w:gridCol w:w="109"/>
        <w:gridCol w:w="109"/>
        <w:gridCol w:w="109"/>
        <w:gridCol w:w="525"/>
        <w:gridCol w:w="526"/>
        <w:gridCol w:w="231"/>
        <w:gridCol w:w="109"/>
        <w:gridCol w:w="109"/>
        <w:gridCol w:w="109"/>
        <w:gridCol w:w="196"/>
        <w:gridCol w:w="871"/>
        <w:gridCol w:w="109"/>
        <w:gridCol w:w="109"/>
        <w:gridCol w:w="109"/>
        <w:gridCol w:w="109"/>
        <w:gridCol w:w="196"/>
        <w:gridCol w:w="646"/>
        <w:gridCol w:w="109"/>
        <w:gridCol w:w="109"/>
        <w:gridCol w:w="109"/>
        <w:gridCol w:w="109"/>
        <w:gridCol w:w="196"/>
        <w:gridCol w:w="886"/>
        <w:gridCol w:w="109"/>
        <w:gridCol w:w="109"/>
        <w:gridCol w:w="109"/>
        <w:gridCol w:w="109"/>
        <w:gridCol w:w="246"/>
        <w:gridCol w:w="832"/>
        <w:gridCol w:w="138"/>
        <w:gridCol w:w="109"/>
        <w:gridCol w:w="109"/>
        <w:gridCol w:w="109"/>
        <w:gridCol w:w="203"/>
        <w:gridCol w:w="763"/>
        <w:gridCol w:w="160"/>
      </w:tblGrid>
      <w:tr>
        <w:trPr/>
        <w:tc>
          <w:tcPr>
            <w:tcW w:w="7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144,987,736 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(48,335)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Certain fair value adjustments to liability stock option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the Open Market Sale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69,048 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exercise of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86,501 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Share Purchase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3,579,952 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148,728,237 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(49,406)</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165,845 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2,064 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Certain fair value adjustments to liability stock option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exercise of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66,025 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148,794,262 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(1,164,304)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(50,097)</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153,142 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w:t>
      </w:r>
    </w:p>
    <w:tbl>
      <w:tblPr>
        <w:tblW w:w="7763" w:type="dxa"/>
        <w:jc w:val="center"/>
        <w:tblInd w:w="0" w:type="dxa"/>
        <w:tblLayout w:type="fixed"/>
        <w:tblCellMar>
          <w:top w:w="28" w:type="dxa"/>
          <w:left w:w="28" w:type="dxa"/>
          <w:bottom w:w="28" w:type="dxa"/>
          <w:right w:w="28" w:type="dxa"/>
        </w:tblCellMar>
      </w:tblPr>
      <w:tblGrid>
        <w:gridCol w:w="1933"/>
        <w:gridCol w:w="1699"/>
        <w:gridCol w:w="1707"/>
        <w:gridCol w:w="196"/>
        <w:gridCol w:w="721"/>
        <w:gridCol w:w="109"/>
        <w:gridCol w:w="109"/>
        <w:gridCol w:w="109"/>
        <w:gridCol w:w="109"/>
        <w:gridCol w:w="196"/>
        <w:gridCol w:w="721"/>
        <w:gridCol w:w="154"/>
      </w:tblGrid>
      <w:tr>
        <w:trPr/>
        <w:tc>
          <w:tcPr>
            <w:tcW w:w="193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items: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royalty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accretion and amortization of investments in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operating items: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deferred license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investments in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Disposition of investments in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Share Purchase Agreement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the Open Market Sale Agreement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exercise of ESPP</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and cash equivalents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Decrease in cash and cash equivalents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ARBUTUS BIOPHARMA CORPORATION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of U.S. Dollars, except share and per share amounts) </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1.    </w:t>
      </w:r>
      <w:r>
        <w:rPr>
          <w:rFonts w:ascii="Times New Roman;sans-serif" w:hAnsi="Times New Roman;sans-serif"/>
          <w:b/>
          <w:color w:val="000000"/>
          <w:sz w:val="20"/>
        </w:rPr>
        <w:t>Nature of business and future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Arbutus Biopharma Corporation (“Arbutus” or the “Company”) is a clinical-stage biopharmaceutical company leveraging its extensive virology expertise to develop novel therapeutics that target specific viral diseases. The Company’s current focus areas include hepatitis B virus (“HBV”), SARS-CoV-2 and other coronaviruses. To address HBV, the Company is developing an RNA interference (“RNAi”) therapeutic, imdusiran (AB-729), an oral PD-L1 inhibitor, AB-101, and an oral RNA destabilizer, AB-161, to potentially identify a combination regimen with the aim of providing a functional cure for patients with chronic HBV infection (“cHBV”) by suppressing viral replication, reducing surface antigen and reawakening the immune system. The Company believes its lead compound, imdusiran, is the only RNAi therapeutic with evidence of immune re-awakening. Imdusiran is currently being evaluated in multiple phase 2 clinical trials. In addition, a Phase 1 clinical trial with AB-161 was recently initiated. The Company also has an ongoing drug discovery and development program directed to identifying novel, orally active agents for treating coronaviruses, including SARS-CoV-2, where the Company has nominated a compound and has begun IND-enabling preclinical studies. In addition, the Company is also exploring oncology applications for its internal PD-L1 portfolio.</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the Company had an aggregate of $163.5 million in cash, cash equivalents and investments in marketable securities. The Company had no outstanding debt as of June 30, 2023. The Company believes it has sufficient cash resources to fund its operations for at least the next 12 months.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shd w:fill="FFFFFF" w:val="clear"/>
        </w:rPr>
        <w:t>2.    </w:t>
      </w:r>
      <w:r>
        <w:rPr>
          <w:rFonts w:ascii="Times New Roman;sans-serif" w:hAnsi="Times New Roman;sans-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2022 included in the Company’s Annual Report on Form 10-K for the year ended December 31, 2022.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June 30, 2023 and December 31, 2022, the Company’s results of operations for the three and six months ended June 30, 2023 and 2022, and the Company’s cash flows for the six months ended June 30, 2023 and 2022. Such adjustments are of a normal recurring nature. The results of operations for the three and six months ended June 30, 2023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2022, except as described below under Recent Accounting Pronouncements.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intercompany balances and transactions have been eliminated. Certain prior year amounts have been reclassified to conform to the current year presentation.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is calculated based on the weighted average number of common shares outstanding. Diluted net loss per share does not differ from basic net loss per share for the three and six months ended June 30, 2023 and 2022, since the effect of including potential common shares would be anti-dilutive. For the six months ended June 30, 2023, potential common shares of 20.2 million pertaining to outstanding stock options and unvested restricted stock units were excluded from the calculation of net loss per share. A total of approximately 15.9 million outstanding stock options were excluded from the calculation for the six months ended June 30,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from collaborations and licenses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Company’s collaboration agreements fall under the scope of Accounting Standards Codification (“ASC”) Topic 808, </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 xml:space="preserve">(“ASC 808”), when both parties are active participants in the arrangement and are exposed to significant risks and rewards. For certain arrangements under the scope of ASC 808, the Company analogizes to ASC Topic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for some aspects, including for the delivery of a good or service (i.e., a unit of account).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Times New Roman;sans-serif" w:hAnsi="Times New Roman;sans-serif"/>
          <w:b w:val="false"/>
          <w:i/>
          <w:color w:val="000000"/>
          <w:sz w:val="20"/>
        </w:rPr>
        <w:t>Balance Sheet - Offsetting</w:t>
      </w:r>
      <w:r>
        <w:rPr>
          <w:color w:val="000000"/>
        </w:rPr>
        <w:t xml:space="preserve"> </w:t>
      </w:r>
      <w:r>
        <w:rPr>
          <w:rFonts w:ascii="Times New Roman;sans-serif" w:hAnsi="Times New Roman;sans-serif"/>
          <w:b w:val="false"/>
          <w:color w:val="000000"/>
          <w:sz w:val="20"/>
        </w:rPr>
        <w:t>(“ASC 210-20”) the Company’s deferred revenue is offset by a contract asset as further discussed in Note 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a single segment.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Financial Accounting Standards Board issued Accounting Standards Update 2016-13, Financial Instruments - Credit Losses: Measurement of Credit Losses in Financial Instruments (“ASC 326”). The guidance is effective for the Company beginning January 1, 2023 and it changes how entities account for credit losses on the financial assets and other instruments that are not measured at fair value through net income, including available-for-sale debt securities. The adoption of ASC 326 did not have a material impact on the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reviewed all other recently issued standards and has determined that such standards will not have a material impact on the Company’s financial statements or do not otherwise apply to the Company’s operations.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financial instruments and other items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 </w:t>
      </w:r>
    </w:p>
    <w:p>
      <w:pPr>
        <w:pStyle w:val="TextBody"/>
        <w:bidi w:val="0"/>
        <w:spacing w:lineRule="auto" w:line="288" w:before="180" w:after="283"/>
        <w:ind w:left="0" w:right="0" w:hanging="540"/>
        <w:jc w:val="both"/>
        <w:rPr/>
      </w:pPr>
      <w:r>
        <w:rPr>
          <w:color w:val="000000"/>
        </w:rPr>
        <w:t>•</w:t>
      </w:r>
      <w:r>
        <w:rPr>
          <w:rFonts w:ascii="Times New Roman;sans-serif" w:hAnsi="Times New Roman;sans-serif"/>
          <w:b w:val="false"/>
          <w:color w:val="000000"/>
          <w:sz w:val="20"/>
        </w:rPr>
        <w:t>Level 1 inputs are quoted market prices for identical instruments available in active markets.</w:t>
      </w:r>
    </w:p>
    <w:p>
      <w:pPr>
        <w:pStyle w:val="TextBody"/>
        <w:bidi w:val="0"/>
        <w:spacing w:lineRule="auto" w:line="288" w:before="180" w:after="283"/>
        <w:ind w:left="0" w:right="0" w:hanging="540"/>
        <w:jc w:val="both"/>
        <w:rPr/>
      </w:pPr>
      <w:r>
        <w:rPr>
          <w:color w:val="000000"/>
        </w:rPr>
        <w:t>•</w:t>
      </w:r>
      <w:r>
        <w:rPr>
          <w:rFonts w:ascii="Times New Roman;sans-serif" w:hAnsi="Times New Roman;sans-serif"/>
          <w:b w:val="false"/>
          <w:color w:val="000000"/>
          <w:sz w:val="20"/>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pStyle w:val="TextBody"/>
        <w:bidi w:val="0"/>
        <w:spacing w:lineRule="auto" w:line="288" w:before="180" w:after="283"/>
        <w:ind w:left="0" w:right="0" w:hanging="540"/>
        <w:jc w:val="both"/>
        <w:rPr/>
      </w:pPr>
      <w:r>
        <w:rPr>
          <w:color w:val="000000"/>
        </w:rPr>
        <w:t>•</w:t>
      </w:r>
      <w:r>
        <w:rPr>
          <w:rFonts w:ascii="Times New Roman;sans-serif" w:hAnsi="Times New Roman;sans-serif"/>
          <w:b w:val="false"/>
          <w:color w:val="000000"/>
          <w:sz w:val="20"/>
        </w:rPr>
        <w:t>Level 3 inputs are unobservable inputs for the asset or liability and will reflect management’s assumptions about market assumptions that would be used to price the asset or liability.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and cash equivalents, accounts receivable, accounts payable and accrued liabilities approximate their fair values due to the immediate or short-term maturity of these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fair value of the contingent consideration (Note 8), the Company uses a probability weighted assessment of the likelihood the milestones would be met and the estimated timing of such payments, and then the potential contingent payments are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$7.2 million as of June 30, 2023 and the decrease of $0.4 million from December 31, 2022 has been recorded as a component of total operating expenses in the statements of operations and comprehensive loss for the six months ended June 30, 2023.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Company’s assets and liabilities that are measured at fair value on a recurring basis, and indicates the fair value hierarchy of the valuation techniques used to determine such fair value:</w:t>
      </w:r>
    </w:p>
    <w:p>
      <w:pPr>
        <w:pStyle w:val="TextBody"/>
        <w:bidi w:val="0"/>
        <w:spacing w:before="0" w:after="0"/>
        <w:jc w:val="both"/>
        <w:rPr/>
      </w:pPr>
      <w:r>
        <w:rPr/>
      </w:r>
    </w:p>
    <w:tbl>
      <w:tblPr>
        <w:tblW w:w="9390" w:type="dxa"/>
        <w:jc w:val="left"/>
        <w:tblInd w:w="0" w:type="dxa"/>
        <w:tblLayout w:type="fixed"/>
        <w:tblCellMar>
          <w:top w:w="28" w:type="dxa"/>
          <w:left w:w="28" w:type="dxa"/>
          <w:bottom w:w="28" w:type="dxa"/>
          <w:right w:w="28" w:type="dxa"/>
        </w:tblCellMar>
      </w:tblPr>
      <w:tblGrid>
        <w:gridCol w:w="1476"/>
        <w:gridCol w:w="1300"/>
        <w:gridCol w:w="1319"/>
        <w:gridCol w:w="211"/>
        <w:gridCol w:w="721"/>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June 30, 2023</w:t>
            </w:r>
          </w:p>
        </w:tc>
        <w:tc>
          <w:tcPr>
            <w:tcW w:w="52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9389" w:type="dxa"/>
        <w:jc w:val="left"/>
        <w:tblInd w:w="0" w:type="dxa"/>
        <w:tblLayout w:type="fixed"/>
        <w:tblCellMar>
          <w:top w:w="28" w:type="dxa"/>
          <w:left w:w="28" w:type="dxa"/>
          <w:bottom w:w="28" w:type="dxa"/>
          <w:right w:w="28" w:type="dxa"/>
        </w:tblCellMar>
      </w:tblPr>
      <w:tblGrid>
        <w:gridCol w:w="1479"/>
        <w:gridCol w:w="1304"/>
        <w:gridCol w:w="1311"/>
        <w:gridCol w:w="211"/>
        <w:gridCol w:w="721"/>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2022</w:t>
            </w:r>
          </w:p>
        </w:tc>
        <w:tc>
          <w:tcPr>
            <w:tcW w:w="52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changes in fair value of the Company’s contingent consideration: </w:t>
      </w:r>
    </w:p>
    <w:tbl>
      <w:tblPr>
        <w:tblW w:w="10205" w:type="dxa"/>
        <w:jc w:val="left"/>
        <w:tblInd w:w="0" w:type="dxa"/>
        <w:tblLayout w:type="fixed"/>
        <w:tblCellMar>
          <w:top w:w="28" w:type="dxa"/>
          <w:left w:w="28" w:type="dxa"/>
          <w:bottom w:w="28" w:type="dxa"/>
          <w:right w:w="28" w:type="dxa"/>
        </w:tblCellMar>
      </w:tblPr>
      <w:tblGrid>
        <w:gridCol w:w="961"/>
        <w:gridCol w:w="844"/>
        <w:gridCol w:w="848"/>
        <w:gridCol w:w="564"/>
        <w:gridCol w:w="1648"/>
        <w:gridCol w:w="291"/>
        <w:gridCol w:w="109"/>
        <w:gridCol w:w="109"/>
        <w:gridCol w:w="109"/>
        <w:gridCol w:w="554"/>
        <w:gridCol w:w="1417"/>
        <w:gridCol w:w="286"/>
        <w:gridCol w:w="109"/>
        <w:gridCol w:w="109"/>
        <w:gridCol w:w="109"/>
        <w:gridCol w:w="458"/>
        <w:gridCol w:w="1341"/>
        <w:gridCol w:w="339"/>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at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of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at end of the period</w:t>
            </w:r>
          </w:p>
        </w:tc>
      </w:tr>
      <w:tr>
        <w:trPr/>
        <w:tc>
          <w:tcPr>
            <w:tcW w:w="2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2022</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4 for additional information regarding the fair value of the Company’s investments in marketable securities. </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4.    Investments in marketable securities</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consisted of the following:</w:t>
      </w:r>
    </w:p>
    <w:tbl>
      <w:tblPr>
        <w:tblW w:w="10205" w:type="dxa"/>
        <w:jc w:val="left"/>
        <w:tblInd w:w="0" w:type="dxa"/>
        <w:tblLayout w:type="fixed"/>
        <w:tblCellMar>
          <w:top w:w="28" w:type="dxa"/>
          <w:left w:w="28" w:type="dxa"/>
          <w:bottom w:w="28" w:type="dxa"/>
          <w:right w:w="28" w:type="dxa"/>
        </w:tblCellMar>
      </w:tblPr>
      <w:tblGrid>
        <w:gridCol w:w="1217"/>
        <w:gridCol w:w="1036"/>
        <w:gridCol w:w="1038"/>
        <w:gridCol w:w="227"/>
        <w:gridCol w:w="890"/>
        <w:gridCol w:w="117"/>
        <w:gridCol w:w="109"/>
        <w:gridCol w:w="109"/>
        <w:gridCol w:w="109"/>
        <w:gridCol w:w="513"/>
        <w:gridCol w:w="989"/>
        <w:gridCol w:w="267"/>
        <w:gridCol w:w="109"/>
        <w:gridCol w:w="109"/>
        <w:gridCol w:w="109"/>
        <w:gridCol w:w="363"/>
        <w:gridCol w:w="1184"/>
        <w:gridCol w:w="187"/>
        <w:gridCol w:w="109"/>
        <w:gridCol w:w="109"/>
        <w:gridCol w:w="109"/>
        <w:gridCol w:w="211"/>
        <w:gridCol w:w="826"/>
        <w:gridCol w:w="159"/>
      </w:tblGrid>
      <w:tr>
        <w:trPr/>
        <w:tc>
          <w:tcPr>
            <w:tcW w:w="121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Gross Unrealized Gain</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Gross Unrealized Loss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June 30, 2023</w:t>
            </w:r>
          </w:p>
        </w:tc>
        <w:tc>
          <w:tcPr>
            <w:tcW w:w="69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short-term securities</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long-term securities</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 xml:space="preserve">Gross unrealized gain (loss) is pre-tax and is reported in accumulated other comprehensive loss.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7"/>
        <w:gridCol w:w="1039"/>
        <w:gridCol w:w="1045"/>
        <w:gridCol w:w="227"/>
        <w:gridCol w:w="890"/>
        <w:gridCol w:w="117"/>
        <w:gridCol w:w="109"/>
        <w:gridCol w:w="109"/>
        <w:gridCol w:w="109"/>
        <w:gridCol w:w="513"/>
        <w:gridCol w:w="989"/>
        <w:gridCol w:w="267"/>
        <w:gridCol w:w="109"/>
        <w:gridCol w:w="109"/>
        <w:gridCol w:w="109"/>
        <w:gridCol w:w="363"/>
        <w:gridCol w:w="1184"/>
        <w:gridCol w:w="187"/>
        <w:gridCol w:w="109"/>
        <w:gridCol w:w="109"/>
        <w:gridCol w:w="109"/>
        <w:gridCol w:w="211"/>
        <w:gridCol w:w="826"/>
        <w:gridCol w:w="159"/>
      </w:tblGrid>
      <w:tr>
        <w:trPr/>
        <w:tc>
          <w:tcPr>
            <w:tcW w:w="120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Gross Unrealized Gain</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Gross Unrealized Loss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2022</w:t>
            </w:r>
          </w:p>
        </w:tc>
        <w:tc>
          <w:tcPr>
            <w:tcW w:w="69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short-term securities</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long-term securities</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Gross unrealized gain (loss) is pre-tax and is reported in accumulated other comprehensive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contractual term to maturity of the $125.3 million of short-term marketable securities held by the Company as of June 30, 2023 is less than one year. As of June 30, 2023, the Company held $11.1 million of long-term marketable securities with contractual maturities of more than one year, but less than five years. As of December 31, 2022, the Company’s $116.1 million of short-term marketable securities had contractual maturities of less than one year, while the Company’s $37.4 million of long-term marketable securities had maturities of more than one year, but less than five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and December 31, 2022, respectively, the Company had 45 and 53 available-for-sale investment debt securities in an unrealized loss position without an allowance for credit losses. Unrealized losses on the Company’s investments in debt securities have not been recognized into income as the issuers’ bonds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bonds. The fair value is expected to recover as the bonds approach maturity.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interest receivable on investments in marketable securities of $0.6 million at both June 30, 2023 and December 31, 2022 is included in Prepaid expenses and other current assets.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realized gains of less than $0.1 million for the three and six months ended June 30, 2023 and no unrealized gains in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3 for additional information regarding the fair value of the Company’s investments in marketable securities.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Investment in Genevant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the Company entered into an agreement with Roivant Sciences Ltd., its largest shareholder, to launch Genevant Sciences Ltd.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Genevant License, as amended, if a third 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June 30, 2023, the carrying value of the Company’s investment in Genevant was zero and the Company owned approximately 16% of the common equity of Genevant.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Accounts payable and accrued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are comprised of the following:</w:t>
      </w:r>
    </w:p>
    <w:tbl>
      <w:tblPr>
        <w:tblW w:w="7001" w:type="dxa"/>
        <w:jc w:val="left"/>
        <w:tblInd w:w="0" w:type="dxa"/>
        <w:tblLayout w:type="fixed"/>
        <w:tblCellMar>
          <w:top w:w="28" w:type="dxa"/>
          <w:left w:w="28" w:type="dxa"/>
          <w:bottom w:w="28" w:type="dxa"/>
          <w:right w:w="28" w:type="dxa"/>
        </w:tblCellMar>
      </w:tblPr>
      <w:tblGrid>
        <w:gridCol w:w="1448"/>
        <w:gridCol w:w="1276"/>
        <w:gridCol w:w="1280"/>
        <w:gridCol w:w="253"/>
        <w:gridCol w:w="741"/>
        <w:gridCol w:w="131"/>
        <w:gridCol w:w="109"/>
        <w:gridCol w:w="109"/>
        <w:gridCol w:w="109"/>
        <w:gridCol w:w="300"/>
        <w:gridCol w:w="1026"/>
        <w:gridCol w:w="219"/>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accruals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 accruals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accruals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accounts payable and accrued liabilities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20" w:after="283"/>
        <w:jc w:val="left"/>
        <w:rPr/>
      </w:pPr>
      <w:r>
        <w:rPr/>
      </w:r>
    </w:p>
    <w:p>
      <w:pPr>
        <w:pStyle w:val="TextBody"/>
        <w:bidi w:val="0"/>
        <w:spacing w:before="0" w:after="0"/>
        <w:ind w:left="0" w:right="0" w:hanging="540"/>
        <w:jc w:val="both"/>
        <w:rPr/>
      </w:pPr>
      <w:r>
        <w:rPr/>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 xml:space="preserve">7.    Sale of future royalties </w:t>
      </w:r>
    </w:p>
    <w:p>
      <w:pPr>
        <w:pStyle w:val="TextBody"/>
        <w:bidi w:val="0"/>
        <w:spacing w:lineRule="auto" w:line="288" w:before="240" w:after="283"/>
        <w:jc w:val="both"/>
        <w:rPr/>
      </w:pPr>
      <w:r>
        <w:rPr>
          <w:rFonts w:ascii="Times New Roman;sans-serif" w:hAnsi="Times New Roman;sans-serif"/>
          <w:b w:val="false"/>
          <w:color w:val="000000"/>
          <w:sz w:val="20"/>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(Patisiran) (“ONPATTRO”), an RNA interference therapeutic currently being sold by Alnylam Pharmaceuticals, Inc. (“Alnylam”).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they fail to collect any such future royalties.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June 30, 2023, the Company estimated an effective annual interest rate of approximately 7.2%.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June 30, 2023, the Company has recorded an aggregate of $20.8 million of non-cash royalty revenue for royalties earned by OMERS. There are a number of factors that could materially affect the amount and timing of royalty payments from Alnylam, none of which are within the Company’s control.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Company recognized non-cash royalty revenue of $1.9 million and related non-cash interest expense of $0.4 million. During the six months ended June 30, 2022, the Company recognized non-cash royalty revenue of $3.0 million and related non-cash interest expense of $1.0 million.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activity related to the net liability for the six months ended June 30, 2023 and 2022:</w:t>
      </w:r>
    </w:p>
    <w:tbl>
      <w:tblPr>
        <w:tblW w:w="7884" w:type="dxa"/>
        <w:jc w:val="center"/>
        <w:tblInd w:w="0" w:type="dxa"/>
        <w:tblLayout w:type="fixed"/>
        <w:tblCellMar>
          <w:top w:w="28" w:type="dxa"/>
          <w:left w:w="28" w:type="dxa"/>
          <w:bottom w:w="28" w:type="dxa"/>
          <w:right w:w="28" w:type="dxa"/>
        </w:tblCellMar>
      </w:tblPr>
      <w:tblGrid>
        <w:gridCol w:w="1966"/>
        <w:gridCol w:w="1727"/>
        <w:gridCol w:w="1737"/>
        <w:gridCol w:w="211"/>
        <w:gridCol w:w="721"/>
        <w:gridCol w:w="109"/>
        <w:gridCol w:w="109"/>
        <w:gridCol w:w="109"/>
        <w:gridCol w:w="109"/>
        <w:gridCol w:w="211"/>
        <w:gridCol w:w="721"/>
        <w:gridCol w:w="154"/>
      </w:tblGrid>
      <w:tr>
        <w:trPr/>
        <w:tc>
          <w:tcPr>
            <w:tcW w:w="19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liability related to sale of future royalties - 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liability related to sale of future royalties - 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Contingencies and commitments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Purchase Agreement with Enantigen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is a financial liability and is measured at its fair value at each reporting period, with any changes in fair value from the previous reporting period recorded in the statements of operations and comprehensive loss (see Note 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consideration was $7.2 million as of June 30, 2023.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Collaborations, contracts and licensing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Collaborations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Qilu Pharmaceutical Co., Ltd.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entered into a technology transfer and licensing agreement (the “License Agreement”) with Qilu Pharmaceutical Co., Ltd. (“Qilu”), pursuant to which the Company granted Qilu a sublicensable, royalty-bearing license, under certain intellectual property owned by the Company, which is non-exclusive as to development and manufacturing and exclusive with respect to commercialization of imdusiran, including pharmaceutical products that include imdusiran, for the treatment or prevention of hepatitis B in China, Hong Kong, Macau and Taiwan (the “Territory”).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partial consideration for the rights granted by the Company, Qilu paid the Company a one-time upfront cash payment of $40.0 million, net of withholding taxes, on January 5, 2022, and agreed to pay the Company milestone payments totaling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double-digit royalties into the low twenties percent based upon annual net sales of imdusiran in the Territory. The royalties are payable on a product-by-product and region-by-region basis, subject to certain limitations.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 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imdusiran necessary for Qilu to develop and commercialize in the Territory until the Company has completed manufacturing technology transfer to Qilu and Qilu has received all approvals required for it or its designated contract manufacturing organization to manufacture imdusiran in the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(the “Qilu License”) and (ii) drug supply 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initial transaction price of the combined performance obligation to be $49.3 million, which includes the $40.0 million upfront fee, $4.4 million of withholding taxes paid by Qilu on behalf of the Company, the premium paid for the Share Transaction of $4.1 million, and $0.8 million associated with certain manufacturing costs expected to be reimbursed by Qilu.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 The following table outlines the transaction price and the changes to the related asset and liability balances during the six months ended June 30,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20"/>
        <w:gridCol w:w="1070"/>
        <w:gridCol w:w="1076"/>
        <w:gridCol w:w="267"/>
        <w:gridCol w:w="914"/>
        <w:gridCol w:w="138"/>
        <w:gridCol w:w="109"/>
        <w:gridCol w:w="109"/>
        <w:gridCol w:w="109"/>
        <w:gridCol w:w="614"/>
        <w:gridCol w:w="2099"/>
        <w:gridCol w:w="320"/>
        <w:gridCol w:w="109"/>
        <w:gridCol w:w="109"/>
        <w:gridCol w:w="109"/>
        <w:gridCol w:w="354"/>
        <w:gridCol w:w="1214"/>
        <w:gridCol w:w="265"/>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Transaction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Collaboration Revenue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License Revenue</w:t>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performance obligation</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asset</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license revenue</w:t>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15,327 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deferred license revenue</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license revenue</w:t>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$3.0 million and $7.1 million of revenue based on labor hours expended by the Company on its Manufacturing Obligations during the three and six months ended June 30, 2023, respectively, and $11.0 million and $20.7 million during the three and six months ended June 30,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balance of the deferred license revenue was $16.1 million, which, in accordance with ASC 210-20, was partially offset by the contract asset associated with the manufacturing cost reimbursement of $0.8 million, resulting in a net deferred license revenue liability of $15.3 million. The $4.4 million of withholding taxes paid by Qilu on behalf of the Company was recorded as income tax expense during the twelve months ended December 31,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$0.6 million of incremental costs in obtaining the Qilu License, which the Company capitalized in other current assets and other assets and amortizes as a component of general and administrative expense commensurate with the recognition of the combined performance obligation. The Company recognized amortization expense of less than $0.1 million and $0.1 million for the three and six months ended June 30, 2023, respectively, and $0.1 million and $0.3 million for the three and six months ended June 30,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Vaccitech plc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entered into a clinical collaboration agreement with Vaccitech plc (“Vaccitech”) to evaluate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imdusiran followed by Vaccitech’s VTP-300, a proprietary T-cell stimulating HBV antigen-specific immunotherapeutic, in nucleos(t)ide reverse transcriptase inhibitor (“NrtI”)-suppressed patients with cHBV.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responsible for managing this Phase 2a proof-of-concept clinical trial, subject to oversight by a joint development committee comprised of representatives from the Company and Vaccitech. The Company and Vaccitech retain full rights to their respective product candidates and will split all costs associated with the clinical trial. The Company incurred $0.3 million and $0.8 million of expenses, net of reimbursements from Vaccitech, related to the collaboration during the three and six months ended June 30, 2023, respectively, and reflected those costs in research and development in the statements of operations and comprehensive loss. The Company incurred $0.2 million and $0.4 million of such costs for the same respective periods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Assembly Biosciences,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Company entered into a clinical collaboration agreement with Assembly Biosciences, Inc. (“Assembly”) to evaluate imdusiran in combination with Assembly’s first-generation HBV core inhibitor (capsid inhibitor) candidate vebicorvir (“VBR”) and standard-of-care NA therapy for the treatment of patients with HBV infection. After completing enrollment in the Phase 2a proof-of-concept clinical trial, in July 2022, Assembly announced its plan to discontinue development of VBR. In consultation with Assembly, the Company continued dosing patients in this clinical trial in order to fully and accurately assess the results. Based on preliminary data reported in late 2022, both parties have mutually agreed to discontinue the clinical trial following completion of the final, on-treatment visit at week 48. The Company and Assembly are sharing in the costs of the collaboration. The Company incurred $0.6 million and $1.3 million of expenses related to the collaboration during the three and six months ended June 30, 2023, respectively, and $0.8 million and $1.4 million during the three and six months ended June 30, 2022, respectively. Those costs are reflected in research and development in the statements of operations and comprehensive loss. Except to the extent necessary to carry out Assembly’s responsibilities with respect to the collaboration trial, the Company has not provided any license grant to Assembly for use of its imdusiran compound.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X-Chem, Inc. and Proteros biostructures GmbH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entered into a discovery research and license agreement, as amended, with X-Chem, Inc. (“X-Chem”) and Proteros biostructures GmbH (“Proteros”) to focus on the discovery of novel inhibitors targeting the SARS-CoV-2 nsp5 main protease (Mpro). The agreement is designed to accelerate the development of pan-coronavirus agents to treat COVID-19 and potential future coronavirus outbreaks. This collaboration brought together the Company’s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Mpro (an essential protein required for the virus to replicate itself) and the use of state-of-the-art structure guided methods to rapidly optimize Mpro inhibitors to progress to clinical candidates. Through this collaboration, the Company has identified and obtained a worldwide exclusive license to several molecules that inhibit Mpro, a validated target for the treatment of COVID-19 and potential future coronavirus outbreaks. In the fourth quarter of 2022, the Company nominated AB-343 as its lead candidate that inhibits Mpro and the Company is also continuing lead optimization activities for an nsp12 viral polymerase candidate.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 provides for payments by the Company to X-Chem and Proteros upon satisfaction of certain development, regulatory and commercial milestones, as well as royalties on sales. The agreement with X-Chem and Proteros was amended, effective March 31, 2022, primarily to extend the term of the collaboration and update the funding and fee structure. The Company incurred $0.5 million and $1.1 million of expenses related to the collaboration during the three and six months ended June 30, 2023, respectively, and less than $0.1 million and $0.3 million during the three and six months ended June 30, 2022, respectively. Those costs are reflected in research and development in the statements of operations and comprehensive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Royalty Entitlements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Alnylam Pharmaceuticals, Inc. and Acuitas Therapeutics, Inc.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two royalty entitlements to Alnylam’s global net sales of ONPATTRO.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20" w:after="283"/>
        <w:jc w:val="left"/>
        <w:rPr/>
      </w:pPr>
      <w:r>
        <w:rPr/>
      </w:r>
    </w:p>
    <w:p>
      <w:pPr>
        <w:pStyle w:val="TextBody"/>
        <w:bidi w:val="0"/>
        <w:spacing w:lineRule="auto" w:line="268" w:before="0" w:after="0"/>
        <w:jc w:val="both"/>
        <w:rPr/>
      </w:pPr>
      <w:r>
        <w:rPr>
          <w:rFonts w:ascii="Times New Roman;sans-serif" w:hAnsi="Times New Roman;sans-serif"/>
          <w:b w:val="false"/>
          <w:color w:val="000000"/>
          <w:sz w:val="20"/>
        </w:rPr>
        <w:t>In 2012, the Company entered into the LNP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 inception of the royalty sale through June 30, 2023, an aggregate of $20.8 million of</w:t>
      </w:r>
      <w:r>
        <w:rPr>
          <w:color w:val="000000"/>
        </w:rPr>
        <w:t xml:space="preserve"> </w:t>
      </w:r>
      <w:r>
        <w:rPr>
          <w:rFonts w:ascii="Times New Roman;sans-serif" w:hAnsi="Times New Roman;sans-serif"/>
          <w:b w:val="false"/>
          <w:color w:val="000000"/>
          <w:sz w:val="20"/>
        </w:rPr>
        <w:t xml:space="preserve">royalties have been earned by OMERS.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is receiving a second royalty interest of 0.75% to 1.125% on global net sales of ONPATTRO, with 0.75% applying to sales greater than $500 million, originating from a settlement agreement and subsequent license agreement with Acuitas.  This royalty entitlement from Acuitas has been retained by the Company and was not part of the royalty entitlement sale to OMERS.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summarized in the following table:</w:t>
      </w:r>
    </w:p>
    <w:tbl>
      <w:tblPr>
        <w:tblW w:w="8295" w:type="dxa"/>
        <w:jc w:val="left"/>
        <w:tblInd w:w="0" w:type="dxa"/>
        <w:tblLayout w:type="fixed"/>
        <w:tblCellMar>
          <w:top w:w="28" w:type="dxa"/>
          <w:left w:w="28" w:type="dxa"/>
          <w:bottom w:w="28" w:type="dxa"/>
          <w:right w:w="28" w:type="dxa"/>
        </w:tblCellMar>
      </w:tblPr>
      <w:tblGrid>
        <w:gridCol w:w="1162"/>
        <w:gridCol w:w="1021"/>
        <w:gridCol w:w="1027"/>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29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from collaborations and licenses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Acuitas Therapeutics,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Qilu Pharmaceutical Co., Ltd.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milestone and royalty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royalty 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Alnylam Pharmaceuticals, Inc.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Shareholders’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Authorized share capital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authorized share capital consists of an unlimited number of common shares and preferred shares, without par value, and 1,164,000 Series A participating convertible preferred shares, without par value.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Open Market Sale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an Open Market Sale Agreement with Jefferies LLC dated December 20, 2018, as amended by Amendment No. 1, dated December 20, 2019, Amendment No. 2, dated August 7, 2020 and Amendment No. 3, dated March 4, 2021 (as amended, the “Sale Agreement”), under which the Company may issue and sell common shares, from time to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23, 2019, the Company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the Company’s securities. The January 2020 Registration Statement also contained a prospectus supplement for an offering of up to $50.0 million of the Company’s common shares pursuant to the Sale Agreement. This prospectus supplement was fully utilized during 2020. On August 7, 2020, the Company filed a prospectus supplement with the SEC (the “August 2020 Prospectus Supplement”) for an offering of up to an additional $75.0 million of its common shares pursuant to the Sale Agreement under the January 2020 Registration Statement. The August 2020 Prospectus Supplement was fully utilized during 2020.</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28, 2020, the Company filed a shelf registration statement on Form S-3 with the SEC (File No. 333-248467) and accompanying base prospectus, which was declared effective by the SEC on October 22, 2020 (the “October 2020 Registration Statement”), for the offer and sale of up to $200.0 million of the Company’s securities. On March 4, 2021, the Company filed a prospectus supplement with the SEC (the “March 2021 Prospectus Supplement”) for an offering of up to an additional $75.0 million of its common shares pursuant to the Sale Agreement under the October 2020 Registration Statement. The March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Prospectus Supplement was fully utilized during 2021. On October 8, 2021, the Company filed a prospectus supplement with the SEC (the “October 2021 Prospectus Supplement”) for an offering of up to an additional $75.0 million of its common shares pursuant to the Sale Agreement under the October 2020 Registration Statement.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2021, the Company filed a shelf registration statement on Form S-3 with the SEC (File No. 333-260782) and accompanying base prospectus, which was declared effective by the SEC on November 18, 2021 (the “November 2021 Registration Statement”), for the offer and sale of up to $250.0 million of the Company’s securities.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2022, the Company filed a prospectus supplement with the SEC (the “March 2022 Prospectus Supplement”) for an offering of up to an additional $100.0 million of its common shares pursuant to the Sale Agreement under: (i) the January 2020 Registration Statement; (ii) the October 2020 Registration Statement; and (iii) the November 2021 Registration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the Company issued 1,790,546 and 9,214,168 common shares pursuant to the Sale Agreement, respectively, resulting in net proceeds of approximately $4.7 million and $24.6 million, respectively. During the three and six months ended June 30, 2022, the Company issued 69,048 common shares pursuant to the Sale Agreement, resulting in net proceeds of $0.3 million. As of June 30, 2023, there was approximately $105.8 million of common shares remaining available in aggregate under the October 2021 Prospectus Supplement and the March 2022 Prospectus Supplement.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information about the Company’s stock-based compensation for the three and six months ended June 30, 2023 and 2022 and the expense recognized in the condensed consolidated statements of operations: </w:t>
      </w:r>
    </w:p>
    <w:tbl>
      <w:tblPr>
        <w:tblW w:w="8821" w:type="dxa"/>
        <w:jc w:val="center"/>
        <w:tblInd w:w="0" w:type="dxa"/>
        <w:tblLayout w:type="fixed"/>
        <w:tblCellMar>
          <w:top w:w="28" w:type="dxa"/>
          <w:left w:w="28" w:type="dxa"/>
          <w:bottom w:w="28" w:type="dxa"/>
          <w:right w:w="28" w:type="dxa"/>
        </w:tblCellMar>
      </w:tblPr>
      <w:tblGrid>
        <w:gridCol w:w="1335"/>
        <w:gridCol w:w="1175"/>
        <w:gridCol w:w="1180"/>
        <w:gridCol w:w="217"/>
        <w:gridCol w:w="634"/>
        <w:gridCol w:w="112"/>
        <w:gridCol w:w="112"/>
        <w:gridCol w:w="112"/>
        <w:gridCol w:w="112"/>
        <w:gridCol w:w="217"/>
        <w:gridCol w:w="634"/>
        <w:gridCol w:w="112"/>
        <w:gridCol w:w="109"/>
        <w:gridCol w:w="109"/>
        <w:gridCol w:w="109"/>
        <w:gridCol w:w="249"/>
        <w:gridCol w:w="727"/>
        <w:gridCol w:w="109"/>
        <w:gridCol w:w="109"/>
        <w:gridCol w:w="109"/>
        <w:gridCol w:w="109"/>
        <w:gridCol w:w="249"/>
        <w:gridCol w:w="727"/>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options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 during period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4,734,575 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stock units (“RSUs”)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 during period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 fair value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 compensation expense</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RSUs vest in three equal annual installments beginning one year from the grant date.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2022 and our unaudited condensed consolidated financial statements for the three and six months ended June 30, 2023. Our consolidated financial statements have been prepared in accordance with United States generally accepted accounting principles and are presented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REFERENCES TO ARBUTUS BIOPHARMA CORPORATION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Quarterly Report on Form 10-Q (“Form 10-Q”), the “Company,” “Arbutus,” “we,” “us,” and “our,” except where the context requires otherwise, refer to Arbutus Biopharma Corporation and its consolidated subsidiaries, and “our board of directors” refers to the board of directors of Arbutus Biopharma Corporation.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pStyle w:val="TextBody"/>
        <w:bidi w:val="0"/>
        <w:spacing w:before="0" w:after="0"/>
        <w:jc w:val="both"/>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strategy, future operations, preclinical research, preclinical studies, clinical trials, prospects and the plans of management;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potential for our product candidates to achieve their desired or anticipated outcomes;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expected cost, timing and results of our clinical development plans and clinical trials, including our clinical collaborations with third parties;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discovery, development and commercialization of a curative combination regimen for chronic hepatitis B infection, a disease of the liver caused by the hepatitis B virus (“HBV”);</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potential of our product candidates to improve upon the standard of care and contribute to a functional curative combination treatment regimen;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obtaining necessary regulatory approvals;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obtaining adequate financing through a combination of financing activities and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potential for us to discover and/or develop new molecular entities for treating coronaviruses, including COVID-19;</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expected returns and benefits from strategic alliances, licensing agreements, and research collaborations with third parties, and the timing thereof;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expectations regarding our technology licensed to third parties, and the timing thereof;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anticipated revenue and expense fluctuation and guidance;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expectations regarding the timing of announcing data from our ongoing clinical trials;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expectations regarding current patent disputes and litigation;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 of a net cash burn between $90 million and $95 million in 2023, excluding any proceeds from our Open Market Sale Agreement;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belief that we have sufficient cash resources to fund our operations into the first quarter of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well as other statements relating to our future operations, financial performance or financial condition, prospects or other future events. Forward-looking statements appear primarily in the sections of this Form 10-Q entitled “Part I, Item 1-Financial Statements (Unaudited),” and “Part I, Item 2-Management’s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2022 (the “Form 10-K”), and in particular the risks and uncertainties discussed under “Item 1A-Risk Factors” of this Form 10-Q and the Form 10-K. As a result, you should not place undue reliance on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83260"/>
                <wp:effectExtent l="0" t="0" r="0" b="0"/>
                <wp:wrapNone/>
                <wp:docPr id="21" name="Frame2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Arbutus Biopharma Corporation (“Arbutus”, the “Company”, “we”, “us”, and “our”) is a clinical-stage biopharmaceutical company leveraging its extensive virology expertise to develop novel therapeutics that target specific viral diseases. Our current focus areas include hepatitis B virus (“HBV”), SARS-CoV-2, and other coronaviruses. To address HBV, we are developing an RNA interference (“RNAi”) therapeutic, imdusiran (AB-729), an oral PD-L1 inhibitor, AB-101, and an oral RNA destabilizer, AB-161, to potentially identify a combination regimen with the aim of providing a functional cure for patients with chronic HBV infection (“cHBV”) by suppressing viral replication, reducing surface antigen and reawakening the immune system. We believe our lead compound, imdusiran, is the only RNAi therapeutic with evidence of immune re-awakening. Imdusiran is currently being evaluated in multiple phase 2 clinical trials. In addition, a Phase 1 clinical trial with AB-161 was recently initiated. We also have an ongoing drug discovery and development program directed to identifying novel, orally active agents for treating coronaviruses, including SARS-CoV-2, where we have nominated a compound, AB-343, and have begun IND-enabling preclinical studies. In addition, we are also exploring oncology applications for our internal PD-L1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core elements of our strategy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Developing a broad portfolio of compounds that target cHBV.</w:t>
      </w:r>
      <w:r>
        <w:rPr>
          <w:color w:val="000000"/>
        </w:rPr>
        <w:t xml:space="preserve"> </w:t>
      </w:r>
      <w:r>
        <w:rPr>
          <w:rFonts w:ascii="Times New Roman;sans-serif" w:hAnsi="Times New Roman;sans-serif"/>
          <w:b w:val="false"/>
          <w:color w:val="000000"/>
          <w:sz w:val="20"/>
        </w:rPr>
        <w:t>Our HBV product pipeline includes a subcutaneously-delivered RNAi therapeutic, an oral HBV RNA destabilizer compound and an oral PD-L1 inhibitor. We believe that a combination of compounds that can suppress HBV DNA replication and hepatitis B surface antigen (“HBsAg”) expression as well as reawaken patients’ HBV-specific immune response could address the most important elements to achieving a functional cure. We define a functional cure as unquantifiable plasma HBV DNA and HBsAg levels more than six months after discontinuation of all treatment, with or without quantifiable anti-HBsAg antibodies.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Imdusiran is our proprietary subcutaneously-delivered RNAi therapeutic product candidate that suppresses all HBV antigens, including HBsAg expression, which is thought to be a key prerequisite to enable reawakening of a patient’s immune system to respond to HBV. Imdusiran is currently in two Phase 2a proof-of-concept clinical trials in combination with other agents with potentially complementary mechanisms of action, and we are also continuing to follow patients from our Phase 1a/1b clinical trial (“AB-729-001”). Preliminary data from AB-729-001 has shown that treatment with imdusiran provided robust and comparable HBsAg declines regardless of dose, dosing interval or patient characteristics and was generally safe and well-tolerated after completing dosing in 41 patients. Preliminary data also suggests that treatment with imdusiran increased HBV-specific immune responses and, in a small number of patients who discontinued both imdusiran and nucleos(t)ide analogue (“NA”) therapy, a sustained reduction in HBsAg and HBV DNA persisted after stopping imdusiran. The clinical data for imdusiran continues to support its development as a potential cornerstone agent for the treatment of cHBV infection.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AB-161 is our next-generation oral HBV specific RNA destabilizer. We have conducted extensive non-clinical safety evaluations with AB-161 that gives us confidence in this molecule’s ability to circumvent the peripheral neuropathy findings seen in non-clinical safety studies with our first-generation oral RNA destabilizer, AB-452. At the Global Hepatitis Summit in April 2023, we presented preclinical data showing that AB-161 provides robust anti-HBV activity, including suppression of HBV RNA and HBsAg production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in vivo</w:t>
      </w:r>
      <w:r>
        <w:rPr>
          <w:rFonts w:ascii="Times New Roman;sans-serif" w:hAnsi="Times New Roman;sans-serif"/>
          <w:b w:val="false"/>
          <w:color w:val="000000"/>
          <w:sz w:val="20"/>
        </w:rPr>
        <w:t>.  Our single-ascending Phase 1 clinical trial with AB-161 in healthy subjects is ongoing.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AB-101 is our oral PD-L1 inhibitor that has the potential to reawaken patients’ HBV-specific immune response by inhibiting PD-L1. Preclinical data in an HBV mouse model was presented at the 2022 AASLD Liver Meeting showing that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treatment. In April 2023, we received verbal communication from the U.S. Food and Drug Administration (“FDA”) that the AB-101 Investigational New Drug (“IND”) application has been placed on clinical hold. For purposes of clarity, the Phase 1 clinical trial had not been initiated and we had not dosed any patients with AB-101. In May 2023, we received the clinical hold letter from the FDA, which raised questions about certain preclinical data and aspects of the clinical trial design. We thus decided to pursue other regulatory pathways outside of the US while evaluating our path forward with the FDA. Based on the communications from the FDA, we no longer intend to report initial data from the single-ascending dose portion of a Phase 1 clinical trial in the second half of 2023. In July 2023, the New Zealand Medicine and Medical Device Safety Authority (Medsafe) approved our CTA application for a Phase 1 clinical trial in New Zealand for AB-101, and we believe the protocol approved by Medsafe adequately addresses the clinical trial design and safety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monitoring issues raised by the FDA. We included the clinical hold letter from the FDA as part of our CTA application with New Zealand. We are planning to initiate a Phase 1 clinical trial in the third quarter of 2023. We are also exploring potential oncology applications for our internal PD-L1 portfolio.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xml:space="preserve">• </w:t>
      </w:r>
      <w:r>
        <w:rPr>
          <w:rFonts w:ascii="Times New Roman;sans-serif" w:hAnsi="Times New Roman;sans-serif"/>
          <w:b/>
          <w:color w:val="000000"/>
          <w:sz w:val="20"/>
        </w:rPr>
        <w:t xml:space="preserve">Combining therapeutic product candidates with complementary mechanisms of action to find a functional cure for people with cHBV. </w:t>
      </w:r>
      <w:r>
        <w:rPr>
          <w:rFonts w:ascii="Times New Roman;sans-serif" w:hAnsi="Times New Roman;sans-serif"/>
          <w:b w:val="false"/>
          <w:color w:val="000000"/>
          <w:sz w:val="20"/>
        </w:rPr>
        <w:t>We believe that our proprietary product candidates imdusiran, AB-101 and AB-161 may provide our first proprietary combination therapy for patients with cHBV. In-line with our strategy to position imdusiran as a potential cornerstone therapeutic in future HBV combination regimens, and to help guide future development of combination therapies of imdusiran with other compounds from our proprietary HBV portfolio, we are evaluating imdusiran in combination with other agents with potentially complementary mechanisms of action, including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Imdusiran in combination with ongoing standard-of-care NA therapy and short courses of Peg-IFNα-2a in patients with cHBV in a Phase 2a proof-of-concept clinical trial (“AB-729-201”). Preliminary data from this clinical trial suggests that the addition of Peg-IFNα-2a to imdusiran treatment was generally well tolerated and appears to result in continued HBsAg declines in some patients.</w:t>
      </w:r>
    </w:p>
    <w:p>
      <w:pPr>
        <w:pStyle w:val="TextBody"/>
        <w:bidi w:val="0"/>
        <w:spacing w:lineRule="auto" w:line="288" w:before="180" w:after="283"/>
        <w:ind w:left="0" w:right="0" w:hanging="360"/>
        <w:jc w:val="both"/>
        <w:rPr>
          <w:color w:val="000000"/>
        </w:rPr>
      </w:pPr>
      <w:r>
        <w:rPr>
          <w:color w:val="000000"/>
        </w:rPr>
        <w:t>•    </w:t>
      </w:r>
      <w:r>
        <w:rPr>
          <w:rFonts w:ascii="Times New Roman;sans-serif" w:hAnsi="Times New Roman;sans-serif"/>
          <w:b w:val="false"/>
          <w:color w:val="000000"/>
          <w:sz w:val="20"/>
        </w:rPr>
        <w:t>Imdusiran in combination with Vaccitech plc’s (“Vaccitech”) VTP-300, a proprietary T-cell stimulating HBV antigen-specific immunotherapeutic, and NA therapy for the treatment of patients with cHBV in a Phase 2a proof-of-concept clinical trial (“AB-729-202”). We recently dosed the first patient in an additional treatment arm of this clinical trial that includes an approved PD-1 monoclonal antibody inhibitor, nivolumab (Opdivo®).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    </w:t>
      </w:r>
      <w:r>
        <w:rPr>
          <w:rFonts w:ascii="Times New Roman;sans-serif" w:hAnsi="Times New Roman;sans-serif"/>
          <w:b/>
          <w:color w:val="000000"/>
          <w:sz w:val="20"/>
        </w:rPr>
        <w:t xml:space="preserve">Advancing small molecule antiviral product candidates to treat COVID-19 and future coronavirus outbreaks. </w:t>
      </w:r>
      <w:r>
        <w:rPr>
          <w:rFonts w:ascii="Times New Roman;sans-serif" w:hAnsi="Times New Roman;sans-serif"/>
          <w:b w:val="false"/>
          <w:color w:val="000000"/>
          <w:sz w:val="20"/>
        </w:rPr>
        <w:t>This program is focused on the discovery and development of new molecular entities for treating coronaviruses, including COVID-19, that address specific viral targets including the nsp5 viral protease (“Mpro”) and the nsp12 viral polymerase.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    </w:t>
      </w:r>
      <w:r>
        <w:rPr>
          <w:rFonts w:ascii="Times New Roman;sans-serif" w:hAnsi="Times New Roman;sans-serif"/>
          <w:b w:val="false"/>
          <w:color w:val="000000"/>
          <w:sz w:val="20"/>
        </w:rPr>
        <w:t>In the fourth quarter of 2022, we nominated AB-343 as our lead coronavirus drug candidate that inhibits the SARS-CoV-2 Mpro, a validated target for the treatment of COVID-19 and potential future coronavirus outbreaks. At the 36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International Conference on Antiviral Research in March 2023, we presented preclinical data that demonstrated the antiviral potency, selectivity and favorable pharmacokinetic profile of AB-343, which supports the further development of AB-343 as a potential ritonavir-free oral treatment for COVID-19 and other human coronaviruses. We are conducting IND-enabling studies for AB-343. We are also continuing lead optimization activities for an nsp12 viral polymerase inhibitor, which could potentially be combined with AB-343 to achieve better patient treatment outcomes and for use in prophylactic settings.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Product Candidates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pipeline includes multiple product candidates that target various steps in the HBV viral lifecycle and pan-coronavirus compounds that target essential viral targets for replication.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pipeline consists of the following programs: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both"/>
        <w:rPr/>
      </w:pPr>
      <w:r>
        <w:rPr/>
        <w:drawing>
          <wp:inline distT="0" distB="0" distL="0" distR="0">
            <wp:extent cx="6286500" cy="2838450"/>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6286500" cy="28384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explore expansion opportunities for our pipeline through internal discovery and development activities and through potential strategic alliances.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RNAi therapeutic, imdusiran (AB-729)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RNAi therapeutics represent a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with cHBV. Reducing HBsAg is widely believed to be a key prerequisite to enable a patient’s immune system to reawaken and respond against the virus.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Imdusiran (AB-729) is a subcutaneously-delivered RNAi single-trigger therapeutic targeted to hepatocytes using our proprietary covalently conjugated GalNAc delivery technology. Imdusiran reduces all HBV antigens and inhibits viral replication.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1a/1b single- and multiple-dose clinical trial (AB-729-001)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this three-part clinical trial, we investigated the safety, tolerability, pharmacokinetics, and pharmacodynamics of single- and multi-doses of imdusiran in healthy subjects and in cHBV patients with the goal of identifying the most appropriate doses and dosing intervals to take forward into Phase 2 clinical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first two parts evaluated single ascending doses of imdusiran in healthy subjects and in patients with cHBV, respectively. Data showed that a 60mg or 90mg single dose of imdusiran results in robust HBsAg and HBV DNA declines in HBV DNA positive patients. Part 3 of the trial dosed HBV DNA negative/positive patients with 60mg or 90mg of imdusiran every 4, 8 or twelve weeks. Dosing of patients in Part 3 has been completed and we are continuing to follow these patients.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Data from Part 3 of the AB-729-001 clinical trial was presented at the 2022 European Association for the Study of the Liver (EASL) International Liver Congress™ (ILC) in June 2022 and showed that repeat dosing of 60mg and 90mg of imdusiran in 41 patients resulted in robust and comparable HBsAg declines in HBeAg positive/negative and HBV DNA positive/negative patients at week 48 (1.89 to 2.15 log</w:t>
      </w:r>
      <w:r>
        <w:rPr>
          <w:rFonts w:ascii="Times New Roman;sans-serif" w:hAnsi="Times New Roman;sans-serif"/>
          <w:b w:val="false"/>
          <w:color w:val="000000"/>
          <w:sz w:val="13"/>
        </w:rPr>
        <w:t xml:space="preserve">10 </w:t>
      </w:r>
      <w:r>
        <w:rPr>
          <w:rFonts w:ascii="Times New Roman;sans-serif" w:hAnsi="Times New Roman;sans-serif"/>
          <w:b w:val="false"/>
          <w:color w:val="000000"/>
          <w:sz w:val="20"/>
        </w:rPr>
        <w:t>decline in HBsAg). Fifty percent of the patients (16 out of 32) maintained HBsAg levels below 100 IU/mL 24 weeks after their last dose of imdusiran. Patients treated with imdusiran experienced an increase in HBV-specific T-cells activation and a decrease in exhausted T-cells. In this trial, imdusiran was generally safe and well-tolerated.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At the AASLD Liver Meeting in November 2022, we presented additional data from Part 3 of the AB-729-001 clinical trial, which included nine patients who had previously completed 48 weeks of treatment with imdusiran, and 24 weeks later met protocol-defined criteria to also stop NA therapy. These nine patients had completed 12 to 44 weeks of follow-up after discontinuing their NA therapy. None had met the protocol-defined criteria to restart NA therapy and there was no evidence of clinical or biochemical relapse. HBsAg levels remained at 1.05 log</w:t>
      </w: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to 2.35 log</w:t>
      </w: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 xml:space="preserve">below pre-trial levels in all nine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Three patients experienced transient HBV DNA elevations that spontaneously resolved without intervention, which further supports imdusiran’s potential for immunological control.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At the Global Hepatitis Summit in April 2023, we reported in an oral presentation additional off-treatment data from these nine patients who had stopped all treatments. One patient restarted NA therapy at the investigator’s request after the week 20 visit; no alanine transaminase (“ALT”) elevation or safety signals were observed. Another patient met the protocol-defined HBV DNA criteria to restart NA therapy without evidence of any ALT flare. The seven remaining patients continue to maintain low HBV DNA levels off all therapy, and HBsAg levels remain below baseline (-0.8 to -1.6 log</w:t>
      </w:r>
      <w:r>
        <w:rPr>
          <w:rFonts w:ascii="Times New Roman;sans-serif" w:hAnsi="Times New Roman;sans-serif"/>
          <w:b w:val="false"/>
          <w:color w:val="000000"/>
          <w:sz w:val="13"/>
        </w:rPr>
        <w:t>10</w:t>
      </w:r>
      <w:r>
        <w:rPr>
          <w:rFonts w:ascii="Times New Roman;sans-serif" w:hAnsi="Times New Roman;sans-serif"/>
          <w:b w:val="false"/>
          <w:color w:val="000000"/>
          <w:sz w:val="20"/>
        </w:rPr>
        <w:t xml:space="preserve">) up to one and a half years after the last dose of imdusiran. There were no adverse events reported and no ALT flares were observed in the clinical trial.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new clinical data for imdusiran continues to support its development as a potential cornerstone agent for the treatment of cHBV infection. The efficacy and safety data for imdusiran, derived from up to one year of dosing, supported our view that 60 mg every 8 weeks was an appropriate dose to move forward in our Phase 2a clinical trials. To advance our efforts to position imdusiran as a potential cornerstone therapeutic in future HBV combination regimens, we are evaluating imdusiran in two Phase 2a proof-of-concept combination clinical trials with other agents with potentially complementary mechanisms of action, some via clinical collaborations with other companies as described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2a proof-of-concept clinical trial to evaluate imdusiran in combination with Peg-IFNα-2a (AB-729-201)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completed enrollment in a randomized, open label, multicenter Phase 2a proof-of-concept clinical trial investigating the safety and antiviral activity of imdusiran in combination with ongoing NA therapy and short courses of Peg-IFNα-2a in 43 stably NA-suppressed, HBeAg negative, non-cirrhotic patients with cHBV. After 24-weeks of dosing with imdusiran (60mg every 8 weeks), patients are randomized into one of four arms to receive ongoing NA therapy plus Peg-IFNα-2a for either 12 or 24 weeks, with or without additional doses of imdusiran. After completion of the assigned Peg-IFNα-2a treatment period, all patients will remain on NA therapy for the initial 24-week follow-up period, and will then discontinue NA treatment, provided they meet protocol-defined stopping criteria. Patients who stop NA therapy will enter an intensive follow-up period for 48 weeks.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At the EASL Congress in June 2023, we presented preliminary data from this clinical trial that suggests that the addition of Peg-IFNα-2a to imdusiran treatment was generally well tolerated and appears to result in continued HBsAg declines in some patients. The mean HBsAg decline from baseline during the lead-in phase was -1.6 log</w:t>
      </w: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at week 24 of treatment which is comparable to what was previously seen in other clinical trials with imdusiran. Four patients reached HBsAg below the lower limit of quantitation (LLOQ) during Peg-IFNα-2a treatment.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Collaboration with Vaccitech (AB-729-202)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 a clinical collaboration agreement with Vaccitech that we entered into in July 2021, we have completed enrollment in AB-729-202, a Phase 2a proof-of-concept clinical trial evaluating the safety, antiviral activity and immunogenicity of Vaccitech’s VTP-300, a proprietary T-cell stimulating HBV antigen-specific immunotherapeutic, administered after imdusiran in NA-suppressed patients with cHBV. The trial is designed to enroll 40 NA-suppressed, HBeAg negative or positive, non-cirrhotic cHBV patients. All patients will receive imdusiran (60mg every 8 weeks) plus NA therapy for 24 weeks. At week 24, treatment with imdusiran will stop. Patients will continue only their NA therapy and will be randomized to receive VTP-300 or placebo at week 26, week 30 and at week 38 (if protocol-defined eligibility is met). At week 48, all patients will be evaluated for eligibility to discontinue NA therapy and will be followed for an additional 24-48 weeks. We anticipate providing preliminary data from patients who received the combination of imdusiran, NA therapy and VTP-300 in the second half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recently amended the AB-729-202 protocol to include an additional arm with an approved PD-1 inhibitor, nivolumab (Opdivo®). In this additional arm, twenty patients will receive imdusiran (60mg every 8 weeks) plus NA therapy for 24 weeks, followed by administration of VTP-300 plus a low dose of nivolumab in conjunction with the booster dose(s) only while remaining on their NA therapy. At week 48, all patients will be evaluated for eligibility to discontinue NA therapy, and will be followed for an additional 24-48 weeks. In June 2023, we announced that the first patient received their first dose of imdusiran in this additional arm. Preliminary data from this additional treatment arm are expected in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clinical trial is being managed by us, subject to oversight by a joint development committee comprised of representatives from both companies. We and Vaccitech retain full rights to our respective product candidates and will split all costs associated with the clinical trial. Pursuant to the agreement, the parties intend to undertake a larger Phase 2b clinical trial depending on the results of the initial Phase 2a clinical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Oral HBV RNA Destabilizer (AB-161)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HBV RNA destabilizers are small molecule orally available agents that cause the destabilization and ultimate degradation of HBV RNAs. Mechanistically, RNA destabilizers target the host proteins PAPD5/7, which are involved in regulating the stability of HBV RNA transcripts.  In doing so, RNA destabilizers lead to the selective degradation of HBV RNAs, thus reducing HBsAg levels and inhibiting viral replication. To provide a proprietary all-oral treatment regimen for patients with cHBV, we believe inclusion of a small molecule RNA destabilizer is key. HBV RNA destabilizers have the potential to complement or replace subcutaneously delivered RNAi agents, such as imdusiran.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AB-161 is our next-generation oral small molecule RNA destabilizer specifically designed to target the liver. We have conducted extensive non-clinical safety evaluations with AB-161 that provide confidence in this molecule’s ability to circumvent the peripheral neuropathy findings seen in non-clinical safety studies with our first-generation oral RNA destabilizer, AB-452. At the Global Hepatitis Summit in April 2023, we presented preclinical data showing that AB-161 provides robust anti-HBV activity, including suppression of HBV RNA and HBsAg production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in vivo</w:t>
      </w:r>
      <w:r>
        <w:rPr>
          <w:rFonts w:ascii="Times New Roman;sans-serif" w:hAnsi="Times New Roman;sans-serif"/>
          <w:b w:val="false"/>
          <w:color w:val="000000"/>
          <w:sz w:val="20"/>
        </w:rPr>
        <w:t>. Our Phase 1 clinical trial with AB-161 is ongoing with initial single-ascending dose data in healthy subjects expected in the second half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Oral PD-L1 Inhibitor (AB-101)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PD-L1 inhibitors complement our pipeline of agents and could potentially be an important part of a combination therapy for the treatment of HBV by reawakening the immune system. Highly functional HBV-specific T-cells within our immune system are believed to be required for long-term HBV viral resolution. However, HBV-specific T-cells become functionally defective, and greatly reduced in their frequency during cHBV. One approach to boost HBV-specific T-cells is to prevent PD-L1 proteins from binding to PD-1 and thus inhibiting the HBV-specific immune function of T-cells. Immune checkpoints such as PD-1/PD-L1 play an important role in the induction and maintenance of immune tolerance and in T-cell activation.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AB-101 is our oral PD-L1 inhibitor candidate that we believe will allow for controlled checkpoint blockade while minimizing the systemic safety issues typically seen with checkpoint antibody therapies. Preclinical data generated thus far indicates that AB-101 mediates activation and reinvigoration of HBV-specific T-cells from cHBV patients. In June 2022, we presented a poster at the 2022 EASL ILC highlighting data from a study that was designed to assess the preclinical activity of AB-101 and the compound’s ability to reinvigorate patient HBV-specific T-cells. Studies were conducted using a transgenic MC38 tumor mouse model and peripheral blood mononuclear cells (PBMCs) from cHBV patients. The data presented showed that once daily oral administration of AB-101 resulted in profound tumor reduction that was associated with T-cell activation. In addition, AB-101 activates and reinvigorates HBV-specific T-cells in vitro. Additionally, preclinical data in an HBV mouse model was presented at the 2022 AASLD Liver Meeting showing that monotherapy with AB-101 reduced PD-L1 in liver immune cells, confirming liver target engagement of the compound.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treatment. We believe AB-101, when used in combination with other approved and investigational agents, could potentially lead to a functional cure in HBV chronically infected patients.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received verbal communication from the FDA that the AB-101 IND application had been placed on clinical hold. For purposes of clarity, the Phase 1 clinical trial had not been initiated and we had not dosed any patients with AB-101. In May 2023, we received the clinical hold letter from the FDA, which raised questions about certain preclinical data and aspects of the clinical trial design. We thus decided to pursue other regulatory pathways outside of the US while evaluating our path forward with the FDA. Based on the communications from the FDA, we no longer intend to report initial data from the single-ascending dose portion of a Phase 1 clinical trial in the second half of 2023. In July 2023, Medsafe approved our CTA application for a Phase 1 clinical trial in New Zealand for AB-101, and we believe the protocol approved by Medsafe adequately addresses the clinical trial design and safety monitoring issues raised by the FDA. We included the clinical hold letter from the FDA as part of our CTA application with New Zealand. We are planning to initiate a Phase 1 clinical trial in the third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exploring potential oncology applications for our internal PD-L1 portfolio. Preclinical data was selected for publication at the American Society of Clinical Oncology (ASCO) Annual Meeting in June 2022 showing that our oral small-molecule PD-L1 inhibitors in development, which possess a novel mechanism of action, have the ability to mediate T-cell activation in primary human immune cells. The anti-tumor efficacy seen in vivo was comparable to anti-PD-L1 antibodies. The data is published in the Journal of Clinical Oncology.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Coronavirus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our scientific team’s proven expertise in discovering, developing and commercializing new antiviral therapies, in 2020 we initiated a drug discovery effort for treating COVID-19, pan-coronaviruses and potential future outbreaks.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program. As we strive to identify and develop new antiviral small molecules to treat COVID-19 and future coronavirus outbreaks, we have focused our research efforts on two essential targets critical for replication across all coronaviruses – nsp5 protease and nsp12 polymerase. These targets are essential viral proteins that our science team has experience in targeting.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Oral Mpro Inhibitor (AB-343)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AB-343 is our lead coronavirus drug candidate that inhibits Mpro. At the 36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International Conference on Antiviral Research in March 2023, we presented preclinical data that demonstrated the antiviral potency, selectivity and favorable pharmacokinetic profile of AB-343, which supports the further development of AB-343 as a potential ritonavir-free oral treatment for COVID-19 and other human coronaviruses. We anticipate completing IND-enabling studies with AB-343 in the second half of 2023. We also intend to nominate a nsp12 inhibitor clinical candidate and initiate IND-enabling studies in the second half of 2023. An nsp12 viral polymerase inhibitor could potentially be combined with AB-343 to achieve better patient treatment outcomes and for use in prophylactic settings.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Collaboration with X-Chem, Inc. and Proteros biostructures GmbH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we entered into a discovery research and license agreement, as amended, with X-Chem, Inc. (“X-Chem”) and Proteros biostructures GmbH (“Proteros”) to focus on the discovery of novel inhibitors targeting the SARS-CoV-2 nsp5 main protease (Mpro). The agreement is designed to accelerate the development of pan-coronavirus agents to treat COVID-19 and potential future coronavirus outbreaks. This collaboration brought together our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Mpro (an essential protein required for the virus to replicate itself) and the use of state-of-the-art structure guided methods to rapidly optimize Mpro inhibitors to progress to clinical candidates. The agreement provides for payments by us to X-Chem and Proteros upon satisfaction of certain development, regulatory and commercial milestones, as well as royalties on sales. Through this collaboration, we identified and obtained a worldwide exclusive license to several molecules that inhibit Mpro, a validated target for the treatment of COVID-19 and potential future coronavirus outbreaks.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Collaborations, Royalty Entitlements and Intellectual Property Litigation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Collaboration with Qilu Pharmaceutical Co., Ltd. (“Qilu”)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imdusiran, including pharmaceutical products that include imdusiran, for the treatment or prevention of hepatitis B in China, Hong Kong, Macau and Taiwan (the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imdusiran in the Territory. The royalties are payable on a product-by-product and region-by-region basis, subject to certain limitations.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which we will manufacture or have manufactured and supply Qilu with all quantities of imdusiran necessary for Qilu to develop and commercialize in the Territory until we have completed manufacturing technology transfer to Qilu and Qilu has received all approvals required for it or its designated contract manufacturing organization to manufacture imdusiran in the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Alnylam Pharmaceuticals, Inc. (“Alnylam”) and Acuitas Therapeutics, Inc. (“Acuitas”)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royalty entitlements to Alnylam’s global net sales of ONPATTRO.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2012, we entered into a license agreement with Alnylam that entitles Alnylam to develop and commercialize products with our lipid nanoparticle (“LNP”) delivery technology. 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June 30, 2023, an aggregate of $20.8 million of royalties have been earned by OMERS.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rights to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Genevant Sciences, Ltd.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2018, we entered into an agreement with Roivant Sciences Ltd. (“Roivant”), our largest shareholder, to launch Genevant Sciences Ltd. (“Genevant”), a company focused on a broad range of RNA-based therapeutics enabled by our LNP and ligand conjugate delivery technologies. We licensed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Roivant recapitalized Genevant through an equity investment and conversion of previously issued convertible debt securities held by Roivant. We participated in the recapitalization of Genevant with an equity investment of $2.5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recapitalization, the three parties entered into an Amended and Restated Shareholders Agreement that provides Roivant with substantial control of Genevant. We have a non-voting observer seat on Genevant’s Board of Directors.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we owned approximately 16% of the common equity of Genevant and the carrying value of our investment in Genevant was zero. Our entitlement to receive future royalties or sublicensing revenue from Genevant was not impacted by the recapitalization.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Moderna Inter Partes Review Petition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2018, Moderna Therapeutics, Inc. (“Moderna”) filed a petition requesting the United States Patent and Trademark Office to institute an Inter Partes Review of Arbutus United States Patent 9,404,127 (the “’127 Patent”). In its petition, Moderna sought to invalidate all claims of the patent based on Moderna’s allegation that the claims are anticipated and/or obvious. We filed a response to Moderna’s petition on June 14, 2018. On September 12, 2018, the Patent Trial and Appeal Board (the “PTAB”) rendered its decision to institute Inter Partes Review of the ‘127 Patent. The ‘127 Patent represents only a fraction of our extensive LNP patent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‘127 Patent, the PTAB held all claims as invalid on September 10, 2019, by reason of anticipatory prior art. However this decision was vacated and sent back (remanded) to the PTAB for a rehearing, pending the Supreme Court’s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Moderna and Merck European Opposition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cancelled and a formal remittance to the Opposition Division (i.e. lower board) of the EPO is pending.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are the patent holder, the ‘127 Patent, the ‘254 Patent, the other patents in our LNP portfolio have been licensed to Genevant and are included in the rights licensed by us to Genevant under the Genevant License.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Moderna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2022, we and Genevant filed a lawsuit in the U.S. District Court for the District of Delaware against Moderna, Inc. and a Moderna affiliate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On June 9, 2023, the parties extended the schedule for claim construction proceedings. The claim construction hearing is currently scheduled for February 7, 2024. Document discovery in the action is currently ongoing.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Pfizer and BioNTech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have yet to answer these counterclaims and no case schedule is yet in place. A scheduling conference is set for August 28,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Acuitas Declaratory Judgment Lawsuit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18, 2022,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The motion is now fully briefed and a status conference is set for August 9, 2023. No case schedule is yet in place.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JUDGEMENTS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our financial condition and results of operations is based on our condensed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2 to our condensed consolidated financial statements included in “Part I, Item 1-Financial Statements (Unaudited)” of this Quarterly Report on Form 10-Q for a description of recent accounting pronouncements applicable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results of our operations for the periods shown:</w:t>
      </w:r>
    </w:p>
    <w:tbl>
      <w:tblPr>
        <w:tblW w:w="7650" w:type="dxa"/>
        <w:jc w:val="center"/>
        <w:tblInd w:w="0" w:type="dxa"/>
        <w:tblLayout w:type="fixed"/>
        <w:tblCellMar>
          <w:top w:w="28" w:type="dxa"/>
          <w:left w:w="28" w:type="dxa"/>
          <w:bottom w:w="28" w:type="dxa"/>
          <w:right w:w="28" w:type="dxa"/>
        </w:tblCellMar>
      </w:tblPr>
      <w:tblGrid>
        <w:gridCol w:w="781"/>
        <w:gridCol w:w="688"/>
        <w:gridCol w:w="691"/>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pPr>
      <w:r>
        <w:rPr>
          <w:rFonts w:ascii="Times New Roman;sans-serif" w:hAnsi="Times New Roman;sans-serif"/>
          <w:b/>
          <w:color w:val="000000"/>
          <w:sz w:val="20"/>
        </w:rPr>
        <w:t>Revenue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are summarized in the following table: </w:t>
      </w:r>
    </w:p>
    <w:tbl>
      <w:tblPr>
        <w:tblW w:w="8582" w:type="dxa"/>
        <w:jc w:val="left"/>
        <w:tblInd w:w="0" w:type="dxa"/>
        <w:tblLayout w:type="fixed"/>
        <w:tblCellMar>
          <w:top w:w="28" w:type="dxa"/>
          <w:left w:w="28" w:type="dxa"/>
          <w:bottom w:w="28" w:type="dxa"/>
          <w:right w:w="28" w:type="dxa"/>
        </w:tblCellMar>
      </w:tblPr>
      <w:tblGrid>
        <w:gridCol w:w="1314"/>
        <w:gridCol w:w="1155"/>
        <w:gridCol w:w="1161"/>
        <w:gridCol w:w="211"/>
        <w:gridCol w:w="616"/>
        <w:gridCol w:w="109"/>
        <w:gridCol w:w="109"/>
        <w:gridCol w:w="109"/>
        <w:gridCol w:w="109"/>
        <w:gridCol w:w="255"/>
        <w:gridCol w:w="211"/>
        <w:gridCol w:w="501"/>
        <w:gridCol w:w="109"/>
        <w:gridCol w:w="109"/>
        <w:gridCol w:w="109"/>
        <w:gridCol w:w="211"/>
        <w:gridCol w:w="721"/>
        <w:gridCol w:w="109"/>
        <w:gridCol w:w="109"/>
        <w:gridCol w:w="109"/>
        <w:gridCol w:w="109"/>
        <w:gridCol w:w="246"/>
        <w:gridCol w:w="220"/>
        <w:gridCol w:w="561"/>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from collaborations and licenses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from sales of ONPATTRO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Qilu Pharmaceutical Co., Ltd.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milestone and royalty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royalty 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from sales of ONPATTRO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687" w:type="dxa"/>
        <w:jc w:val="left"/>
        <w:tblInd w:w="0" w:type="dxa"/>
        <w:tblLayout w:type="fixed"/>
        <w:tblCellMar>
          <w:top w:w="28" w:type="dxa"/>
          <w:left w:w="28" w:type="dxa"/>
          <w:bottom w:w="28" w:type="dxa"/>
          <w:right w:w="28" w:type="dxa"/>
        </w:tblCellMar>
      </w:tblPr>
      <w:tblGrid>
        <w:gridCol w:w="1314"/>
        <w:gridCol w:w="1155"/>
        <w:gridCol w:w="1161"/>
        <w:gridCol w:w="211"/>
        <w:gridCol w:w="721"/>
        <w:gridCol w:w="109"/>
        <w:gridCol w:w="109"/>
        <w:gridCol w:w="109"/>
        <w:gridCol w:w="109"/>
        <w:gridCol w:w="255"/>
        <w:gridCol w:w="211"/>
        <w:gridCol w:w="501"/>
        <w:gridCol w:w="109"/>
        <w:gridCol w:w="109"/>
        <w:gridCol w:w="109"/>
        <w:gridCol w:w="211"/>
        <w:gridCol w:w="721"/>
        <w:gridCol w:w="109"/>
        <w:gridCol w:w="109"/>
        <w:gridCol w:w="109"/>
        <w:gridCol w:w="109"/>
        <w:gridCol w:w="246"/>
        <w:gridCol w:w="220"/>
        <w:gridCol w:w="561"/>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from collaborations and licenses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from sales of ONPATTRO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Qilu Pharmaceutical Co., Ltd.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milestone and royalty 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royalty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from sales of ONPATTRO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decreased $9.6 million and $15.5 million for the three and six months ended June 30, 2023, respectively, compared to the same periods in 2022, primarily due to a decrease in license revenue recognized related to our progress towards the satisfaction of our performance obligations with respect to the technology transfer and licensing agreement with Qilu, which closed in January 2022, as well as a decrease in license royalty revenue due to a decrease in Alnylam’s sales of ONPATTRO.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pPr>
      <w:r>
        <w:rPr>
          <w:rFonts w:ascii="Times New Roman;sans-serif" w:hAnsi="Times New Roman;sans-serif"/>
          <w:b/>
          <w:color w:val="000000"/>
          <w:sz w:val="20"/>
        </w:rPr>
        <w:t>Operating expenses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are summarized in the following table:</w:t>
      </w:r>
    </w:p>
    <w:tbl>
      <w:tblPr>
        <w:tblW w:w="9121" w:type="dxa"/>
        <w:jc w:val="left"/>
        <w:tblInd w:w="0" w:type="dxa"/>
        <w:tblLayout w:type="fixed"/>
        <w:tblCellMar>
          <w:top w:w="28" w:type="dxa"/>
          <w:left w:w="28" w:type="dxa"/>
          <w:bottom w:w="28" w:type="dxa"/>
          <w:right w:w="28" w:type="dxa"/>
        </w:tblCellMar>
      </w:tblPr>
      <w:tblGrid>
        <w:gridCol w:w="1473"/>
        <w:gridCol w:w="1292"/>
        <w:gridCol w:w="1299"/>
        <w:gridCol w:w="211"/>
        <w:gridCol w:w="721"/>
        <w:gridCol w:w="109"/>
        <w:gridCol w:w="109"/>
        <w:gridCol w:w="109"/>
        <w:gridCol w:w="109"/>
        <w:gridCol w:w="256"/>
        <w:gridCol w:w="210"/>
        <w:gridCol w:w="501"/>
        <w:gridCol w:w="109"/>
        <w:gridCol w:w="109"/>
        <w:gridCol w:w="109"/>
        <w:gridCol w:w="211"/>
        <w:gridCol w:w="721"/>
        <w:gridCol w:w="109"/>
        <w:gridCol w:w="109"/>
        <w:gridCol w:w="109"/>
        <w:gridCol w:w="109"/>
        <w:gridCol w:w="247"/>
        <w:gridCol w:w="219"/>
        <w:gridCol w:w="561"/>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9121" w:type="dxa"/>
        <w:jc w:val="left"/>
        <w:tblInd w:w="0" w:type="dxa"/>
        <w:tblLayout w:type="fixed"/>
        <w:tblCellMar>
          <w:top w:w="28" w:type="dxa"/>
          <w:left w:w="28" w:type="dxa"/>
          <w:bottom w:w="28" w:type="dxa"/>
          <w:right w:w="28" w:type="dxa"/>
        </w:tblCellMar>
      </w:tblPr>
      <w:tblGrid>
        <w:gridCol w:w="1473"/>
        <w:gridCol w:w="1292"/>
        <w:gridCol w:w="1299"/>
        <w:gridCol w:w="211"/>
        <w:gridCol w:w="721"/>
        <w:gridCol w:w="109"/>
        <w:gridCol w:w="109"/>
        <w:gridCol w:w="109"/>
        <w:gridCol w:w="109"/>
        <w:gridCol w:w="256"/>
        <w:gridCol w:w="210"/>
        <w:gridCol w:w="501"/>
        <w:gridCol w:w="109"/>
        <w:gridCol w:w="109"/>
        <w:gridCol w:w="109"/>
        <w:gridCol w:w="211"/>
        <w:gridCol w:w="721"/>
        <w:gridCol w:w="109"/>
        <w:gridCol w:w="109"/>
        <w:gridCol w:w="109"/>
        <w:gridCol w:w="109"/>
        <w:gridCol w:w="247"/>
        <w:gridCol w:w="219"/>
        <w:gridCol w:w="561"/>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$5.3 million and $5.4 million for the three and six months ended June 30, 2023, respectively, compared to the same periods in 2022. The decrease was due primarily to a decrease in expenses for drug supply manufacturing for our imdusiran, AB-101 and AB-161 clinical trials as well as a decrease in expenses for our AB-836 Phase 1a/1b clinical trial, which was discontinued in the fourth quarter of 2022. These were partially offset by an increase in expenses for our coronavirus program, including drug supply manufacturing.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research and development expenses are not tracked by project as they benefit multiple projects or our technology platform and because our most-advanced programs are not yet in late-stage clinical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increased $0.8 million and $1.4 million for the three and six months ended June 30, 2023 respectively, as compared to the same periods in 2022, due primarily to increases in non-cash stock-based compensation expense and professional fees.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contingent consideration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cHBV. As imdusiran continues to progress through Phase 2a proof-of-concept clinical trials, we will adjust our assumptions regarding probability of success commensurate with the progression of the program, which will increase the fair value of the liability.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loss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other income (loss) are summarized in the following table:</w:t>
      </w:r>
    </w:p>
    <w:tbl>
      <w:tblPr>
        <w:tblW w:w="7218" w:type="dxa"/>
        <w:jc w:val="left"/>
        <w:tblInd w:w="0" w:type="dxa"/>
        <w:tblLayout w:type="fixed"/>
        <w:tblCellMar>
          <w:top w:w="28" w:type="dxa"/>
          <w:left w:w="28" w:type="dxa"/>
          <w:bottom w:w="28" w:type="dxa"/>
          <w:right w:w="28" w:type="dxa"/>
        </w:tblCellMar>
      </w:tblPr>
      <w:tblGrid>
        <w:gridCol w:w="891"/>
        <w:gridCol w:w="781"/>
        <w:gridCol w:w="788"/>
        <w:gridCol w:w="233"/>
        <w:gridCol w:w="681"/>
        <w:gridCol w:w="120"/>
        <w:gridCol w:w="120"/>
        <w:gridCol w:w="120"/>
        <w:gridCol w:w="120"/>
        <w:gridCol w:w="233"/>
        <w:gridCol w:w="515"/>
        <w:gridCol w:w="120"/>
        <w:gridCol w:w="109"/>
        <w:gridCol w:w="109"/>
        <w:gridCol w:w="109"/>
        <w:gridCol w:w="211"/>
        <w:gridCol w:w="616"/>
        <w:gridCol w:w="109"/>
        <w:gridCol w:w="109"/>
        <w:gridCol w:w="109"/>
        <w:gridCol w:w="109"/>
        <w:gridCol w:w="211"/>
        <w:gridCol w:w="541"/>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(loss)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income for the three and six months ended June 30, 2023 compared to the same periods in 2022 was due primarily to higher interest earned on our cash and investment balances due to a general increase in market interest rates.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both the three and six months ended June 30, 2023 and 2022 consisted primarily of non-cash amortization of discount and issuance costs related to the sale of a portion of our ONPATTRO royalty interest to OMERS in July 2019. The decrease is related to the declining balance of the unamortized discount and issuance costs.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we recognized income tax expense of $4.4 million for withholding taxes paid to the Chinese taxing authority by Qilu on our behalf in connection with the upfront license fee Qilu paid us. We did not recognize any income tax expense during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 activities for the periods indicated:</w:t>
      </w:r>
    </w:p>
    <w:tbl>
      <w:tblPr>
        <w:tblW w:w="8604" w:type="dxa"/>
        <w:jc w:val="left"/>
        <w:tblInd w:w="0" w:type="dxa"/>
        <w:tblLayout w:type="fixed"/>
        <w:tblCellMar>
          <w:top w:w="28" w:type="dxa"/>
          <w:left w:w="28" w:type="dxa"/>
          <w:bottom w:w="28" w:type="dxa"/>
          <w:right w:w="28" w:type="dxa"/>
        </w:tblCellMar>
      </w:tblPr>
      <w:tblGrid>
        <w:gridCol w:w="2174"/>
        <w:gridCol w:w="1895"/>
        <w:gridCol w:w="1931"/>
        <w:gridCol w:w="211"/>
        <w:gridCol w:w="796"/>
        <w:gridCol w:w="109"/>
        <w:gridCol w:w="109"/>
        <w:gridCol w:w="109"/>
        <w:gridCol w:w="109"/>
        <w:gridCol w:w="211"/>
        <w:gridCol w:w="796"/>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items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license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operating items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pursuant to Share Purchase Agreement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pursuant to the Open Market Sale Agreement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other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$46.9 million of cash was used in operating activities compared to $0.3 million provided by operating activities for the six months ended June 30, 2022, a change of $47.2 million. The change was due primarily to a January 2022 upfront cash payment of $40.0 million from Qilu and a $4.0 million premium paid by Qilu as part of their $15.0 million equity investment in us.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provided by investing activities was $18.1 million, resulting primarily from maturities of investments in marketable securities of $68.5 million, partially offset by additional investments in marketable securities of $49.4 million. For the six months ended June 30, 2022, net cash used in investing activities was $73.9 million, which consisted primarily of additional investments in marketable securities of $84.6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net cash provided by financing activities was $25.2 million, which was primarily related to $24.6 million in proceeds from sales of common shares under the Sale Agreement. For the six months ended June 30, 2022, net cash provided by financing activities was $11.6 million, which included $11.0 million for the fair value of the shares purchased by Qilu as part of their $15.0 million equity investment in us, of which the remaining $4.0 million was a premium paid by Qilu on the equity investment and was allocated to deferred revenue.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cash, cash equivalents and investments in marketable securities of $163.5 million. We had no outstanding debt as of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Open Market Sale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have an Open Market Sale Agreement</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with Jefferies LLC dated December 20, 2018, as amended by Amendment No. 1, dated December 20, 2019, Amendment No. 2, dated August 7, 2020 and Amendment No. 3, dated March 4, 2021 (as amended, the “Sale Agreement”), under which we may offer and sell common shares, from time to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23, 2019, we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our securities. The January 2020 Registration Statement also contained a prospectus supplement for an offering of up to $50.0 million of our common shares pursuant to the Sale Agreement. This prospectus supplement was fully utilized during 2020. On August 7, 2020, we filed a prospectus supplement with the SEC (the “August 2020 Prospectus Supplement”) for an offering of up to an additional $75.0 million of our common shares pursuant to the Sale Agreement under the January 2020 Registration Statement. The August 2020 Prospectus Supplement was fully utilized during 2020.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28, 2020, we filed a shelf registration statement on Form S-3 with the SEC (File No. 333-248467) and accompanying base prospectus, which was declared effective by the SEC on October 22, 2020 (the “October 2020 Registration Statement”), for the offer and sale of up to $200.0 million of our securities. On March 4, 2021, we filed a prospectus supplement with the SEC for an offering of up to an additional $75.0 million of our common shares pursuant to the Sale Agreement under the October 2020 Registration Statement, which we fully utilized during 2021. On October 8, 2021, we filed a prospectus supplement with the SEC (the “October 2021 Prospectus Supplement”) for the offer and sale of up to an additional $75.0 million of our common shares pursuant to the Sale Agreement under the October 2020 Registration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2021, we filed a shelf registration statement on Form S-3 with the SEC (File No. 333-260782) and accompanying base prospectus, which was declared effective by the SEC on November 18, 2021 (the “November 2021 Registration Statement”), for the offer and sale of up to $250.0 million of our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2022, we filed a prospectus supplement with the SEC (the “March 2022 Prospectus Supplement”) for the offer and sale of up to an additional $100.0 million of our common shares pursuant to the Sale Agreement under: (i) the January 2020 Registration Statement; (ii) the October 2020 Registration Statement; and (iii) the November 2021 Registration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we issued 9,214,168 common shares pursuant to the Sale Agreement, as amended, resulting in net proceeds of approximately $24.6 million. For the six months ended June 30, 2022, we issued 69,048 common shares pursuant to the Sale Agreement, resulting in net proceeds of approximately $0.3 million. As of June 30, 2023, there was approximately $105.8 million available in aggregate under the October 2021 Prospectus Supplement and the March 2022 Prospectus Supplement.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Royalty Entitlements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they fail to collect any such future royalties. From the inception of the royalty sale through December 31, 2022, we have recorded an aggregate of $18.9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 technology transfer and exclusive licensing agreement with Qilu pursuant to which we granted Qilu an exclusive (with certain exceptions), sublicensable, royalty-bearing license, under certain intellectual property owned by us, to develop, manufacture and commercialize imdusiran for the treatment or prevention of cHBV in the Territory. In partial consideration for the rights granted by us, Qilu paid us a one-time upfront cash payment of $40 million and made an equity investment in us of $15.0 million, both received in January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imdusiran in the Territory.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$163.5 million of cash, cash equivalents and investments in marketable securities as of June 30, 2023 will be sufficient to fund our operations into the first quarter of 2025. We expect a net cash burn between $90 million and $95 million in 2023, excluding any proceeds from our Open Market Sale Agreement. In the future, substantial additional funds will be required to continue with the active development of our pipeline products and technologies. In particular, our funding needs may vary depending on a number of factors including: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revenue earned from our legacy collaborative partnerships and licensing agreements, including potential royalty payments from Alnylam’s ONPATTRO;</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revenue earned from ongoing collaborative partnerships, including milestone and royalty payments;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potential requirement to make milestone payments related to our legacy agreements;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extent to which we continue the development of our product candidates, add new product candidates to our pipeline, or form collaborative relationships or licensing arrangements to advance our product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delays in the development of our product candidates due to preclinical and clinical findings;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decisions to in-license or acquire additional products, product candidates or technology for development;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attract and retain development or commercialization partners, and their effectiveness in carrying out the development and ultimate commercialization of one or more of our product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whether batches of product candidates that we manufacture fail to meet specifications resulting in clinical trial delays and investigational and remanufacturing costs;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decisions, and the timing of decisions, made by health regulatory agencies regarding our technology and product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competing products, product candidates and technological and market developments;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costs associated with prosecuting and enforcing our patent claims and other intellectual property rights, including litigation and arbitration arising in the course of our business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under this item is not required to be provided by smaller reporting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ITEM 4.    </w:t>
      </w:r>
      <w:r>
        <w:rPr>
          <w:color w:val="000000"/>
        </w:rPr>
        <w:t xml:space="preserve">  </w:t>
      </w:r>
      <w:r>
        <w:rPr>
          <w:rFonts w:ascii="Times New Roman;sans-serif" w:hAnsi="Times New Roman;sans-serif"/>
          <w:b/>
          <w:color w:val="000000"/>
          <w:sz w:val="20"/>
        </w:rPr>
        <w:t>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the effectiveness of our disclosure controls and procedures as of June 30, 2023. The term “disclosure controls and procedures”,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defined in Rules 13a-15(e) and 15d-15(e) under the Securities Exchange Act of 1934, as amended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June 30, 2023, our principal executive officer and principal financial officer concluded that, as of such date, our disclosure controls and procedures were effective at the reasonable assurance level.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(as defined in Rules 13a–15(f) and 15d–15(f) under the Exchange Act) during the three months ended June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Pfizer and BioNTech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4, 2023, we and Genevant Sciences Ltd.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have yet to answer these counterclaims and no case schedule is yet in place. A scheduling conference is set for August 28,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Moderna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its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w:t>
      </w:r>
      <w:r>
        <w:rPr>
          <w:color w:val="000000"/>
        </w:rPr>
        <w:t xml:space="preserve"> </w:t>
      </w:r>
      <w:r>
        <w:rPr>
          <w:rFonts w:ascii="Times New Roman;sans-serif" w:hAnsi="Times New Roman;sans-serif"/>
          <w:b w:val="false"/>
          <w:color w:val="000000"/>
          <w:sz w:val="20"/>
        </w:rPr>
        <w:t>On March 16, 2023, the Court held a Rule 16 scheduling conference, and on March 21, 2023, the Court issued a scheduling order in the matter without setting a trial date. On June 9, 2023, the parties extended the schedule for claim construction proceedings. The claim construction hearing is currently scheduled for February 7, 2024. Document discovery in the action is currently ongoing.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Acuitas Declaratory Judgment Lawsuit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18, 2022, Acuitas Therapeutics Inc.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The motion is now fully briefed and a status conference is set for August 9, 2023. No case schedule is yet in place.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It may take considerable time and expense to resolve the clinical hold that has been placed on our IND application of AB-101 by the FDA, and no assurance can be given that the FDA will remove the clinical hold, in which case our business and financial prospects may be adversely affected.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2023, we announced that we were notified via verbal communication from the FDA that our AB-101 IND application has been placed on clinical hold. For purposes of clarity, the Phase 1 clinical trial had not been initiated and we had not dosed any patients with AB-101. In May 2023, we received the clinical hold letter from the FDA, which raised questions about certain preclinical data and aspects of the clinical trial design. In July 2023, the New Zealand Medicine and Medical Device Safety Authority (Medsafe) approved our CTA application for a Phase 1 clinical trial in New Zealand for AB-101; however, there are no assurances that FDA will accept the results of such clinical trial and may require us to conduct an additional Phase 1 clinical trial or additional nonclinical studies. If the FDA does not accept the results of our Phase 1 clinical trial in New Zealand for AB-101 or requires us to conduct additional trials or studies, it may take a considerable period of time, the length of which is not certain at this time, and expense for us to fully address the FDA’s concerns. Even if we are able to fully respond to the FDA’s current concerns, the FDA may subsequently make additional requests that we would need to fulfill prior to the lifting of the clinical hold. It is possible that we will be unable to fully address the FDA’s concerns and, as a result, the clinical hold may never be lifted and we may never be able to initiate our AB-101 clinical program in the United States, which could have a material adverse effect on our business and financial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other material changes in our risk factors from those disclosed in our Annual Report on Form 10-K for the fiscal year-ended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83260"/>
                <wp:effectExtent l="0" t="0" r="0" b="0"/>
                <wp:wrapNone/>
                <wp:docPr id="41" name="Frame4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both"/>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988"/>
        <w:gridCol w:w="2838"/>
        <w:gridCol w:w="2867"/>
        <w:gridCol w:w="109"/>
        <w:gridCol w:w="109"/>
        <w:gridCol w:w="1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Notice of Articles and Articles of the Company, as amended (incorporated herein by reference to Exhibit 3.1 to the Registrant’s Annual Report on Form 10-K for the year ended December 31, 2017, filed with the SEC on March 16, 2018).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to Articles of the Company (incorporated herein by reference to Exhibit 3.1 to the Registrant’s Quarterly Report on Form 10-Q for the quarter ended September 30, 2018, filed with the SEC on November 7, 2018).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10.1*</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moexecutiveemploymentagre.htm">
              <w:r>
                <w:rPr>
                  <w:rStyle w:val="InternetLink"/>
                  <w:rFonts w:ascii="Times New Roman;sans-serif" w:hAnsi="Times New Roman;sans-serif"/>
                  <w:b w:val="false"/>
                  <w:color w:val="0000FF"/>
                  <w:sz w:val="20"/>
                  <w:u w:val="single"/>
                </w:rPr>
                <w:t>Executive Employment Agreement, dated effective as of July 10, 2023, between Arbutus Biopharma, Inc. and Karen Sims, MD, PhD</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10.2*</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cexecutiveemploymentagree.htm">
              <w:r>
                <w:rPr>
                  <w:rStyle w:val="InternetLink"/>
                  <w:rFonts w:ascii="Times New Roman;sans-serif" w:hAnsi="Times New Roman;sans-serif"/>
                  <w:b w:val="false"/>
                  <w:color w:val="0000FF"/>
                  <w:sz w:val="20"/>
                  <w:u w:val="single"/>
                </w:rPr>
                <w:t>Executive Employment Agreement, dated effective as of July 10, 2023, between Arbutus Biopharma, Inc. and J. Christopher Naftzger</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10.3*</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aftzger-inducementoptiona.htm">
              <w:r>
                <w:rPr>
                  <w:rStyle w:val="InternetLink"/>
                  <w:rFonts w:ascii="Times New Roman;sans-serif" w:hAnsi="Times New Roman;sans-serif"/>
                  <w:b w:val="false"/>
                  <w:color w:val="0000FF"/>
                  <w:sz w:val="20"/>
                  <w:u w:val="single"/>
                </w:rPr>
                <w:t>Option Agreement, dated July 10, 2023, by and between Arbutus Biopharma Corporation and J. Christopher Naftzger</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80"/>
                  <w:sz w:val="20"/>
                  <w:u w:val="single"/>
                </w:rPr>
                <w:t>Arbutus Biopharma Corporation 2016 Omnibus Share and Incentive Plan, as supplemented and amended (incorporated herein by reference to Exhibit 10.1 to the Registrant’s Current Report on Form 8-K, filed with the SEC on May 30, 2023)</w:t>
              </w:r>
            </w:hyperlink>
            <w:hyperlink r:id="rId6">
              <w:r>
                <w:rPr>
                  <w:rStyle w:val="InternetLink"/>
                  <w:rFonts w:ascii="Times New Roman;sans-serif" w:hAnsi="Times New Roman;sans-serif"/>
                  <w:b w:val="false"/>
                  <w:color w:val="000080"/>
                  <w:sz w:val="20"/>
                  <w:u w:val="single"/>
                </w:rPr>
                <w: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210xqex311.htm">
              <w:r>
                <w:rPr>
                  <w:rStyle w:val="InternetLink"/>
                  <w:rFonts w:ascii="Times New Roman;sans-serif" w:hAnsi="Times New Roman;sans-serif"/>
                  <w:b w:val="false"/>
                  <w:color w:val="0000FF"/>
                  <w:sz w:val="20"/>
                  <w:u w:val="single"/>
                </w:rPr>
                <w:t>Certification of Principal Executive Officer pursuant to Rule 13a-14(a) or 15d-14(a) of the Securities Exchange Act of 1934, as adopted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210xqex312.htm">
              <w:r>
                <w:rPr>
                  <w:rStyle w:val="InternetLink"/>
                  <w:rFonts w:ascii="Times New Roman;sans-serif" w:hAnsi="Times New Roman;sans-serif"/>
                  <w:b w:val="false"/>
                  <w:color w:val="0000FF"/>
                  <w:sz w:val="20"/>
                  <w:u w:val="single"/>
                </w:rPr>
                <w:t>Certification of Principal Financial Officer pursuant to Rule 13a-14(a) or 15d-14(a) of the Securities Exchange Act of 1934, as adopted pursuant to Section 302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210xq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210xq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materials from Arbutus Biopharma Corporation’s Quarterly Report on Form 10-Q for the quarter ended June 30, 2023,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included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27355"/>
                <wp:effectExtent l="0" t="0" r="0" b="0"/>
                <wp:wrapNone/>
                <wp:docPr id="42" name="Frame41"/>
                <a:graphic xmlns:a="http://schemas.openxmlformats.org/drawingml/2006/main">
                  <a:graphicData uri="http://schemas.microsoft.com/office/word/2010/wordprocessingShape">
                    <wps:wsp>
                      <wps:cNvSpPr txBox="1"/>
                      <wps:spPr>
                        <a:xfrm>
                          <a:off x="0" y="0"/>
                          <a:ext cx="6480175" cy="4273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ind w:left="0" w:right="0" w:firstLine="495"/>
        <w:jc w:val="both"/>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August 3, 2023.</w:t>
      </w:r>
    </w:p>
    <w:p>
      <w:pPr>
        <w:pStyle w:val="TextBody"/>
        <w:bidi w:val="0"/>
        <w:spacing w:before="160" w:after="283"/>
        <w:ind w:left="0" w:right="0" w:firstLine="495"/>
        <w:jc w:val="both"/>
        <w:rPr/>
      </w:pPr>
      <w:r>
        <w:rPr/>
      </w:r>
    </w:p>
    <w:tbl>
      <w:tblPr>
        <w:tblW w:w="7437" w:type="dxa"/>
        <w:jc w:val="left"/>
        <w:tblInd w:w="0" w:type="dxa"/>
        <w:tblLayout w:type="fixed"/>
        <w:tblCellMar>
          <w:top w:w="28" w:type="dxa"/>
          <w:left w:w="28" w:type="dxa"/>
          <w:bottom w:w="28" w:type="dxa"/>
          <w:right w:w="28" w:type="dxa"/>
        </w:tblCellMar>
      </w:tblPr>
      <w:tblGrid>
        <w:gridCol w:w="124"/>
        <w:gridCol w:w="109"/>
        <w:gridCol w:w="109"/>
        <w:gridCol w:w="595"/>
        <w:gridCol w:w="595"/>
        <w:gridCol w:w="595"/>
        <w:gridCol w:w="1550"/>
        <w:gridCol w:w="1550"/>
        <w:gridCol w:w="22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ARBUTUS BIOPHARMA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H. Collier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H. Collier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C.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C.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83260"/>
                <wp:effectExtent l="0" t="0" r="0" b="0"/>
                <wp:wrapNone/>
                <wp:docPr id="43" name="Frame4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120" w:after="283"/>
                        <w:jc w:val="center"/>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EXECUTIVE EMPLOYMENT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Executive Employment Agreement (“</w:t>
      </w:r>
      <w:r>
        <w:rPr>
          <w:rFonts w:ascii="Times New Roman;sans-serif" w:hAnsi="Times New Roman;sans-serif"/>
          <w:b/>
          <w:color w:val="000000"/>
          <w:sz w:val="24"/>
          <w:u w:val="single"/>
        </w:rPr>
        <w:t>Agreement</w:t>
      </w:r>
      <w:r>
        <w:rPr>
          <w:color w:val="000000"/>
        </w:rPr>
        <w:t>”</w:t>
      </w:r>
      <w:r>
        <w:rPr>
          <w:rFonts w:ascii="Times New Roman;sans-serif" w:hAnsi="Times New Roman;sans-serif"/>
          <w:b w:val="false"/>
          <w:color w:val="000000"/>
          <w:sz w:val="24"/>
        </w:rPr>
        <w:t>), which supersedes in its entirety the Original Employment Agreement as defined below, is made effective as of July 10, 2023 (the “</w:t>
      </w:r>
      <w:r>
        <w:rPr>
          <w:rFonts w:ascii="Times New Roman;sans-serif" w:hAnsi="Times New Roman;sans-serif"/>
          <w:b/>
          <w:color w:val="000000"/>
          <w:sz w:val="24"/>
          <w:u w:val="single"/>
        </w:rPr>
        <w:t>Effective Date</w:t>
      </w:r>
      <w:r>
        <w:rPr>
          <w:color w:val="000000"/>
        </w:rPr>
        <w:t>”</w:t>
      </w:r>
      <w:r>
        <w:rPr>
          <w:rFonts w:ascii="Times New Roman;sans-serif" w:hAnsi="Times New Roman;sans-serif"/>
          <w:b w:val="false"/>
          <w:color w:val="000000"/>
          <w:sz w:val="24"/>
        </w:rPr>
        <w:t>) by and between Arbutus Biopharma Inc. (the “</w:t>
      </w:r>
      <w:r>
        <w:rPr>
          <w:rFonts w:ascii="Times New Roman;sans-serif" w:hAnsi="Times New Roman;sans-serif"/>
          <w:b/>
          <w:color w:val="000000"/>
          <w:sz w:val="24"/>
          <w:u w:val="single"/>
        </w:rPr>
        <w:t>Company</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Karen Sims, MD, PhD</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u w:val="single"/>
        </w:rPr>
        <w:t>Executive</w:t>
      </w:r>
      <w:r>
        <w:rPr>
          <w:color w:val="000000"/>
        </w:rPr>
        <w:t>”</w:t>
      </w:r>
      <w:r>
        <w:rPr>
          <w:rFonts w:ascii="Times New Roman;sans-serif" w:hAnsi="Times New Roman;sans-serif"/>
          <w:b w:val="false"/>
          <w:color w:val="000000"/>
          <w:sz w:val="24"/>
        </w:rPr>
        <w:t>) (together the “</w:t>
      </w:r>
      <w:r>
        <w:rPr>
          <w:rFonts w:ascii="Times New Roman;sans-serif" w:hAnsi="Times New Roman;sans-serif"/>
          <w:b/>
          <w:color w:val="000000"/>
          <w:sz w:val="24"/>
          <w:u w:val="single"/>
        </w:rPr>
        <w:t>Parties</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RECITALS</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A.WHEREAS, the Executive was most recently employed as Vice President, Clinical Development by the Company, having been promoted from the position of Senior Medical Offer, wherein both positions were subject to the terms of an agreement having an offer date of February 23, 2017 and an acceptance date of March 1, 2017 (“Original Employment Agreement”); and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B.Whereas Company now desires to employ the Executive as Chief Medical Officer in accordance with the provisions of this Agreement; and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C.WHEREAS, Executive desires to serve the Company and accept employment under the terms and conditions stated in this Agreement; and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D.WHEREAS, the Parties have freely negotiated the terms and conditions of this Agreement and have reached agreement on them.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THEREFORE, the Parties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w:t>
      </w:r>
      <w:r>
        <w:rPr>
          <w:rFonts w:ascii="Times New Roman;sans-serif" w:hAnsi="Times New Roman;sans-serif"/>
          <w:b w:val="false"/>
          <w:color w:val="000000"/>
          <w:sz w:val="24"/>
          <w:u w:val="single"/>
        </w:rPr>
        <w:t>Position and Duties</w:t>
      </w:r>
      <w:r>
        <w:rPr>
          <w:rFonts w:ascii="Times New Roman;sans-serif" w:hAnsi="Times New Roman;sans-serif"/>
          <w:b w:val="false"/>
          <w:color w:val="000000"/>
          <w:sz w:val="24"/>
        </w:rPr>
        <w:t>. The Executive will serve as Chief Medical Officer</w:t>
      </w:r>
      <w:r>
        <w:rPr>
          <w:color w:val="000000"/>
          <w:u w:val="single"/>
        </w:rPr>
        <w:t xml:space="preserve"> </w:t>
      </w:r>
      <w:r>
        <w:rPr>
          <w:rFonts w:ascii="Times New Roman;sans-serif" w:hAnsi="Times New Roman;sans-serif"/>
          <w:b w:val="false"/>
          <w:color w:val="000000"/>
          <w:sz w:val="24"/>
        </w:rPr>
        <w:t>of the Company and will have powers and duties consistent with such position as may from time to time be prescribed by the Chief Executive Officer of the Company. As Chief Medical Officer</w:t>
      </w:r>
      <w:r>
        <w:rPr>
          <w:color w:val="000000"/>
          <w:u w:val="single"/>
        </w:rPr>
        <w:t xml:space="preserve"> </w:t>
      </w:r>
      <w:r>
        <w:rPr>
          <w:rFonts w:ascii="Times New Roman;sans-serif" w:hAnsi="Times New Roman;sans-serif"/>
          <w:b w:val="false"/>
          <w:color w:val="000000"/>
          <w:sz w:val="24"/>
        </w:rPr>
        <w:t xml:space="preserve">of the Company, the Executive shall devote her full working time and efforts to the business and affairs of the Company. Notwithstanding the foregoing, the Executive may manage her personal investments or engage charitable or other community activities except as restricted or prohibited by the terms of a confidentiality agreement between the Executive and the Company and as long as those engagements, services and activities, individually or in the aggregate, do not interfere with the Executive’s performance of her duties to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2.</w:t>
      </w:r>
      <w:r>
        <w:rPr>
          <w:rFonts w:ascii="Times New Roman;sans-serif" w:hAnsi="Times New Roman;sans-serif"/>
          <w:b w:val="false"/>
          <w:color w:val="000000"/>
          <w:sz w:val="24"/>
          <w:u w:val="single"/>
        </w:rPr>
        <w:t>Compensation and Related Matters</w:t>
      </w:r>
      <w:r>
        <w:rPr>
          <w:rFonts w:ascii="Times New Roman;sans-serif" w:hAnsi="Times New Roman;sans-serif"/>
          <w:b w:val="false"/>
          <w:color w:val="000000"/>
          <w:sz w:val="24"/>
        </w:rPr>
        <w:t>.</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The Executive’s base salary will be US$460,000 per year. The Executive’s base salary will be reviewed annually by the Chief Executive Officer of the Company and is subject to increase but not decrease except for an across-the-board salary reduction affecting all senior executives of the Company. The base salary in effect at any given time is referred to as “</w:t>
      </w:r>
      <w:r>
        <w:rPr>
          <w:rFonts w:ascii="Times New Roman;sans-serif" w:hAnsi="Times New Roman;sans-serif"/>
          <w:b/>
          <w:color w:val="000000"/>
          <w:sz w:val="24"/>
          <w:u w:val="single"/>
        </w:rPr>
        <w:t>Base Salary</w:t>
      </w:r>
      <w:r>
        <w:rPr>
          <w:color w:val="000000"/>
        </w:rPr>
        <w:t xml:space="preserve">” </w:t>
      </w:r>
      <w:r>
        <w:rPr>
          <w:rFonts w:ascii="Times New Roman;sans-serif" w:hAnsi="Times New Roman;sans-serif"/>
          <w:b w:val="false"/>
          <w:color w:val="000000"/>
          <w:sz w:val="24"/>
        </w:rPr>
        <w:t>and this Agreement need not be modified to reflect a change in Base Salary. The Base Salary is subject to withholding and payable in a manner that is consistent with the Company’s usual payroll practices for senior executives.</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Bonus</w:t>
      </w:r>
      <w:r>
        <w:rPr>
          <w:rFonts w:ascii="Times New Roman;sans-serif" w:hAnsi="Times New Roman;sans-serif"/>
          <w:b w:val="false"/>
          <w:color w:val="000000"/>
          <w:sz w:val="24"/>
        </w:rPr>
        <w:t>. The Executive is eligible to be considered for an annual discretionary bonus of up to 40% of Base Salary (such bonus, the “</w:t>
      </w:r>
      <w:r>
        <w:rPr>
          <w:rFonts w:ascii="Times New Roman;sans-serif" w:hAnsi="Times New Roman;sans-serif"/>
          <w:b/>
          <w:color w:val="000000"/>
          <w:sz w:val="24"/>
        </w:rPr>
        <w:t>Target Bonus</w:t>
      </w:r>
      <w:r>
        <w:rPr>
          <w:color w:val="000000"/>
        </w:rPr>
        <w:t>”</w:t>
      </w:r>
      <w:r>
        <w:rPr>
          <w:rFonts w:ascii="Times New Roman;sans-serif" w:hAnsi="Times New Roman;sans-serif"/>
          <w:b w:val="false"/>
          <w:color w:val="000000"/>
          <w:sz w:val="24"/>
        </w:rPr>
        <w:t>). The Target Bonus shall be subject to the terms of the bonus plan and the approval of the Company’s Board of Directors (the “</w:t>
      </w:r>
      <w:r>
        <w:rPr>
          <w:rFonts w:ascii="Times New Roman;sans-serif" w:hAnsi="Times New Roman;sans-serif"/>
          <w:b/>
          <w:color w:val="000000"/>
          <w:sz w:val="24"/>
          <w:u w:val="single"/>
        </w:rPr>
        <w:t>Board</w:t>
      </w:r>
      <w:r>
        <w:rPr>
          <w:color w:val="000000"/>
        </w:rPr>
        <w:t>”</w:t>
      </w:r>
      <w:r>
        <w:rPr>
          <w:rFonts w:ascii="Times New Roman;sans-serif" w:hAnsi="Times New Roman;sans-serif"/>
          <w:b w:val="false"/>
          <w:color w:val="000000"/>
          <w:sz w:val="24"/>
        </w:rPr>
        <w:t>), in its sole discretion, on an annual basis.</w:t>
      </w:r>
      <w:r>
        <w:rPr>
          <w:color w:val="000000"/>
          <w:u w:val="single"/>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The Executive is entitled to receive prompt reimbursement for all reasonable expenses incurred by her in performing services under this Agreement, in accordance with the policies and procedures then in effect and established by the Company for its senior executives.</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Other Benefits</w:t>
      </w:r>
      <w:r>
        <w:rPr>
          <w:rFonts w:ascii="Times New Roman;sans-serif" w:hAnsi="Times New Roman;sans-serif"/>
          <w:b w:val="false"/>
          <w:color w:val="000000"/>
          <w:sz w:val="24"/>
        </w:rPr>
        <w:t xml:space="preserve">. The Executive is entitled to participate in or receive benefits consistent with other senior executives under the Company’s employee benefit plans as they may be adopted and amended from time to time, subject to the terms and conditions of those employee benefit plans.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Equity Compensation</w:t>
      </w:r>
      <w:r>
        <w:rPr>
          <w:rFonts w:ascii="Times New Roman;sans-serif" w:hAnsi="Times New Roman;sans-serif"/>
          <w:b w:val="false"/>
          <w:color w:val="000000"/>
          <w:sz w:val="24"/>
        </w:rPr>
        <w:t xml:space="preserve">. Subject to the discretionary approval of the Company’s Board of Directors, and in accordance with the Company’s annual performance and compensation review process, the Executive shall be eligible to receive equity awards under the Arbutus Biopharma Corporation 2016 Omnibus Share and Incentive Plan and or any other similar equity incentive plan to the same extent as other executives of the Company. The Company’s President and CEO will promptly recommend to the Board that the Executive receive an options grant in the amount of 153,640 shares of the Company, subject to the terms of the Equity Plan, the terms of a notice of grant and any other terms as may be required by the Board.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Paid Time Off</w:t>
      </w:r>
      <w:r>
        <w:rPr>
          <w:rFonts w:ascii="Times New Roman;sans-serif" w:hAnsi="Times New Roman;sans-serif"/>
          <w:b w:val="false"/>
          <w:color w:val="000000"/>
          <w:sz w:val="24"/>
        </w:rPr>
        <w:t xml:space="preserve">. The Executive is entitled to paid holidays and PTO days each year, in an amount determined in accordance with and subject to the Company’s applicable policies in effect, and as may be amended from time to time. PTO may be taken at such times and intervals as the Executive shall determine, subject to the business needs of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3.</w:t>
      </w:r>
      <w:r>
        <w:rPr>
          <w:rFonts w:ascii="Times New Roman;sans-serif" w:hAnsi="Times New Roman;sans-serif"/>
          <w:b w:val="false"/>
          <w:color w:val="000000"/>
          <w:sz w:val="24"/>
          <w:u w:val="single"/>
        </w:rPr>
        <w:t>Non-Competition and Non-Solicitation</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Executive acknowledges that the Company’s industry is highly competitive and employees leaving the employ of the Company have the ability to cause significant damage to the Company’s interests if they join a competing business immediately upon leaving the Company.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Definitions: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rPr>
        <w:t>Affiliate” means any person or entity directly or indirectly controlling, controlled by or under common control with the Company, where control may be by either management authority or equity interest.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color w:val="000000"/>
        </w:rPr>
        <w:t>“</w:t>
      </w:r>
      <w:r>
        <w:rPr>
          <w:rFonts w:ascii="Times New Roman;sans-serif" w:hAnsi="Times New Roman;sans-serif"/>
          <w:b w:val="false"/>
          <w:color w:val="000000"/>
          <w:sz w:val="24"/>
        </w:rPr>
        <w:t>Business” or “Business of the Company” means (a) researching, developing, producing and marketing any treatment for hepatitis B virus infection in humans or (b) any other treatment area in which the Company has an active research and development program on the date this Agreement terminates and in connection with which the Executive directly provided service or had direct supervisory responsibilities.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color w:val="000000"/>
        </w:rPr>
        <w:t>“</w:t>
      </w:r>
      <w:r>
        <w:rPr>
          <w:rFonts w:ascii="Times New Roman;sans-serif" w:hAnsi="Times New Roman;sans-serif"/>
          <w:b w:val="false"/>
          <w:color w:val="000000"/>
          <w:sz w:val="24"/>
        </w:rPr>
        <w:t>Competing Business” means any endeavor, activity or business which is competitive in any material way with the Business of the Company worldwide.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color w:val="000000"/>
        </w:rPr>
        <w:t>“</w:t>
      </w:r>
      <w:r>
        <w:rPr>
          <w:rFonts w:ascii="Times New Roman;sans-serif" w:hAnsi="Times New Roman;sans-serif"/>
          <w:b w:val="false"/>
          <w:color w:val="000000"/>
          <w:sz w:val="24"/>
        </w:rPr>
        <w:t>Contact” means any person, firm, corporation or other entity that was a client, customer, supplier, principal, shareholder, investor, collaborator, strategic partner, licensee, contact or prospect of the Company (or of its partners, funders or Affiliates) with whom the Executive dealt or otherwise became aware of during the term of her employment in any capacity with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color w:val="000000"/>
        </w:rPr>
        <w:t>“</w:t>
      </w:r>
      <w:r>
        <w:rPr>
          <w:rFonts w:ascii="Times New Roman;sans-serif" w:hAnsi="Times New Roman;sans-serif"/>
          <w:b w:val="false"/>
          <w:color w:val="000000"/>
          <w:sz w:val="24"/>
        </w:rPr>
        <w:t xml:space="preserve">Restricted Period” means the twelve (12) month period commencing immediately after the Executive’s employment terminates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Reasonableness</w:t>
      </w:r>
      <w:r>
        <w:rPr>
          <w:rFonts w:ascii="Times New Roman;sans-serif" w:hAnsi="Times New Roman;sans-serif"/>
          <w:b w:val="false"/>
          <w:color w:val="000000"/>
          <w:sz w:val="24"/>
        </w:rPr>
        <w:t>. The Executive hereby acknowledges and agrees that: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both before and since the Effective Date the Company has operated and competed and will operate and compete worldwide, with respect to the Business of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competitors of the Company and the Business are located worldwide;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in order to protect the Company adequately, any enjoinder of competition would have to apply to any country in which the Company, during the term of the Executive’s employment, had material business relationships;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in light of the foregoing, the provisions of this Section 3 are reasonable and necessary for the proper protection of the Business of the Company.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Restrictive Covenant</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attached hereto, during the term of the Executive’s employment and for the Restricted Period after the termination thereof, the Executive shall not, without the advance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Exception</w:t>
      </w:r>
      <w:r>
        <w:rPr>
          <w:rFonts w:ascii="Times New Roman;sans-serif" w:hAnsi="Times New Roman;sans-serif"/>
          <w:b w:val="false"/>
          <w:color w:val="000000"/>
          <w:sz w:val="24"/>
        </w:rPr>
        <w:t>. The Executive shall not be in default of Section 3(d) by virtue of the Executive: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following the termination of employment, holding, strictly for portfolio purposes and as a passive investor, no more than five percent (5%) of the issued and outstanding shares of, or any other interest in, any corporation or other entity that is a Competing Business;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during the term of her employment, holding, strictly for portfolio purposes and as a passive investor, issued and outstanding shares of, or any other interest in, any corporation or other entity, the business of which corporation or other entity is in the same Business as the Company provided such corporation is not a Competing Business, and provided further that the Executive first obtains the Company’s written consent, which consent will not be unreasonably withheld.</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Executive holds issued and outstanding shares or any other interest in a corporation or other entity pursuant to Section 3(e)(ii) above, and following the acquisition of such shares or other interest the business of the corporation or other entity becomes a Competing Business, the Executive will promptly dispose of the Executive’s shares or other interest in such corporation or other entity.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The Executive shall not, during the term of her employment and for the Restricted Period after the termination thereof for any reason, whether legal or illegal, either individually or in partnership or jointly or in conjunction with any person, firm, corporation or other entity, as principal, agent, consultant, advisor, employee, shareholder or in any manner whatsoever, without the prior written and informed consent of the Company, directly or indirectly: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solicit, induce or encourage any Contact to curtail or cease its relationship with the Company, for any purpose which is competitive with the Business;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accept (or procure or assist the acceptance of) any business from any Contact if such business is competitive with the Business;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be employed by or supply (or procure or assist the supply of) any goods or services to any Contact for any purpose which the Executive knows or has reason to know is competitive with the Business;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employ, engage, offer employment or engagement to or solicit the employment or engagement of or otherwise entice away from or solicit, induce or encourage to leave the employment or engagement of the Company, any individual who is employed or engaged by the Company at the time of any such offer, solicitation or enticement whether or not such individual would commit any breach of her contract or terms of employment or engagement by leaving the employ or the engagement of the Company, provided that the Executive shall be permitted, solely in a personal capacity, to provide letters of reference for individuals who are employed by the Company.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Validity</w:t>
      </w:r>
      <w:r>
        <w:rPr>
          <w:rFonts w:ascii="Times New Roman;sans-serif" w:hAnsi="Times New Roman;sans-serif"/>
          <w:b w:val="false"/>
          <w:color w:val="000000"/>
          <w:sz w:val="24"/>
        </w:rPr>
        <w:t>. The Executive expressly recognizes and acknowledges that it is the intent of the parties that the Executive’s activities following the termination of the Executive’s employment with the Company be restricted in the manner described in this Section 3, and acknowledges that good, valuable, and sufficient consideration has been provided in exchange for such restrictions. The Executive agrees that should any of the restrictions contained in this Section 3 be found to be unreasonable to any extent by a court of competent 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 jurisdiction, requested to make such a declaration, in order to ensure that the intention of the parties is given the greatest possible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4.</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The Executive’s employment by the Company may be terminated without any breach of this Agreement under the following circumstances:</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The Executive’s employment hereunder terminates upon her death.</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xml:space="preserve">. The Company may terminate the Executive’s employment if she is disabled (as determined by a non-employee doctor hired by the company) in a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manner that renders the Executive unable to perform the essential functions of her then existing position or positions under this Agreement with or without reasonable accommodation for a period of six months or more. Nothing in this Section 4.b) is to be construed to waive the Executive’s rights, if any, under existing law including, without limitation, the Family and Medical Leave Act of 1993, 29 U.S.C. §2601 et seq., and the Americans with Disabilities Act, 42 U.S.C. §12101 et seq.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by Company for Cause</w:t>
      </w:r>
      <w:r>
        <w:rPr>
          <w:rFonts w:ascii="Times New Roman;sans-serif" w:hAnsi="Times New Roman;sans-serif"/>
          <w:b w:val="false"/>
          <w:color w:val="000000"/>
          <w:sz w:val="24"/>
        </w:rPr>
        <w:t xml:space="preserve">. For purposes of this Agreement, “For Cause” shall mean: (i) Employee is charged with a felony (excluding a DUI) or any violation of state or federal securities laws; (ii) Employee willfully engages in conduct that is in bad faith and materially injurious to the Company, including but not limited to, misappropriation of trade secrets, fraud or embezzlement; (iii) Employee commits a material breach of this Agreement; (iv) Employee willfully refuses to implement or follow a lawful policy or directive of the Company; or (v) Employee engages in misfeasance or malfeasance demonstrated by a pattern of failure to perform job duties diligently and professionally. The Company may terminate Employee’s employment For Cause at any time, without any advance notice. The Company shall pay Employee all compensation to which Employee is entitled up through the date of termination, subject to any other rights or remedies of the Company under law; and thereafter all obligations of the Company under this Agreement shall cease.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Termination by the Company Without Cause or by the Executive for Good Reason</w:t>
      </w:r>
      <w:r>
        <w:rPr>
          <w:rFonts w:ascii="Times New Roman;sans-serif" w:hAnsi="Times New Roman;sans-serif"/>
          <w:b w:val="false"/>
          <w:color w:val="000000"/>
          <w:sz w:val="24"/>
        </w:rPr>
        <w:t>. The Company may terminate the Executive’s employment under this Agreement at any time without Cause and the Executive may terminate her employment with Good Reason. For purposes of</w:t>
      </w:r>
      <w:r>
        <w:rPr>
          <w:color w:val="000000"/>
          <w:u w:val="single"/>
        </w:rPr>
        <w:t xml:space="preserve"> </w:t>
      </w:r>
      <w:r>
        <w:rPr>
          <w:rFonts w:ascii="Times New Roman;sans-serif" w:hAnsi="Times New Roman;sans-serif"/>
          <w:b w:val="false"/>
          <w:color w:val="000000"/>
          <w:sz w:val="24"/>
        </w:rPr>
        <w:t>this Agreement, “Good Reason” means the occurrence of any of the following events without the Executive's prior written consent: (i) the failure of the Executive to be appointed to the position set forth in Section 1, if not promptly cured after written notice; (ii) a reduction by the Company of the Executive's Base Salary or Target Bonus percentage, except for an across-the-board salary reduction affecting all senior executives of the Company; (iii) a relocation of Employee’s principal place of employment by more than fifty (50) miles; (iv) a termination of the Executive’s employment by the Company; and (v) a substantial and adverse change to the Executive’s duties and responsibilities. For purposes of this Agreement, except for the Company terminating the Executive’s employment, termination for Good Reason requires Executive to comply with the “Good Reason Process,” which means that (i) the Executive reasonably determines in good faith that a Good Reason condition has occurred; (ii) the Executive notifies the Company in writing of the first occurrence of the Good Reason condition within 30 days of the first occurrence of such condition; (iii) the Executive cooperates in good faith with the Company’s efforts, for a period of not less than 30 days following that notice (the “</w:t>
      </w:r>
      <w:r>
        <w:rPr>
          <w:rFonts w:ascii="Times New Roman;sans-serif" w:hAnsi="Times New Roman;sans-serif"/>
          <w:b/>
          <w:color w:val="000000"/>
          <w:sz w:val="24"/>
          <w:u w:val="single"/>
        </w:rPr>
        <w:t>Cure Period</w:t>
      </w:r>
      <w:r>
        <w:rPr>
          <w:color w:val="000000"/>
        </w:rPr>
        <w:t>”</w:t>
      </w:r>
      <w:r>
        <w:rPr>
          <w:rFonts w:ascii="Times New Roman;sans-serif" w:hAnsi="Times New Roman;sans-serif"/>
          <w:b w:val="false"/>
          <w:color w:val="000000"/>
          <w:sz w:val="24"/>
        </w:rPr>
        <w:t xml:space="preserve">) to remedy the condition; (iv) notwithstanding the Company’s efforts, the Good Reason condition continues to exist; and (v) the Executive terminates her employment within 30 days after the end of the Cure Period. If the Company cures the Good Reason condition during the Cure Period, Good Reason is deemed not to have occurred.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termination by the Company of the Executive’s employment under this Agreement that does not constitute a termination for Cause under Section 4.c) and does not result from the death or disability of the Executive under Section 4(a) or (b) is a termination without Cause.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Termination by the Executive</w:t>
      </w:r>
      <w:r>
        <w:rPr>
          <w:rFonts w:ascii="Times New Roman;sans-serif" w:hAnsi="Times New Roman;sans-serif"/>
          <w:b w:val="false"/>
          <w:color w:val="000000"/>
          <w:sz w:val="24"/>
        </w:rPr>
        <w:t xml:space="preserve">. Executive may terminate employment with the Company without Good Reason at any time for any reason or no reason at all, upon thirty (30) days’ advance written notice. The Company shall have the option, in its sole discretion, to make Executive’s termination effective or to direct the Executive to perform no work and/or remain off premises at any time prior to the end of such notice period as long as the Company pays Executive all compensation to which Executive is entitled up through the last day of the 30 day notice period.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Except for termination as specified in Section 4.a), any termination of the Executive’s employment by the Company or any termination of her employment by the Executive must be communicated by written Notice of Termination to the other party. For purposes of this Agreement, a “</w:t>
      </w:r>
      <w:r>
        <w:rPr>
          <w:rFonts w:ascii="Times New Roman;sans-serif" w:hAnsi="Times New Roman;sans-serif"/>
          <w:b/>
          <w:color w:val="000000"/>
          <w:sz w:val="24"/>
          <w:u w:val="single"/>
        </w:rPr>
        <w:t>Notice of Termination</w:t>
      </w:r>
      <w:r>
        <w:rPr>
          <w:color w:val="000000"/>
        </w:rPr>
        <w:t xml:space="preserve">” </w:t>
      </w:r>
      <w:r>
        <w:rPr>
          <w:rFonts w:ascii="Times New Roman;sans-serif" w:hAnsi="Times New Roman;sans-serif"/>
          <w:b w:val="false"/>
          <w:color w:val="000000"/>
          <w:sz w:val="24"/>
        </w:rPr>
        <w:t>means a notice that indicates the specific termination provision in this Agreement that the termination is based upon.</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Date of Termination</w:t>
      </w:r>
      <w:r>
        <w:rPr>
          <w:rFonts w:ascii="Times New Roman;sans-serif" w:hAnsi="Times New Roman;sans-serif"/>
          <w:b w:val="false"/>
          <w:color w:val="000000"/>
          <w:sz w:val="24"/>
        </w:rPr>
        <w:t>. “</w:t>
      </w:r>
      <w:r>
        <w:rPr>
          <w:rFonts w:ascii="Times New Roman;sans-serif" w:hAnsi="Times New Roman;sans-serif"/>
          <w:b/>
          <w:color w:val="000000"/>
          <w:sz w:val="24"/>
          <w:u w:val="single"/>
        </w:rPr>
        <w:t>Date of Termination</w:t>
      </w:r>
      <w:r>
        <w:rPr>
          <w:color w:val="000000"/>
        </w:rPr>
        <w:t xml:space="preserve">” </w:t>
      </w:r>
      <w:r>
        <w:rPr>
          <w:rFonts w:ascii="Times New Roman;sans-serif" w:hAnsi="Times New Roman;sans-serif"/>
          <w:b w:val="false"/>
          <w:color w:val="000000"/>
          <w:sz w:val="24"/>
        </w:rPr>
        <w:t>means: (i) if the Executive’s employment is terminated by her death, the date of her death; (ii) if the Executive’s employment is terminated on account of disability under Section 4.b) or by the Company for Cause under Section 4.c), or by the Company without Cause under Section 4.d) on the date the Notice of Termination is given; (iii) if the Executive terminates her employment under Section 4.e) without Good Reason, on the date specified by the Executive in the notice (which shall be at least thirty (30) days after the date of the Notice of Termination) and, if no such date is specified, 30 days after the date of the Notice of Termination; and (iv) if the Executive terminates her employment under Section 4.e) with Good Reason, the date on which a Notice of Termination is given after the end of the Cure Period. Notwithstanding the foregoing, if the Executive gives a Notice of Termination to the Company that takes effect at a future date, the Company may unilaterally accelerate the Date of Termination and that acceleration will not be deemed a termination by the Company for purposes of this Agreement so long as the Company pays Executive all compensation to which Executive is entitled up through the last day of the 30-day notice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5.</w:t>
      </w:r>
      <w:r>
        <w:rPr>
          <w:rFonts w:ascii="Times New Roman;sans-serif" w:hAnsi="Times New Roman;sans-serif"/>
          <w:b w:val="false"/>
          <w:color w:val="000000"/>
          <w:sz w:val="24"/>
          <w:u w:val="single"/>
        </w:rPr>
        <w:t>Compensation Upon Termination</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Termination Generally</w:t>
      </w:r>
      <w:r>
        <w:rPr>
          <w:rFonts w:ascii="Times New Roman;sans-serif" w:hAnsi="Times New Roman;sans-serif"/>
          <w:b w:val="false"/>
          <w:color w:val="000000"/>
          <w:sz w:val="24"/>
        </w:rPr>
        <w:t>. If the Executive’s employment with the Company is terminated for any reason, the Company shall pay or provide to the Executive (or to her authorized representative or estate), (i) unpaid expense reimbursements submitted to the Company in accordance with the Company’s policies; (ii) accrued but unused vacation to the extent payment is required by law or Company policy; (iii) any vested benefits the Executive may have under any employee benefit plan of the Company; (iv) any earned but unpaid Base Salary and (v) any earned but unpaid annual Target Bonus, for the prior fiscal year (collectively the “</w:t>
      </w:r>
      <w:r>
        <w:rPr>
          <w:rFonts w:ascii="Times New Roman;sans-serif" w:hAnsi="Times New Roman;sans-serif"/>
          <w:b/>
          <w:color w:val="000000"/>
          <w:sz w:val="24"/>
          <w:u w:val="single"/>
        </w:rPr>
        <w:t>Accrued Benefit</w:t>
      </w:r>
      <w:r>
        <w:rPr>
          <w:color w:val="000000"/>
        </w:rPr>
        <w:t>”</w:t>
      </w:r>
      <w:r>
        <w:rPr>
          <w:rFonts w:ascii="Times New Roman;sans-serif" w:hAnsi="Times New Roman;sans-serif"/>
          <w:b w:val="false"/>
          <w:color w:val="000000"/>
          <w:sz w:val="24"/>
        </w:rPr>
        <w:t xml:space="preserve">) on or before the time required by law, but in no event more than 30 days after the Executive’s Date of Termination. The Executive shall not be entitled to any other salary, compensation, bonus (or pro rata share thereof) or benefits from the Company thereafter, except as otherwise specifically provided hereunder, under the Company’s employee benefit plans or as expressly required by applicable law.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 xml:space="preserve">Termination by the Company Without Cause or by the Executive for Good Reason. </w:t>
      </w:r>
      <w:r>
        <w:rPr>
          <w:rFonts w:ascii="Times New Roman;sans-serif" w:hAnsi="Times New Roman;sans-serif"/>
          <w:b w:val="false"/>
          <w:color w:val="000000"/>
          <w:sz w:val="24"/>
        </w:rPr>
        <w:t>If the Executive’s employment is terminated by the Company without Cause or by the Executive for Good Reason, then the Company shall pay the Executive her Accrued Benefit as of the Date of Termination. In addition, subject to the Executive providing the Company with a fully effective general release of claims in a form and manner satisfactory to the Company that includes but is not limited to the terms set forth in the attached Exhibit A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within the 60-day period following the Date of Termination, the Company shall pay the Executive (i) severance pay in a lump sum in cash in an amount equal to twelve (12) months of Executive’s Base Salary, less lawful withholding (as applicable, “</w:t>
      </w:r>
      <w:r>
        <w:rPr>
          <w:rFonts w:ascii="Times New Roman;sans-serif" w:hAnsi="Times New Roman;sans-serif"/>
          <w:b/>
          <w:color w:val="000000"/>
          <w:sz w:val="24"/>
        </w:rPr>
        <w:t>Severance Amount</w:t>
      </w:r>
      <w:r>
        <w:rPr>
          <w:color w:val="000000"/>
        </w:rPr>
        <w:t>”</w:t>
      </w:r>
      <w:r>
        <w:rPr>
          <w:rFonts w:ascii="Times New Roman;sans-serif" w:hAnsi="Times New Roman;sans-serif"/>
          <w:b w:val="false"/>
          <w:color w:val="000000"/>
          <w:sz w:val="24"/>
        </w:rPr>
        <w:t>), payable within 60 days after the Date of Termination, but if that 60-day period extends over two calendar years, the Company shall make the payment in the second calendar year, and (ii) provided that the Executive timely elects COBRA coverage, reimburse the Executive for the COBRA premiums paid by the Executive, if any, for the continuation of coverage under the Executive’s then-existing group company health plan that the Executive and her dependents are eligible to receive for the earlier of a period of up to twelve (12) months from the date of the Executive’s termination of employment, or until the Executive becomes eligible to receive health insurance benefits under any other employer’s group health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6.</w:t>
      </w:r>
      <w:r>
        <w:rPr>
          <w:rFonts w:ascii="Times New Roman;sans-serif" w:hAnsi="Times New Roman;sans-serif"/>
          <w:b w:val="false"/>
          <w:color w:val="000000"/>
          <w:sz w:val="24"/>
          <w:u w:val="single"/>
        </w:rPr>
        <w:t>Change in Control Provisions</w:t>
      </w:r>
      <w:r>
        <w:rPr>
          <w:rFonts w:ascii="Times New Roman;sans-serif" w:hAnsi="Times New Roman;sans-serif"/>
          <w:b w:val="false"/>
          <w:color w:val="000000"/>
          <w:sz w:val="24"/>
        </w:rPr>
        <w:t>. The provisions of this Section 6 set forth the Executive’s rights and obligations upon the occurrence of a Change in Control of the Company. These provisions are intended to assure and encourage in advance the Executive’s continued attention and dedication to her assigned duties and her objectivity during the pendency and after the occurrence of any Change in Control. The provisions of this Section 6 apply in addition to, and/or modify, the provisions of Section 5(b) regarding severance pay and benefits upon a termination of employment, if applicable, if the termination of employment occurs within 12 months after the occurrence of a Change in Control. These provisions are subject to the Executive providing (and not revoking) the Company with a fully effective Release. These provisions terminate and are of no further force or effect beginning 12 months after the occurrence of such a Change in Control.</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Severance</w:t>
      </w:r>
      <w:r>
        <w:rPr>
          <w:rFonts w:ascii="Times New Roman;sans-serif" w:hAnsi="Times New Roman;sans-serif"/>
          <w:b w:val="false"/>
          <w:color w:val="000000"/>
          <w:sz w:val="24"/>
        </w:rPr>
        <w:t>. If within 12 months following a Change of Control (i) the Company terminates the Executive’s employment with the Company other than for Cause, or (ii) the Executive resigns from her employment with the Company for Good Reason, within the 60-day period following the Date of Termination, then, in lieu of paying the Executive the Severance Amount and in addition to paying the Accrued Benefit, Company shall: (i) pay the Executive severance pay in a lump sum in cash (less applicable withholdings) in an amount equal to twelve (12) months of the Executive’s Base Salary (“</w:t>
      </w:r>
      <w:r>
        <w:rPr>
          <w:rFonts w:ascii="Times New Roman;sans-serif" w:hAnsi="Times New Roman;sans-serif"/>
          <w:b/>
          <w:color w:val="000000"/>
          <w:sz w:val="24"/>
          <w:u w:val="single"/>
        </w:rPr>
        <w:t>Change in Control Severance Amount</w:t>
      </w:r>
      <w:r>
        <w:rPr>
          <w:color w:val="000000"/>
        </w:rPr>
        <w:t>”</w:t>
      </w:r>
      <w:r>
        <w:rPr>
          <w:rFonts w:ascii="Times New Roman;sans-serif" w:hAnsi="Times New Roman;sans-serif"/>
          <w:b w:val="false"/>
          <w:color w:val="000000"/>
          <w:sz w:val="24"/>
        </w:rPr>
        <w:t xml:space="preserve">), payable within 60 days after the Date of Termination, but if that 60-day period extends over two calendar years, the Company shall make the payment in the second calendar year; (ii) pay the Executive a bonus payment equal to the Target Bonus for twelve (12) months of the year that Executive is employed, (iii) provided that the Executive timely elects COBRA coverage, reimburse the Executive for the COBRA premiums paid by the Executive, if any, for the continuation of coverage under the Executive’s then-existing group company health plan that the Executive and her dependents are eligible to receive for the earlier of (x) a period of up to twelve (12) months from the date of the Executive’s termination of employment, or (y) until the Executive becomes eligible to receive health insurance benefits under any other employer’s group health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plan; and (iv) cause all stock options and other stock-based awards granted after the Effective Date and held by the Executive to immediately accelerate, vest, and become fully exercisable or nonforfeitable.</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Additional Limitation.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Anything in this Agreement to the contrary notwithstanding, if the amount of any compensation, payment, acceleration, benefit,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w:t>
      </w:r>
      <w:r>
        <w:rPr>
          <w:rFonts w:ascii="Times New Roman;sans-serif" w:hAnsi="Times New Roman;sans-serif"/>
          <w:b/>
          <w:color w:val="000000"/>
          <w:sz w:val="24"/>
          <w:u w:val="single"/>
        </w:rPr>
        <w:t>Code</w:t>
      </w:r>
      <w:r>
        <w:rPr>
          <w:color w:val="000000"/>
        </w:rPr>
        <w:t>”</w:t>
      </w:r>
      <w:r>
        <w:rPr>
          <w:rFonts w:ascii="Times New Roman;sans-serif" w:hAnsi="Times New Roman;sans-serif"/>
          <w:b w:val="false"/>
          <w:color w:val="000000"/>
          <w:sz w:val="24"/>
        </w:rPr>
        <w:t>) and the applicable regulations thereunder (the “</w:t>
      </w:r>
      <w:r>
        <w:rPr>
          <w:rFonts w:ascii="Times New Roman;sans-serif" w:hAnsi="Times New Roman;sans-serif"/>
          <w:b/>
          <w:color w:val="000000"/>
          <w:sz w:val="24"/>
          <w:u w:val="single"/>
        </w:rPr>
        <w:t>Severance Payments</w:t>
      </w:r>
      <w:r>
        <w:rPr>
          <w:color w:val="000000"/>
        </w:rPr>
        <w:t>”</w:t>
      </w:r>
      <w:r>
        <w:rPr>
          <w:rFonts w:ascii="Times New Roman;sans-serif" w:hAnsi="Times New Roman;sans-serif"/>
          <w:b w:val="false"/>
          <w:color w:val="000000"/>
          <w:sz w:val="24"/>
        </w:rPr>
        <w:t>), would be subject to the excise tax imposed by Section 4999 of the Code, then the Severance Payments will be reduced (but not below zero) to the extent necessary so that the sum of all Severance Payments does not exceed the Threshold Amount (defined below), but if the after-tax amount the Executive would receive if there were no reduction pursuant to this section (including any federal, state, and local taxes) exceeds the after-tax amount the Executive would receive if the Severance Payments were reduced below the Threshold Amount, the Severance Payments will no longer be so reduced. If Severance Payments are required to be reduced, the Severance Payments will be reduced in the following order: (1) cash payments not subject to Section 409A of the Code; (2) cash payments subject to Section 409A of the Code; (3) equity-based payments and acceleration; and (4) non-cash forms of benefits.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For the purposes of this Section 6(c), “</w:t>
      </w:r>
      <w:r>
        <w:rPr>
          <w:rFonts w:ascii="Times New Roman;sans-serif" w:hAnsi="Times New Roman;sans-serif"/>
          <w:b/>
          <w:color w:val="000000"/>
          <w:sz w:val="24"/>
          <w:u w:val="single"/>
        </w:rPr>
        <w:t>Threshold Amount</w:t>
      </w:r>
      <w:r>
        <w:rPr>
          <w:color w:val="000000"/>
        </w:rPr>
        <w:t xml:space="preserve">” </w:t>
      </w:r>
      <w:r>
        <w:rPr>
          <w:rFonts w:ascii="Times New Roman;sans-serif" w:hAnsi="Times New Roman;sans-serif"/>
          <w:b w:val="false"/>
          <w:color w:val="000000"/>
          <w:sz w:val="24"/>
        </w:rPr>
        <w:t>means three times the Executive’s “base amount” within the meaning of Section 280G(b)(3) of the Code and the regulations promulgated thereunder less one dollar ($1.00).</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The determinations under this Section 6(c) will be made by a nationally recognized accounting firm selected by the Company (the “</w:t>
      </w:r>
      <w:r>
        <w:rPr>
          <w:rFonts w:ascii="Times New Roman;sans-serif" w:hAnsi="Times New Roman;sans-serif"/>
          <w:b/>
          <w:color w:val="000000"/>
          <w:sz w:val="24"/>
          <w:u w:val="single"/>
        </w:rPr>
        <w:t>Accounting Firm</w:t>
      </w:r>
      <w:r>
        <w:rPr>
          <w:color w:val="000000"/>
        </w:rPr>
        <w:t>”</w:t>
      </w:r>
      <w:r>
        <w:rPr>
          <w:rFonts w:ascii="Times New Roman;sans-serif" w:hAnsi="Times New Roman;sans-serif"/>
          <w:b w:val="false"/>
          <w:color w:val="000000"/>
          <w:sz w:val="24"/>
        </w:rPr>
        <w:t>), which must provide detailed supporting calculations both to the Company and the Executive within 15 business days of the Date of Termination, if applicable, or at such earlier time as is reasonably requested by the Company or the Executive.</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Change in Control Definition</w:t>
      </w:r>
      <w:r>
        <w:rPr>
          <w:rFonts w:ascii="Times New Roman;sans-serif" w:hAnsi="Times New Roman;sans-serif"/>
          <w:b w:val="false"/>
          <w:color w:val="000000"/>
          <w:sz w:val="24"/>
        </w:rPr>
        <w:t>. For purposes of this Section 6, “</w:t>
      </w:r>
      <w:r>
        <w:rPr>
          <w:rFonts w:ascii="Times New Roman;sans-serif" w:hAnsi="Times New Roman;sans-serif"/>
          <w:b/>
          <w:color w:val="000000"/>
          <w:sz w:val="24"/>
          <w:u w:val="single"/>
        </w:rPr>
        <w:t>Change in Control</w:t>
      </w:r>
      <w:r>
        <w:rPr>
          <w:color w:val="000000"/>
        </w:rPr>
        <w:t xml:space="preserve">” </w:t>
      </w:r>
      <w:r>
        <w:rPr>
          <w:rFonts w:ascii="Times New Roman;sans-serif" w:hAnsi="Times New Roman;sans-serif"/>
          <w:b w:val="false"/>
          <w:color w:val="000000"/>
          <w:sz w:val="24"/>
        </w:rPr>
        <w:t>means the consummation of any of the following:</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sale of all or substantially all of the assets of the Company or the Parent to an unrelated person or entity;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 merger, reorganization, or consolidation involving the Company or the Parent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the acquisition of all or a majority of the outstanding voting stock of the Company or the Parent in a single transaction or a series of related transactions by a person or group of persons;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any other acquisition of the business of the Company or the Parent, as determined by the Board;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but the Company’s initial public offering, any subsequent public offering, or another capital raising event, or a merger effected solely to change the Company’s domicile does not constitute a Change in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7.</w:t>
      </w:r>
      <w:r>
        <w:rPr>
          <w:rFonts w:ascii="Times New Roman;sans-serif" w:hAnsi="Times New Roman;sans-serif"/>
          <w:b w:val="false"/>
          <w:color w:val="000000"/>
          <w:sz w:val="24"/>
          <w:u w:val="single"/>
        </w:rPr>
        <w:t>Section 409A Compliance</w:t>
      </w:r>
      <w:r>
        <w:rPr>
          <w:rFonts w:ascii="Times New Roman;sans-serif" w:hAnsi="Times New Roman;sans-serif"/>
          <w:b w:val="false"/>
          <w:color w:val="000000"/>
          <w:sz w:val="24"/>
        </w:rPr>
        <w:t>. The following rules shall apply, to the extent necessary, with respect to distribution of the payments and benefits, if any, to be provided to the Executive under this Agreement. Subject to the provisions in this Section, the severance payments pursuant to this Agreement shall begin only upon the date of the Executive's “separation from service” (determined as set forth below) which occurs on or after the date of the Executive's termination of employment.</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b)It is intended that each installment of the severance payments and benefits provided under this Agreement shall be treated as a separate “payment” for purposes of Section 409 A of the Internal Revenue Code of 1986, as amended, and the guidance issued thereunder (“Section 409A”). Neither the Executive nor the Company shall have the right to accelerate or defer the delivery of any such payments or benefits except to the extent specifically permitted or required by Section 409A.</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c)If, as of the date of the Executive's “separation from service” from the Company, the Executive is not a “specified employee” (within the meaning of Section 409 A), then each installment of the severance payments and benefits shall be made on the dates and terms set forth in this Agreement.</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d)If, as of the date of the Executive's “separation from service” from the Company, the Executive is a “specified employee” (within the meaning of Section 409A), then: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in Section 409A) shall be treated as a short-term deferral within the meaning of Treasury Regulation Section 1.409A-l(b)(4) to the maximum extent permissible under Section 409A;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Each installment of the severance payments and benefits due under this Agreement that is not described in Section 7(d)(i) above and that would, absent this subsection, be paid within the six-month period following the Executive's “separation from service” from the Company shall not be paid until the date that is six months and one day after such separation from service (or, if earlier, the date of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 (b)(9)(iii) (relating to separation pay upon an involuntary separation from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installments that qualify for the exception under Treasury Regulation Section 1.409A-l(b)(9)(iii) must be paid no later than the last day of the second taxable year following the taxable year in which the separation from service occurs.</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e)The determination of whether and when the Executive's separation from service from the Company has occurred shall be made in a manner consistent with, and based on the presumptions set forth in, Treasury Regulation Section 1.409A-l(h). Solely for purposes of this Section, “Company” shall include all persons with whom the Company would be considered a single employer as determined under Treasury Regulation Section 1.409A-l(h)(3).</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g)Notwithstanding anything herein to the contrary, the Company shall have no liability to the Executive or to any other person if the payments and benefits provided in this Agreement that are intended to be exempt from or compliant with Section 409A are not so exempt or compliant.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8.</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xml:space="preserve">. Employee agrees to enter into the Company’s standard Employee Confidentiality and Proprietary Rights Agreement (the “Confidential Information Agreement”). Employee’s receipt of any benefits in connection with or following Employee’s termination will be subject to Employee continuing to comply with the terms of Confidential Information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9.</w:t>
      </w:r>
      <w:r>
        <w:rPr>
          <w:rFonts w:ascii="Times New Roman;sans-serif" w:hAnsi="Times New Roman;sans-serif"/>
          <w:b w:val="false"/>
          <w:color w:val="000000"/>
          <w:sz w:val="24"/>
          <w:u w:val="single"/>
        </w:rPr>
        <w:t>Cooperation; Other Documents; Non-Disclosure</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Litigation and Regulatory Cooperation</w:t>
      </w:r>
      <w:r>
        <w:rPr>
          <w:rFonts w:ascii="Times New Roman;sans-serif" w:hAnsi="Times New Roman;sans-serif"/>
          <w:b w:val="false"/>
          <w:color w:val="000000"/>
          <w:sz w:val="24"/>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took place while the Executive was employed by the Company. The Executive’s reasonable cooperation in connection with such claims or actions includes, but is not limited to, being available to meet with counsel to prepare for discovery or trial and to act as a witness on behalf of the Company at mutually convenient times. During and after the Executive’s employment, the Executive also shall reasonably cooperate with the Company in connection with any investigation or review of any federal, state, or local regulatory authority as any such investigation or review relates to events or occurrences that took place while the Executive was employed by the Company. The Company shall reasonably compensate Executive, in its sole discretion, for her time spent, and reimburse the Executive for any reasonable out-of-pocket expenses incurred, in connection with the Executive’s performance of obligations pursuant to this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Section 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Non-Disclosure</w:t>
      </w:r>
      <w:r>
        <w:rPr>
          <w:rFonts w:ascii="Times New Roman;sans-serif" w:hAnsi="Times New Roman;sans-serif"/>
          <w:b w:val="false"/>
          <w:color w:val="000000"/>
          <w:sz w:val="24"/>
        </w:rPr>
        <w:t>. The Executive shall use her reasonable efforts to maintain the confidentiality of the terms of this Agreement to the extent permitted by law, but the Executive may disclose the terms of this Agreement to the extent it is concerted activity under Section 7 of the National Labor Relations Act and to her immediate family members and to her legal, tax, and other advisors.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w:t>
      </w:r>
      <w:r>
        <w:rPr>
          <w:rFonts w:ascii="Times New Roman;sans-serif" w:hAnsi="Times New Roman;sans-serif"/>
          <w:b w:val="false"/>
          <w:color w:val="000000"/>
          <w:sz w:val="24"/>
          <w:u w:val="single"/>
        </w:rPr>
        <w:t>Arbitration of Disputes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Scope of Arbitration Requirement</w:t>
      </w:r>
      <w:r>
        <w:rPr>
          <w:rFonts w:ascii="Times New Roman;sans-serif" w:hAnsi="Times New Roman;sans-serif"/>
          <w:b w:val="false"/>
          <w:color w:val="000000"/>
          <w:sz w:val="24"/>
        </w:rPr>
        <w:t>. The Executive hereby waives her right to a trial before a judge or jury and agrees to arbitrate before a neutral arbitrator skilled in hearing similar disputes any and all claims or disputes arising out of this Agreement and any and all claims arising from or relating to her employment, including but not limited to claims against any current or former employee, director, or agent of the Company, claims of wrongful termination, retaliation, discrimination, harassment, breach of contract (including but not limited to disputes pertaining to the formation, validity, interpretation or effect of this Agreement), breach of the covenant of good faith and fair dealing, defamation, invasion of privacy, fraud, misrepresentation, constructive discharge or failure to provide a leave of absence, or claims regarding commissions, stock options or bonuses, infliction of emotional distress, or unfair business practices (each an “</w:t>
      </w:r>
      <w:r>
        <w:rPr>
          <w:rFonts w:ascii="Times New Roman;sans-serif" w:hAnsi="Times New Roman;sans-serif"/>
          <w:b/>
          <w:color w:val="000000"/>
          <w:sz w:val="24"/>
          <w:u w:val="single"/>
        </w:rPr>
        <w:t>Arbitrable Dispute</w:t>
      </w:r>
      <w:r>
        <w:rPr>
          <w:color w:val="000000"/>
        </w:rPr>
        <w:t>”</w:t>
      </w:r>
      <w:r>
        <w:rPr>
          <w:rFonts w:ascii="Times New Roman;sans-serif" w:hAnsi="Times New Roman;sans-serif"/>
          <w:b w:val="false"/>
          <w:color w:val="000000"/>
          <w:sz w:val="24"/>
        </w:rPr>
        <w:t>). Arbitration is the exclusive remedy for any Arbitrable Dispute, instead of any court or administrative action, unless the waiver of a certain court or administrative action is prohibited by law. Except as otherwise required under applicable law, the Executive hereby waives any right to assert an Arbitrable Dispute as a class action or representative action claim against the Company and agrees to only submit the Executive’s own, individual claims in arbitration and will not seek to represent the interests of any other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Procedure</w:t>
      </w:r>
      <w:r>
        <w:rPr>
          <w:rFonts w:ascii="Times New Roman;sans-serif" w:hAnsi="Times New Roman;sans-serif"/>
          <w:b w:val="false"/>
          <w:color w:val="000000"/>
          <w:sz w:val="24"/>
        </w:rPr>
        <w:t>. Any arbitration will be administered by the American Arbitration Association (“</w:t>
      </w:r>
      <w:r>
        <w:rPr>
          <w:rFonts w:ascii="Times New Roman;sans-serif" w:hAnsi="Times New Roman;sans-serif"/>
          <w:b/>
          <w:color w:val="000000"/>
          <w:sz w:val="24"/>
          <w:u w:val="single"/>
        </w:rPr>
        <w:t>AAA</w:t>
      </w:r>
      <w:r>
        <w:rPr>
          <w:color w:val="000000"/>
        </w:rPr>
        <w:t>”</w:t>
      </w:r>
      <w:r>
        <w:rPr>
          <w:rFonts w:ascii="Times New Roman;sans-serif" w:hAnsi="Times New Roman;sans-serif"/>
          <w:b w:val="false"/>
          <w:color w:val="000000"/>
          <w:sz w:val="24"/>
        </w:rPr>
        <w:t>) and the neutral arbitrator will be selected in a manner consistent with AAA’s National Rules For The Resolution of Employment Disputes (“</w:t>
      </w:r>
      <w:r>
        <w:rPr>
          <w:rFonts w:ascii="Times New Roman;sans-serif" w:hAnsi="Times New Roman;sans-serif"/>
          <w:b/>
          <w:color w:val="000000"/>
          <w:sz w:val="24"/>
          <w:u w:val="single"/>
        </w:rPr>
        <w:t>Applicable Arbitration Rules</w:t>
      </w:r>
      <w:r>
        <w:rPr>
          <w:color w:val="000000"/>
        </w:rPr>
        <w:t>”</w:t>
      </w:r>
      <w:r>
        <w:rPr>
          <w:rFonts w:ascii="Times New Roman;sans-serif" w:hAnsi="Times New Roman;sans-serif"/>
          <w:b w:val="false"/>
          <w:color w:val="000000"/>
          <w:sz w:val="24"/>
        </w:rPr>
        <w:t>). Any arbitration under this Agreement must be conducted in the Commonwealth of Pennsylvania, and the arbitrator must administer and conduct the arbitration in accordance with the Applicable Arbitration Rules, except that (i) the arbitrator must allow for the discovery authorized by the Pennsylvania Rules of Civil Procedure or the discovery that the arbitrator decides is necessary for the Parties to vindicate their respective claims or defenses, and (ii) presentation of evidence will be governed by the Pennsylvania Rules of Evidence. Within a reasonable time after the conclusion the arbitration proceedings, the arbitrator shall issue a written decision and must include the findings of fact and law that support that decision. The arbitrator has the power to award any remedies available under applicable law, and the arbitrator’s decision is final and binding on both Parties, except to the extent applicable law allows for judicial review of arbitration awards.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Costs</w:t>
      </w:r>
      <w:r>
        <w:rPr>
          <w:rFonts w:ascii="Times New Roman;sans-serif" w:hAnsi="Times New Roman;sans-serif"/>
          <w:b w:val="false"/>
          <w:color w:val="000000"/>
          <w:sz w:val="24"/>
        </w:rPr>
        <w:t>. The Company shall bear all the costs of arbitration, except that the Executive shall pay the first $125.00 of any filing fees associated with any arbitration the Executive initiates. Both Parties are responsible for their own attorneys’ fees, and the arbitrator may not award attorneys’ fees unless a statute or contract at issue specifically authorizes such an award.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Applicability</w:t>
      </w:r>
      <w:r>
        <w:rPr>
          <w:rFonts w:ascii="Times New Roman;sans-serif" w:hAnsi="Times New Roman;sans-serif"/>
          <w:b w:val="false"/>
          <w:color w:val="000000"/>
          <w:sz w:val="24"/>
        </w:rPr>
        <w:t>. This Section 10 does not apply to (i) workers’ compensation or unemployment insurance claims or (ii) claims concerning ownership, validity, infringement, misappropriation, disclosure, misuse, or enforceability of any confidential information, patent right, copyright, mask work, trademark, or any other trade secret or intellectual property held or sought by either the Executive or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Remedy</w:t>
      </w:r>
      <w:r>
        <w:rPr>
          <w:rFonts w:ascii="Times New Roman;sans-serif" w:hAnsi="Times New Roman;sans-serif"/>
          <w:b w:val="false"/>
          <w:color w:val="000000"/>
          <w:sz w:val="24"/>
        </w:rPr>
        <w:t xml:space="preserve">. Should any party institute any legal action or administrative proceeding against the other with respect to any claim waived by this Agreement, to the extent allowable by law, or pursue any Arbitrable Dispute by any method other than as set forth above, except to enforce the arbitration provisions and as expressly provided for in this Section 9, the responding party is entitled to recover from the initiating party all damages, costs, expenses, and attorneys’ fees incurred as a result of that action. This section shall not apply to workers compensation claims or unemployment benefits claims.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Consent to Jurisdiction</w:t>
      </w:r>
      <w:r>
        <w:rPr>
          <w:rFonts w:ascii="Times New Roman;sans-serif" w:hAnsi="Times New Roman;sans-serif"/>
          <w:b w:val="false"/>
          <w:color w:val="000000"/>
          <w:sz w:val="24"/>
        </w:rPr>
        <w:t>. To the extent that any court action is initiated to enforce Section 10 of this Agreement, the Parties hereby consent to the jurisdiction of any state court in the Commonwealth of Pennsylvania and any U.S. District Court sitting in the Commonwealth of Pennsylvania.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xml:space="preserve">. This Agreement, together with the Confidential Information Agreement executed concurrently herewith, constitute the entire agreement between the Parties with respect to the subject matter hereof and supersedes all prior agreements between the Parties concerning such subject matter. Without limiting the foregoing, the parties agree that any employment agreement, other than this Agreement, existing between the Parties as of the date hereof is hereby terminated and shall be of no force of effect.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All payments made by the Company to the Executive under this Agreement will be net of any tax or other amounts lawfully withheld by the Company under applicable law. Nothing in this Agreement is to be construed to obligate the Company to design or implement any compensation arrangement in a way that minimizes tax consequences for the Executive.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Successor to the Executive</w:t>
      </w:r>
      <w:r>
        <w:rPr>
          <w:rFonts w:ascii="Times New Roman;sans-serif" w:hAnsi="Times New Roman;sans-serif"/>
          <w:b w:val="false"/>
          <w:color w:val="000000"/>
          <w:sz w:val="24"/>
        </w:rPr>
        <w:t>. This Agreement inures to the benefit of and is enforceable by the Executive’s personal representatives, executors, administrators, heirs, distributees, devisees, and legatees. If the Executive dies after her termination of employment but prior to the completion by the Company of all payments due her under this Agreement, the Company shall continue the payments to the Executive’s beneficiary designated in writing to the Company prior to her death (or to her estate, if the Executive fails to make such a designation).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xml:space="preserve">. If any portion or provision of this Agreement is declared illegal or unenforceable by a court of competent jurisdiction, then the remainder of this Agreement, or the application of that portion or provision in circumstances other than those as to which it is so declared illegal or unenforceable, will not be affected by that declaration, and each portion and provision of this Agreement will continue to be valid and enforceable to the fullest extent permitted by law.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The provisions of this Agreement survive the termination of this Agreement and/or the termination of the Executive’s employment to the extent necessary to effectuate the intent of the Parties as expressed in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No waiver of any provision of this Agreement is effective unless made in writing and signed by the waiving party, and, in the case of the Company only after the waiver has been specifically approved by the Board. The failure of either party to require the performance of any term or obligation of this Agreement, or the waiver by either party of any breach of this Agreement, will not prevent any subsequent enforcement of such term or obligation or be deemed a waiver of any subsequent breach.</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18.</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19.</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be amended or modified only by a written instrument signed by the Executive and by a duly authorized representative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20.</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is a Pennsylvania contract and is to be construed under and be governed in all respects by the laws of the Commonwealth of Pennsylvania without giving effect to the conflict of laws principles of that state.</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21.</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22.</w:t>
      </w:r>
      <w:r>
        <w:rPr>
          <w:rFonts w:ascii="Times New Roman;sans-serif" w:hAnsi="Times New Roman;sans-serif"/>
          <w:b w:val="false"/>
          <w:color w:val="000000"/>
          <w:sz w:val="24"/>
          <w:u w:val="single"/>
        </w:rPr>
        <w:t>Successor to Company</w:t>
      </w:r>
      <w:r>
        <w:rPr>
          <w:rFonts w:ascii="Times New Roman;sans-serif" w:hAnsi="Times New Roman;sans-serif"/>
          <w:b w:val="false"/>
          <w:color w:val="000000"/>
          <w:sz w:val="24"/>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23.</w:t>
      </w:r>
      <w:r>
        <w:rPr>
          <w:rFonts w:ascii="Times New Roman;sans-serif" w:hAnsi="Times New Roman;sans-serif"/>
          <w:b w:val="false"/>
          <w:color w:val="000000"/>
          <w:sz w:val="24"/>
          <w:u w:val="single"/>
        </w:rPr>
        <w:t>Voluntary Nature of Agreement</w:t>
      </w:r>
      <w:r>
        <w:rPr>
          <w:rFonts w:ascii="Times New Roman;sans-serif" w:hAnsi="Times New Roman;sans-serif"/>
          <w:b w:val="false"/>
          <w:color w:val="000000"/>
          <w:sz w:val="24"/>
        </w:rPr>
        <w:t>. The Executive acknowledges and agrees that she is executing this Agreement voluntarily and without any duress or undue influence by the Company or anyone else. The Executive further acknowledges and agrees that she has carefully read this Agreement and that she has asked any questions needed for her to fully understand the terms, consequences, and binding effect of this Agreement. The Executive agrees that she has been provided an opportunity to seek the advice of an attorney of her choice before signing this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Parties are executing this Executive Agreement as of the date set forth in the introductory paragraph. </w:t>
        <w:br/>
        <w:br/>
      </w:r>
      <w:r>
        <w:rPr>
          <w:color w:val="000000"/>
        </w:rPr>
        <w:t>                            </w:t>
      </w:r>
      <w:r>
        <w:rPr>
          <w:rFonts w:ascii="Times New Roman;sans-serif" w:hAnsi="Times New Roman;sans-serif"/>
          <w:b/>
          <w:color w:val="000000"/>
          <w:sz w:val="24"/>
        </w:rPr>
        <w:t>ARBUTUS BIOPHARMA INC.</w:t>
      </w:r>
    </w:p>
    <w:p>
      <w:pPr>
        <w:pStyle w:val="TextBody"/>
        <w:bidi w:val="0"/>
        <w:spacing w:lineRule="auto" w:line="240" w:before="24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William Collier</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William Collier    </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 President &amp; Chief Executive Officer    </w:t>
      </w:r>
    </w:p>
    <w:p>
      <w:pPr>
        <w:pStyle w:val="TextBody"/>
        <w:bidi w:val="0"/>
        <w:spacing w:lineRule="auto" w:line="240" w:before="480" w:after="283"/>
        <w:jc w:val="both"/>
        <w:rPr>
          <w:rFonts w:ascii="Times New Roman;sans-serif" w:hAnsi="Times New Roman;sans-serif"/>
          <w:b/>
          <w:color w:val="000000"/>
          <w:sz w:val="24"/>
        </w:rPr>
      </w:pPr>
      <w:r>
        <w:rPr>
          <w:rFonts w:ascii="Times New Roman;sans-serif" w:hAnsi="Times New Roman;sans-serif"/>
          <w:b/>
          <w:color w:val="000000"/>
          <w:sz w:val="24"/>
        </w:rPr>
        <w:t>EXECUTIVE</w:t>
      </w:r>
    </w:p>
    <w:p>
      <w:pPr>
        <w:pStyle w:val="TextBody"/>
        <w:bidi w:val="0"/>
        <w:spacing w:lineRule="auto" w:line="240" w:before="48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Karen Sims</w:t>
      </w:r>
    </w:p>
    <w:p>
      <w:pPr>
        <w:pStyle w:val="TextBody"/>
        <w:bidi w:val="0"/>
        <w:spacing w:before="5" w:after="283"/>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Karen Sims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Executive Employment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480"/>
        <w:jc w:val="center"/>
        <w:rPr>
          <w:rFonts w:ascii="Times New Roman;sans-serif" w:hAnsi="Times New Roman;sans-serif"/>
          <w:b/>
          <w:color w:val="000000"/>
          <w:sz w:val="24"/>
          <w:u w:val="single"/>
        </w:rPr>
      </w:pPr>
      <w:r>
        <w:rPr>
          <w:rFonts w:ascii="Times New Roman;sans-serif" w:hAnsi="Times New Roman;sans-serif"/>
          <w:b/>
          <w:color w:val="000000"/>
          <w:sz w:val="24"/>
          <w:u w:val="single"/>
        </w:rPr>
        <w:t>GENERAL RELEASE LANGUAGE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Executive agrees, for herself, her spouse, heirs, executor or administrator, assigns, insurers, attorneys, and other persons or entities acting or purporting to act on her behalf (the “</w:t>
      </w:r>
      <w:r>
        <w:rPr>
          <w:rFonts w:ascii="Times New Roman;sans-serif" w:hAnsi="Times New Roman;sans-serif"/>
          <w:b/>
          <w:color w:val="000000"/>
          <w:sz w:val="24"/>
          <w:u w:val="single"/>
        </w:rPr>
        <w:t>Executive’s Parties</w:t>
      </w:r>
      <w:r>
        <w:rPr>
          <w:color w:val="000000"/>
        </w:rPr>
        <w:t>”</w:t>
      </w:r>
      <w:r>
        <w:rPr>
          <w:rFonts w:ascii="Times New Roman;sans-serif" w:hAnsi="Times New Roman;sans-serif"/>
          <w:b w:val="false"/>
          <w:color w:val="000000"/>
          <w:sz w:val="24"/>
        </w:rPr>
        <w:t>), to irrevocably and unconditionally release, acquit, and forever discharge, to the extent permissible by law,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Times New Roman;sans-serif" w:hAnsi="Times New Roman;sans-serif"/>
          <w:b/>
          <w:color w:val="000000"/>
          <w:sz w:val="24"/>
          <w:u w:val="single"/>
        </w:rPr>
        <w:t>Company’s Parties</w:t>
      </w:r>
      <w:r>
        <w:rPr>
          <w:color w:val="000000"/>
        </w:rPr>
        <w:t>”</w:t>
      </w:r>
      <w:r>
        <w:rPr>
          <w:rFonts w:ascii="Times New Roman;sans-serif" w:hAnsi="Times New Roman;sans-serif"/>
          <w:b w:val="false"/>
          <w:color w:val="000000"/>
          <w:sz w:val="24"/>
        </w:rPr>
        <w:t>), from any and all actions, causes of action, suits, claims, obligations, liabilities, debts, demands, contentions, damages, judgments, 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with the exception of workers compensation claims. This specifically includes, without limitation, any claim that the Executive has or has had under Title VII of the Civil Rights Act of 1964, as amended, the Age Discrimination in Employment Act, as amended, the Americans with Disabilities Act, as amended, and the Employee Retirement Income Security Act of 1974, as amended.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she is entitled to only the severance benefits and compensation set forth in this Agreement, and that all other claims for any other benefits or compensation are hereby waived, except those expressly stated in the preceding sentence.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hereby acknowledges her understanding that under this Agreement she is releasing any known or unknown claims she may have.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Executive expressly waives and relinquishes all rights and benefits under that section and any law of any jurisdiction of similar effect with respect to her release of claims.</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lineRule="auto" w:line="240" w:before="0" w:after="48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EXISTING CONFLICTS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applicable, Executive to describe, in specific terms, any ongoing business relationship with any organization. Please provide a copy of any agreement(s) you might have with said organization(s) that creates a business relationship described in Section 3 (d).</w:t>
      </w:r>
    </w:p>
    <w:p>
      <w:pPr>
        <w:pStyle w:val="TextBody"/>
        <w:bidi w:val="0"/>
        <w:spacing w:before="0" w:after="48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EXECUTIVE EMPLOYMENT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Executive Employment Agreement (“</w:t>
      </w:r>
      <w:r>
        <w:rPr>
          <w:rFonts w:ascii="Times New Roman;sans-serif" w:hAnsi="Times New Roman;sans-serif"/>
          <w:b/>
          <w:color w:val="000000"/>
          <w:sz w:val="24"/>
          <w:u w:val="single"/>
        </w:rPr>
        <w:t>Agreement</w:t>
      </w:r>
      <w:r>
        <w:rPr>
          <w:color w:val="000000"/>
        </w:rPr>
        <w:t>”</w:t>
      </w:r>
      <w:r>
        <w:rPr>
          <w:rFonts w:ascii="Times New Roman;sans-serif" w:hAnsi="Times New Roman;sans-serif"/>
          <w:b w:val="false"/>
          <w:color w:val="000000"/>
          <w:sz w:val="24"/>
        </w:rPr>
        <w:t>) is made effective as of July 10, 2023 (the “</w:t>
      </w:r>
      <w:r>
        <w:rPr>
          <w:rFonts w:ascii="Times New Roman;sans-serif" w:hAnsi="Times New Roman;sans-serif"/>
          <w:b/>
          <w:color w:val="000000"/>
          <w:sz w:val="24"/>
          <w:u w:val="single"/>
        </w:rPr>
        <w:t>Effective Date</w:t>
      </w:r>
      <w:r>
        <w:rPr>
          <w:color w:val="000000"/>
        </w:rPr>
        <w:t>”</w:t>
      </w:r>
      <w:r>
        <w:rPr>
          <w:rFonts w:ascii="Times New Roman;sans-serif" w:hAnsi="Times New Roman;sans-serif"/>
          <w:b w:val="false"/>
          <w:color w:val="000000"/>
          <w:sz w:val="24"/>
        </w:rPr>
        <w:t>) by and between Arbutus Biopharma Inc. (the “</w:t>
      </w:r>
      <w:r>
        <w:rPr>
          <w:rFonts w:ascii="Times New Roman;sans-serif" w:hAnsi="Times New Roman;sans-serif"/>
          <w:b/>
          <w:color w:val="000000"/>
          <w:sz w:val="24"/>
          <w:u w:val="single"/>
        </w:rPr>
        <w:t>Company</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J. Christopher Naftzger</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u w:val="single"/>
        </w:rPr>
        <w:t>Executive</w:t>
      </w:r>
      <w:r>
        <w:rPr>
          <w:color w:val="000000"/>
        </w:rPr>
        <w:t>”</w:t>
      </w:r>
      <w:r>
        <w:rPr>
          <w:rFonts w:ascii="Times New Roman;sans-serif" w:hAnsi="Times New Roman;sans-serif"/>
          <w:b w:val="false"/>
          <w:color w:val="000000"/>
          <w:sz w:val="24"/>
        </w:rPr>
        <w:t>) (together the “</w:t>
      </w:r>
      <w:r>
        <w:rPr>
          <w:rFonts w:ascii="Times New Roman;sans-serif" w:hAnsi="Times New Roman;sans-serif"/>
          <w:b/>
          <w:color w:val="000000"/>
          <w:sz w:val="24"/>
          <w:u w:val="single"/>
        </w:rPr>
        <w:t>Parties</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RECITALS</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A.WHEREAS, the Company desires to employ the Executive as General Counsel and Chief Compliance Officer in accordance with the provisions of this Agreement; and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B.WHEREAS, Executive desires to serve the Company and accept employment under the terms and conditions stated in this Agreement; and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C.WHEREAS, the Parties have freely negotiated the terms and conditions of this Agreement and have reached agreement on them.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THEREFORE, the Parties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w:t>
      </w:r>
      <w:r>
        <w:rPr>
          <w:rFonts w:ascii="Times New Roman;sans-serif" w:hAnsi="Times New Roman;sans-serif"/>
          <w:b w:val="false"/>
          <w:color w:val="000000"/>
          <w:sz w:val="24"/>
          <w:u w:val="single"/>
        </w:rPr>
        <w:t>Position and Duties</w:t>
      </w:r>
      <w:r>
        <w:rPr>
          <w:rFonts w:ascii="Times New Roman;sans-serif" w:hAnsi="Times New Roman;sans-serif"/>
          <w:b w:val="false"/>
          <w:color w:val="000000"/>
          <w:sz w:val="24"/>
        </w:rPr>
        <w:t xml:space="preserve">. The Executive will serve as General Counsel and Chief Compliance Officer of the Company and will have powers and duties consistent with such position as may from time to time be prescribed by the Chief Executive Officer of the Company. As General Counsel and Chief Compliance Officer of the Company, the Executive shall devote his full working time and efforts to the business and affairs of the Company. Notwithstanding the foregoing, the Executive may manage his personal investments or engage charitable or other community activities except as restricted or prohibited by the terms of a confidentiality agreement between the Executive and the Company and as long as those engagements, services and activities, individually or in the aggregate, do not interfere with the Executive’s performance of his duties to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2.</w:t>
      </w:r>
      <w:r>
        <w:rPr>
          <w:rFonts w:ascii="Times New Roman;sans-serif" w:hAnsi="Times New Roman;sans-serif"/>
          <w:b w:val="false"/>
          <w:color w:val="000000"/>
          <w:sz w:val="24"/>
          <w:u w:val="single"/>
        </w:rPr>
        <w:t>Compensation and Related Matters</w:t>
      </w:r>
      <w:r>
        <w:rPr>
          <w:rFonts w:ascii="Times New Roman;sans-serif" w:hAnsi="Times New Roman;sans-serif"/>
          <w:b w:val="false"/>
          <w:color w:val="000000"/>
          <w:sz w:val="24"/>
        </w:rPr>
        <w:t>.</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The Executive’s base salary will be US$415,000 per year. The Executive’s base salary will be reviewed annually by the Chief Executive Officer of the Company and is subject to increase but not decrease except for an across-the-board salary reduction affecting all senior executives of the Company. The base salary in effect at any given time is referred to as “</w:t>
      </w:r>
      <w:r>
        <w:rPr>
          <w:rFonts w:ascii="Times New Roman;sans-serif" w:hAnsi="Times New Roman;sans-serif"/>
          <w:b/>
          <w:color w:val="000000"/>
          <w:sz w:val="24"/>
          <w:u w:val="single"/>
        </w:rPr>
        <w:t>Base Salary</w:t>
      </w:r>
      <w:r>
        <w:rPr>
          <w:color w:val="000000"/>
        </w:rPr>
        <w:t xml:space="preserve">” </w:t>
      </w:r>
      <w:r>
        <w:rPr>
          <w:rFonts w:ascii="Times New Roman;sans-serif" w:hAnsi="Times New Roman;sans-serif"/>
          <w:b w:val="false"/>
          <w:color w:val="000000"/>
          <w:sz w:val="24"/>
        </w:rPr>
        <w:t>and this Agreement need not be modified to reflect a change in Base Salary. The Base Salary is subject to withholding and payable in a manner that is consistent with the Company’s usual payroll practices for senior executives.</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Bonus</w:t>
      </w:r>
      <w:r>
        <w:rPr>
          <w:rFonts w:ascii="Times New Roman;sans-serif" w:hAnsi="Times New Roman;sans-serif"/>
          <w:b w:val="false"/>
          <w:color w:val="000000"/>
          <w:sz w:val="24"/>
        </w:rPr>
        <w:t>. The Executive is eligible to be considered for an annual discretionary bonus of up to 40% of Base Salary (such bonus, the “</w:t>
      </w:r>
      <w:r>
        <w:rPr>
          <w:rFonts w:ascii="Times New Roman;sans-serif" w:hAnsi="Times New Roman;sans-serif"/>
          <w:b/>
          <w:color w:val="000000"/>
          <w:sz w:val="24"/>
        </w:rPr>
        <w:t>Target Bonus</w:t>
      </w:r>
      <w:r>
        <w:rPr>
          <w:color w:val="000000"/>
        </w:rPr>
        <w:t>”</w:t>
      </w:r>
      <w:r>
        <w:rPr>
          <w:rFonts w:ascii="Times New Roman;sans-serif" w:hAnsi="Times New Roman;sans-serif"/>
          <w:b w:val="false"/>
          <w:color w:val="000000"/>
          <w:sz w:val="24"/>
        </w:rPr>
        <w:t>). The Target Bonus shall be subject to the terms of the bonus plan and the approval of the Company’s Board of Directors (the “</w:t>
      </w:r>
      <w:r>
        <w:rPr>
          <w:rFonts w:ascii="Times New Roman;sans-serif" w:hAnsi="Times New Roman;sans-serif"/>
          <w:b/>
          <w:color w:val="000000"/>
          <w:sz w:val="24"/>
          <w:u w:val="single"/>
        </w:rPr>
        <w:t>Board</w:t>
      </w:r>
      <w:r>
        <w:rPr>
          <w:color w:val="000000"/>
        </w:rPr>
        <w:t>”</w:t>
      </w:r>
      <w:r>
        <w:rPr>
          <w:rFonts w:ascii="Times New Roman;sans-serif" w:hAnsi="Times New Roman;sans-serif"/>
          <w:b w:val="false"/>
          <w:color w:val="000000"/>
          <w:sz w:val="24"/>
        </w:rPr>
        <w:t>), in its sole discretion, on an annual basis.</w:t>
      </w:r>
      <w:r>
        <w:rPr>
          <w:color w:val="000000"/>
          <w:u w:val="single"/>
        </w:rPr>
        <w:t xml:space="preserv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The Executive is entitled to receive prompt reimbursement for all reasonable expenses incurred by him in performing services under this Agreement, in accordance with the policies and procedures then in effect and established by the Company for its senior executives.</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Other Benefits</w:t>
      </w:r>
      <w:r>
        <w:rPr>
          <w:rFonts w:ascii="Times New Roman;sans-serif" w:hAnsi="Times New Roman;sans-serif"/>
          <w:b w:val="false"/>
          <w:color w:val="000000"/>
          <w:sz w:val="24"/>
        </w:rPr>
        <w:t xml:space="preserve">. The Executive is entitled to participate in or receive benefits consistent with other senior executives under the Company’s employee benefit plans as they may be adopted and amended from time to time, subject to the terms and conditions of those employee benefit plans.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Equity Compensation</w:t>
      </w:r>
      <w:r>
        <w:rPr>
          <w:rFonts w:ascii="Times New Roman;sans-serif" w:hAnsi="Times New Roman;sans-serif"/>
          <w:b w:val="false"/>
          <w:color w:val="000000"/>
          <w:sz w:val="24"/>
        </w:rPr>
        <w:t xml:space="preserve">. Subject to the discretionary approval of the Company’s Board of Directors, and in accordance with the Company’s annual performance and compensation review process, the Executive shall be eligible to receive equity awards under the Arbutus Biopharma Corporation 2016 Omnibus Share and Incentive Plan and or any other similar equity incentive plan to the same extent as other executives of the Company. The Company’s President and CEO will promptly recommend to the Board that the Executive receive an options grant in the amount of 500,000 shares of the Company, as an inducement award under applicable rules of The Nasdaq Stock Market provided such award will be subject to the terms of the Equity Plan, the terms of a notice of grant and any other terms as may be required by the Board.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Paid Time Off</w:t>
      </w:r>
      <w:r>
        <w:rPr>
          <w:rFonts w:ascii="Times New Roman;sans-serif" w:hAnsi="Times New Roman;sans-serif"/>
          <w:b w:val="false"/>
          <w:color w:val="000000"/>
          <w:sz w:val="24"/>
        </w:rPr>
        <w:t xml:space="preserve">. The Executive is entitled to paid holidays and PTO days each year, in an amount determined in accordance with and subject to the Company’s applicable policies in effect, and as may be amended from time to time. PTO may be taken at such times and intervals as the Executive shall determine, subject to the business needs of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3.</w:t>
      </w:r>
      <w:r>
        <w:rPr>
          <w:rFonts w:ascii="Times New Roman;sans-serif" w:hAnsi="Times New Roman;sans-serif"/>
          <w:b w:val="false"/>
          <w:color w:val="000000"/>
          <w:sz w:val="24"/>
          <w:u w:val="single"/>
        </w:rPr>
        <w:t>Non-Competition and Non-Solicitation</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Executive acknowledges that the Company’s industry is highly competitive and employees leaving the employ of the Company have the ability to cause significant damage to the Company’s interests if they join a competing business immediately upon leaving the Company.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Definitions: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rPr>
        <w:t>Affiliate” means any person or entity directly or indirectly controlling, controlled by or under common control with the Company, where control may be by either management authority or equity interest.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color w:val="000000"/>
        </w:rPr>
        <w:t>“</w:t>
      </w:r>
      <w:r>
        <w:rPr>
          <w:rFonts w:ascii="Times New Roman;sans-serif" w:hAnsi="Times New Roman;sans-serif"/>
          <w:b w:val="false"/>
          <w:color w:val="000000"/>
          <w:sz w:val="24"/>
        </w:rPr>
        <w:t>Business” or “Business of the Company” means (a) researching, developing, producing and marketing any treatment for hepatitis B virus infection in humans or (b) any other treatment area in which the Company has an active research and development program on the date this Agreement terminates and in connection with which the Executive directly provided service or had direct supervisory responsibilities.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color w:val="000000"/>
        </w:rPr>
        <w:t>“</w:t>
      </w:r>
      <w:r>
        <w:rPr>
          <w:rFonts w:ascii="Times New Roman;sans-serif" w:hAnsi="Times New Roman;sans-serif"/>
          <w:b w:val="false"/>
          <w:color w:val="000000"/>
          <w:sz w:val="24"/>
        </w:rPr>
        <w:t>Competing Business” means any endeavor, activity or business which is competitive in any material way with the Business of the Company worldwide.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color w:val="000000"/>
        </w:rPr>
        <w:t>“</w:t>
      </w:r>
      <w:r>
        <w:rPr>
          <w:rFonts w:ascii="Times New Roman;sans-serif" w:hAnsi="Times New Roman;sans-serif"/>
          <w:b w:val="false"/>
          <w:color w:val="000000"/>
          <w:sz w:val="24"/>
        </w:rPr>
        <w:t>Contact” means any person, firm, corporation or other entity that was a client, customer, supplier, principal, shareholder, investor, collaborator, strategic partner, licensee, contact or prospect of the Company (or of its partners, funders or Affiliates) with whom the Executive dealt or otherwise became aware of during the term of his employment in any capacity with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color w:val="000000"/>
        </w:rPr>
        <w:t>“</w:t>
      </w:r>
      <w:r>
        <w:rPr>
          <w:rFonts w:ascii="Times New Roman;sans-serif" w:hAnsi="Times New Roman;sans-serif"/>
          <w:b w:val="false"/>
          <w:color w:val="000000"/>
          <w:sz w:val="24"/>
        </w:rPr>
        <w:t>Restricted Period” means the twelve (12) month period commencing immediately after the Executive’s employment terminates.</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Reasonableness</w:t>
      </w:r>
      <w:r>
        <w:rPr>
          <w:rFonts w:ascii="Times New Roman;sans-serif" w:hAnsi="Times New Roman;sans-serif"/>
          <w:b w:val="false"/>
          <w:color w:val="000000"/>
          <w:sz w:val="24"/>
        </w:rPr>
        <w:t>. The Executive hereby acknowledges and agrees that: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both before and since the Effective Date the Company has operated and competed and will operate and compete worldwide, with respect to the Business of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competitors of the Company and the Business are located worldwide;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in order to protect the Company adequately, any enjoinder of competition would have to apply to any country in which the Company, during the term of the Executive’s employment, had material business relationships;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in light of the foregoing, the provisions of this Section 3 are reasonable and necessary for the proper protection of the Business of the Company.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Restrictive Covenant</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attached hereto, during the term of the Executive’s employment and for the Restricted Period after the termination thereof, the Executive shall not, without the advance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Exception</w:t>
      </w:r>
      <w:r>
        <w:rPr>
          <w:rFonts w:ascii="Times New Roman;sans-serif" w:hAnsi="Times New Roman;sans-serif"/>
          <w:b w:val="false"/>
          <w:color w:val="000000"/>
          <w:sz w:val="24"/>
        </w:rPr>
        <w:t>. The Executive shall not be in default of Section 3(d) by virtue of the Executive: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following the termination of employment, holding, strictly for portfolio purposes and as a passive investor, no more than five percent (5%) of the issued and outstanding shares of, or any other interest in, any corporation or other entity that is a Competing Business;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during the term of his employment, holding, strictly for portfolio purposes and as a passive investor, issued and outstanding shares of, or any other interest in, any corporation or other entity, the business of which corporation or other entity is in the same Business as the Company provided such corporation is not a Competing Business, and provided further that the Executive first obtains the Company’s written consent, which consent will not be unreasonably withheld.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Executive holds issued and outstanding shares or any other interest in a corporation or other entity pursuant to Section 3(e)(ii) above and following the acquisition of such shares or other interest the business of the corporation or other entity becomes a Competing Business, the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Executive will promptly dispose of the Executive’s shares or other interest in such corporation or other entity.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The Executive shall not, during the term of his employment and for the Restricted Period after the termination thereof for any reason, whether legal or illegal, either individually or in partnership or jointly or in conjunction with any person, firm, corporation or other entity, as principal, agent, consultant, advisor, employee, shareholder or in any manner whatsoever, without the prior written and informed consent of the Company, directly or indirectly: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solicit, induce or encourage any Contact to curtail or cease its relationship with the Company, for any purpose which is competitive with the Business;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accept (or procure or assist the acceptance of) any business from any Contact if such business is competitive with the Business;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be employed by or supply (or procure or assist the supply of) any goods or services to any Contact for any purpose which the Executive knows or has reason to know is competitive with the Business;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employ, engage, offer employment or engagement to or solicit the employment or engagement of or otherwise entice away from or solicit, induce or encourage to leave the employment or engagement of the Company, any individual who is employed or engaged by the Company at the time of any such offer, solicitation or enticement whether or not such individual would commit any breach of his contract or terms of employment or engagement by leaving the employ or the engagement of the Company, provided that the Executive shall be permitted, solely in a personal capacity, to provide letters of reference for individuals who are employed by the Company.</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Validity</w:t>
      </w:r>
      <w:r>
        <w:rPr>
          <w:rFonts w:ascii="Times New Roman;sans-serif" w:hAnsi="Times New Roman;sans-serif"/>
          <w:b w:val="false"/>
          <w:color w:val="000000"/>
          <w:sz w:val="24"/>
        </w:rPr>
        <w:t>. The Executive expressly recognizes and acknowledges that it is the intent of the parties that the Executive’s activities following the termination of the Executive’s employment with the Company be restricted in the manner described in this Section 3, and acknowledges that good, valuable, and sufficient consideration has been provided in exchange for such restrictions. The Executive agrees that should any of the restrictions contained in this Section 3 be found to be unreasonable to any extent by a court of competent 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 jurisdiction, requested to make such a declaration, in order to ensure that the intention of the parties is given the greatest possible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4.</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The Executive’s employment by the Company may be terminated without any breach of this Agreement under the following circumstances:</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The Executive’s employment hereunder terminates upon his death.</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xml:space="preserve">. The Company may terminate the Executive’s employment if he is disabled (as determined by the Chief Executive Officer) in a manner that renders the Executive unable to perform the essential functions of his then existing position or positions under this Agreement with or without reasonable accommodation for a period of six months or more. Nothing in this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4.b) is to be construed to waive the Executive’s rights, if any, under existing law including, without limitation, the Family and Medical Leave Act of 1993, 29 U.S.C. §2601 et seq., and the Americans with Disabilities Act, 42 U.S.C. §12101 et seq.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by Company for Cause</w:t>
      </w:r>
      <w:r>
        <w:rPr>
          <w:rFonts w:ascii="Times New Roman;sans-serif" w:hAnsi="Times New Roman;sans-serif"/>
          <w:b w:val="false"/>
          <w:color w:val="000000"/>
          <w:sz w:val="24"/>
        </w:rPr>
        <w:t xml:space="preserve">. For purposes of this Agreement, “For Cause” shall mean: (i) Employee is charged with a felony (excluding a DUI) or any violation of state or federal securities laws; (ii) Employee willfully engages in conduct that is in bad faith and materially injurious to the Company, including but not limited to, misappropriation of trade secrets, fraud or embezzlement; (iii) Employee commits a material breach of this Agreement; (iv) Employee willfully refuses to implement or follow a lawful policy or directive of the Company; or (v) Employee engages in misfeasance or malfeasance demonstrated by a pattern of failure to perform job duties diligently and professionally. The Company may terminate Employee’s employment For Cause at any time, without any advance notice. The Company shall pay Employee all compensation to which Employee is entitled up through the date of termination, subject to any other rights or remedies of the Company under law; and thereafter all obligations of the Company under this Agreement shall cease.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Termination by the Company Without Cause or by the Executive for Good Reason</w:t>
      </w:r>
      <w:r>
        <w:rPr>
          <w:rFonts w:ascii="Times New Roman;sans-serif" w:hAnsi="Times New Roman;sans-serif"/>
          <w:b w:val="false"/>
          <w:color w:val="000000"/>
          <w:sz w:val="24"/>
        </w:rPr>
        <w:t>. The Company may terminate the Executive’s employment under this Agreement at any time without Cause and the Executive may terminate his employment with Good Reason. For purposes of</w:t>
      </w:r>
      <w:r>
        <w:rPr>
          <w:color w:val="000000"/>
          <w:u w:val="single"/>
        </w:rPr>
        <w:t xml:space="preserve"> </w:t>
      </w:r>
      <w:r>
        <w:rPr>
          <w:rFonts w:ascii="Times New Roman;sans-serif" w:hAnsi="Times New Roman;sans-serif"/>
          <w:b w:val="false"/>
          <w:color w:val="000000"/>
          <w:sz w:val="24"/>
        </w:rPr>
        <w:t>this Agreement, “Good Reason” means the occurrence of any of the following events without the Executive's prior written consent: (i) the failure of the Executive to be appointed to the position set forth in Section 1, if not promptly cured after written notice; (ii) a reduction by the Company of the Executive's Base Salary or Target Bonus percentage, except for an across-the-board salary reduction affecting all senior executives of the Company; (iii) a relocation of Employee’s principal place of employment by more than fifty (50) miles; (iv) a termination of the Executive’s employment by the Company; and (v) a substantial and adverse change to the Executive’s duties and responsibilities. For purposes of this Agreement, except for the Company terminating the Executive’s employment, termination for Good Reason requires Executive to comply with the “Good Reason Process,” which means that (i) the Executive reasonably determines in good faith that a Good Reason condition has occurred; (ii) the Executive notifies the Company in writing of the first occurrence of the Good Reason condition within 30 days of the first occurrence of such condition; (iii) the Executive cooperates in good faith with the Company’s efforts, for a period of not less than 30 days following that notice (the “</w:t>
      </w:r>
      <w:r>
        <w:rPr>
          <w:rFonts w:ascii="Times New Roman;sans-serif" w:hAnsi="Times New Roman;sans-serif"/>
          <w:b/>
          <w:color w:val="000000"/>
          <w:sz w:val="24"/>
          <w:u w:val="single"/>
        </w:rPr>
        <w:t>Cure Period</w:t>
      </w:r>
      <w:r>
        <w:rPr>
          <w:color w:val="000000"/>
        </w:rPr>
        <w:t>”</w:t>
      </w:r>
      <w:r>
        <w:rPr>
          <w:rFonts w:ascii="Times New Roman;sans-serif" w:hAnsi="Times New Roman;sans-serif"/>
          <w:b w:val="false"/>
          <w:color w:val="000000"/>
          <w:sz w:val="24"/>
        </w:rPr>
        <w:t xml:space="preserve">) to remedy the condition; (iv) notwithstanding the Company’s efforts, the Good Reason condition continues to exist; and (v) the Executive terminates his employment within 30 days after the end of the Cure Period. If the Company cures the Good Reason condition during the Cure Period, Good Reason is deemed not to have occurred.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termination by the Company of the Executive’s employment under this Agreement that does not constitute a termination for Cause under Section 4.c) and does not result from the death or disability of the Executive under Section 4(a) or (b) is a termination without Cause.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Termination by the Executive</w:t>
      </w:r>
      <w:r>
        <w:rPr>
          <w:rFonts w:ascii="Times New Roman;sans-serif" w:hAnsi="Times New Roman;sans-serif"/>
          <w:b w:val="false"/>
          <w:color w:val="000000"/>
          <w:sz w:val="24"/>
        </w:rPr>
        <w:t xml:space="preserve">. Executive may terminate employment with the Company without Good Reason at any time for any reason or no reason at all,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upon thirty (30) days’ advance written notice. The Company shall have the option, in its sole discretion, to make Executive’s termination effective or to direct the Executive to perform no work and/or remain off premises at any time prior to the end of such notice period as long as the Company pays Executive all compensation to which Executive is entitled up through the last day of the 30 day notice period.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Except for termination as specified in Section 4.a), any termination of the Executive’s employment by the Company or any termination of his employment by the Executive must be communicated by written Notice of Termination to the other party. For purposes of this Agreement, a “</w:t>
      </w:r>
      <w:r>
        <w:rPr>
          <w:rFonts w:ascii="Times New Roman;sans-serif" w:hAnsi="Times New Roman;sans-serif"/>
          <w:b/>
          <w:color w:val="000000"/>
          <w:sz w:val="24"/>
          <w:u w:val="single"/>
        </w:rPr>
        <w:t>Notice of Termination</w:t>
      </w:r>
      <w:r>
        <w:rPr>
          <w:color w:val="000000"/>
        </w:rPr>
        <w:t xml:space="preserve">” </w:t>
      </w:r>
      <w:r>
        <w:rPr>
          <w:rFonts w:ascii="Times New Roman;sans-serif" w:hAnsi="Times New Roman;sans-serif"/>
          <w:b w:val="false"/>
          <w:color w:val="000000"/>
          <w:sz w:val="24"/>
        </w:rPr>
        <w:t>means a notice that indicates the specific termination provision in this Agreement that the termination is based upon.</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Date of Termination</w:t>
      </w:r>
      <w:r>
        <w:rPr>
          <w:rFonts w:ascii="Times New Roman;sans-serif" w:hAnsi="Times New Roman;sans-serif"/>
          <w:b w:val="false"/>
          <w:color w:val="000000"/>
          <w:sz w:val="24"/>
        </w:rPr>
        <w:t>. “</w:t>
      </w:r>
      <w:r>
        <w:rPr>
          <w:rFonts w:ascii="Times New Roman;sans-serif" w:hAnsi="Times New Roman;sans-serif"/>
          <w:b/>
          <w:color w:val="000000"/>
          <w:sz w:val="24"/>
          <w:u w:val="single"/>
        </w:rPr>
        <w:t>Date of Termination</w:t>
      </w:r>
      <w:r>
        <w:rPr>
          <w:color w:val="000000"/>
        </w:rPr>
        <w:t xml:space="preserve">” </w:t>
      </w:r>
      <w:r>
        <w:rPr>
          <w:rFonts w:ascii="Times New Roman;sans-serif" w:hAnsi="Times New Roman;sans-serif"/>
          <w:b w:val="false"/>
          <w:color w:val="000000"/>
          <w:sz w:val="24"/>
        </w:rPr>
        <w:t xml:space="preserve">means: (i) if the Executive’s employment is terminated by his death, the date of his death; (ii) if the Executive’s employment is terminated on account of disability under Section 4.b) or by the Company for Cause under Section 4.c), or by the Company without Cause under Section 4.d) on the date the Notice of Termination is given; (iii) if the Executive terminates his employment under Section 4.e) without Good Reason, on the date specified by the Executive in the notice (which shall be at least thirty (30) days after the date of the Notice of Termination) and, if no such date is specified, 30 days after the date of the Notice of Termination; and (iv) if the Executive terminates his employment under Section 4.e) with Good Reason, the date on which a Notice of Termination is given after the end of the Cure Period. Notwithstanding the foregoing, if the Executive gives a Notice of Termination to the Company that takes effect at a future date, the Company may unilaterally accelerate the Date of Termination and that acceleration will not be deemed a termination by the Company for purposes of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5.</w:t>
      </w:r>
      <w:r>
        <w:rPr>
          <w:rFonts w:ascii="Times New Roman;sans-serif" w:hAnsi="Times New Roman;sans-serif"/>
          <w:b w:val="false"/>
          <w:color w:val="000000"/>
          <w:sz w:val="24"/>
          <w:u w:val="single"/>
        </w:rPr>
        <w:t>Compensation Upon Termination</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Termination Generally</w:t>
      </w:r>
      <w:r>
        <w:rPr>
          <w:rFonts w:ascii="Times New Roman;sans-serif" w:hAnsi="Times New Roman;sans-serif"/>
          <w:b w:val="false"/>
          <w:color w:val="000000"/>
          <w:sz w:val="24"/>
        </w:rPr>
        <w:t>. If the Executive’s employment with the Company is terminated for any reason, the Company shall pay or provide to the Executive (or to his authorized representative or estate), (i) unpaid expense reimbursements submitted to the Company in accordance with the Company’s policies; (ii) accrued but unused vacation to the extent payment is required by law or Company policy; (iii) any vested benefits the Executive may have under any employee benefit plan of the Company; (iv) any earned but unpaid Base Salary and (v) any earned but unpaid annual Target Bonus, for the prior fiscal year (collectively the “</w:t>
      </w:r>
      <w:r>
        <w:rPr>
          <w:rFonts w:ascii="Times New Roman;sans-serif" w:hAnsi="Times New Roman;sans-serif"/>
          <w:b/>
          <w:color w:val="000000"/>
          <w:sz w:val="24"/>
          <w:u w:val="single"/>
        </w:rPr>
        <w:t>Accrued Benefit</w:t>
      </w:r>
      <w:r>
        <w:rPr>
          <w:color w:val="000000"/>
        </w:rPr>
        <w:t>”</w:t>
      </w:r>
      <w:r>
        <w:rPr>
          <w:rFonts w:ascii="Times New Roman;sans-serif" w:hAnsi="Times New Roman;sans-serif"/>
          <w:b w:val="false"/>
          <w:color w:val="000000"/>
          <w:sz w:val="24"/>
        </w:rPr>
        <w:t xml:space="preserve">) on or before the time required by law, but in no event more than 30 days after the Executive’s Date of Termination. The Executive shall not be entitled to any other salary, compensation, bonus (or pro rata share thereof) or benefits from the Company thereafter, except as otherwise specifically provided hereunder, under the Company’s employee benefit plans or as expressly required by applicable law.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 xml:space="preserve">Termination by the Company Without Cause or by the Executive for Good Reason. </w:t>
      </w:r>
      <w:r>
        <w:rPr>
          <w:rFonts w:ascii="Times New Roman;sans-serif" w:hAnsi="Times New Roman;sans-serif"/>
          <w:b w:val="false"/>
          <w:color w:val="000000"/>
          <w:sz w:val="24"/>
        </w:rPr>
        <w:t xml:space="preserve">If the Executive’s employment is terminated by the Company without Cause or by the Executive for Good Reason, then the Company shall pay the Executive his Accrued Benefit as of the Date of Termination. In addition, subject to the Executive providing the Company with a fully effective general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release of claims in a form and manner satisfactory to the Company that includes but is not limited to the terms set forth in the attached Exhibit A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within the 60-day period following the Date of Termination, the Company shall pay the Executive (i) severance pay in a lump sum in cash in an amount equal to twelve (12) months of Executive’s Base Salary, less lawful withholding (as applicable, “</w:t>
      </w:r>
      <w:r>
        <w:rPr>
          <w:rFonts w:ascii="Times New Roman;sans-serif" w:hAnsi="Times New Roman;sans-serif"/>
          <w:b/>
          <w:color w:val="000000"/>
          <w:sz w:val="24"/>
        </w:rPr>
        <w:t>Severance Amount</w:t>
      </w:r>
      <w:r>
        <w:rPr>
          <w:color w:val="000000"/>
        </w:rPr>
        <w:t>”</w:t>
      </w:r>
      <w:r>
        <w:rPr>
          <w:rFonts w:ascii="Times New Roman;sans-serif" w:hAnsi="Times New Roman;sans-serif"/>
          <w:b w:val="false"/>
          <w:color w:val="000000"/>
          <w:sz w:val="24"/>
        </w:rPr>
        <w:t>), payable within 60 days after the Date of Termination, but if that 60-day period extends over two calendar years, the Company shall make the payment in the second calendar year, and (ii) provided that the Executive timely elects COBRA coverage, reimburse the Executive for the COBRA premiums paid by the Executive, if any, for the continuation of coverage under the Executive’s then-existing group company health plan that the Executive and his dependents are eligible to receive for the earlier of a period of up to twelve (12) months from the date of the Executive’s termination of employment, or until the Executive becomes eligible to receive health insurance benefits under any other employer’s group health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6.</w:t>
      </w:r>
      <w:r>
        <w:rPr>
          <w:rFonts w:ascii="Times New Roman;sans-serif" w:hAnsi="Times New Roman;sans-serif"/>
          <w:b w:val="false"/>
          <w:color w:val="000000"/>
          <w:sz w:val="24"/>
          <w:u w:val="single"/>
        </w:rPr>
        <w:t>Change in Control Provisions</w:t>
      </w:r>
      <w:r>
        <w:rPr>
          <w:rFonts w:ascii="Times New Roman;sans-serif" w:hAnsi="Times New Roman;sans-serif"/>
          <w:b w:val="false"/>
          <w:color w:val="000000"/>
          <w:sz w:val="24"/>
        </w:rPr>
        <w:t>. The provisions of this Section 6 set forth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Change in Control. The provisions of this Section 6 apply in addition to, and/or modify, the provisions of Section 5(b) regarding severance pay and benefits upon a termination of employment, if applicable, if the termination of employment occurs within 12 months after the occurrence of a Change in Control. These provisions are subject to the Executive providing (and not revoking) the Company with a fully effective Release. These provisions terminate and are of no further force or effect beginning 12 months after the occurrence of such a Change in Control.</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Severance</w:t>
      </w:r>
      <w:r>
        <w:rPr>
          <w:rFonts w:ascii="Times New Roman;sans-serif" w:hAnsi="Times New Roman;sans-serif"/>
          <w:b w:val="false"/>
          <w:color w:val="000000"/>
          <w:sz w:val="24"/>
        </w:rPr>
        <w:t>. If within 12 months following a Change of Control (i) the Company terminates the Executive’s employment with the Company other than for Cause, or (ii) the Executive resigns from his employment with the Company for Good Reason, within the 60-day period following the Date of Termination, then, in lieu of paying the Executive the Severance Amount and in addition to paying the Accrued Benefit, Company shall: (i) pay the Executive severance pay in a lump sum in cash (less applicable withholdings) in an amount equal to twelve (12) months of the Executive’s Base Salary (“</w:t>
      </w:r>
      <w:r>
        <w:rPr>
          <w:rFonts w:ascii="Times New Roman;sans-serif" w:hAnsi="Times New Roman;sans-serif"/>
          <w:b/>
          <w:color w:val="000000"/>
          <w:sz w:val="24"/>
          <w:u w:val="single"/>
        </w:rPr>
        <w:t>Change in Control Severance Amount</w:t>
      </w:r>
      <w:r>
        <w:rPr>
          <w:color w:val="000000"/>
        </w:rPr>
        <w:t>”</w:t>
      </w:r>
      <w:r>
        <w:rPr>
          <w:rFonts w:ascii="Times New Roman;sans-serif" w:hAnsi="Times New Roman;sans-serif"/>
          <w:b w:val="false"/>
          <w:color w:val="000000"/>
          <w:sz w:val="24"/>
        </w:rPr>
        <w:t>), payable within 60 days after the Date of Termination, but if that 60-day period extends over two calendar years, the Company shall make the payment in the second calendar year; (ii) pay the Executive a bonus payment equal to the Target Bonus for twelve (12) months of the year that Executive is employed, (iii) provided that the Executive timely elects COBRA coverage, reimburse the Executive for the COBRA premiums paid by the Executive, if any, for the continuation of coverage under the Executive’s then-existing group company health plan that the Executive and his dependents are eligible to receive for the earlier of (x) a period of up to twelve (12) months from the date of the Executive’s termination of employment, or (y) until the Executive becomes eligible to receive health insurance benefits under any other employer’s group health plan; and (iv) cause all stock options and other stock-based awards granted after the Effective Date and held by the Executive to immediately accelerate, vest, and become fully exercisable or nonforfeitable.</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Additional Limitation.</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Anything in this Agreement to the contrary notwithstanding, if the amount of any compensation, payment, acceleration, benefit,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w:t>
      </w:r>
      <w:r>
        <w:rPr>
          <w:rFonts w:ascii="Times New Roman;sans-serif" w:hAnsi="Times New Roman;sans-serif"/>
          <w:b/>
          <w:color w:val="000000"/>
          <w:sz w:val="24"/>
          <w:u w:val="single"/>
        </w:rPr>
        <w:t>Code</w:t>
      </w:r>
      <w:r>
        <w:rPr>
          <w:color w:val="000000"/>
        </w:rPr>
        <w:t>”</w:t>
      </w:r>
      <w:r>
        <w:rPr>
          <w:rFonts w:ascii="Times New Roman;sans-serif" w:hAnsi="Times New Roman;sans-serif"/>
          <w:b w:val="false"/>
          <w:color w:val="000000"/>
          <w:sz w:val="24"/>
        </w:rPr>
        <w:t>) and the applicable regulations thereunder (the “</w:t>
      </w:r>
      <w:r>
        <w:rPr>
          <w:rFonts w:ascii="Times New Roman;sans-serif" w:hAnsi="Times New Roman;sans-serif"/>
          <w:b/>
          <w:color w:val="000000"/>
          <w:sz w:val="24"/>
          <w:u w:val="single"/>
        </w:rPr>
        <w:t>Severance Payments</w:t>
      </w:r>
      <w:r>
        <w:rPr>
          <w:color w:val="000000"/>
        </w:rPr>
        <w:t>”</w:t>
      </w:r>
      <w:r>
        <w:rPr>
          <w:rFonts w:ascii="Times New Roman;sans-serif" w:hAnsi="Times New Roman;sans-serif"/>
          <w:b w:val="false"/>
          <w:color w:val="000000"/>
          <w:sz w:val="24"/>
        </w:rPr>
        <w:t>), would be subject to the excise tax imposed by Section 4999 of the Code, then the Severance Payments will be reduced (but not below zero) to the extent necessary so that the sum of all Severance Payments does not exceed the Threshold Amount (defined below), but if the after-tax amount the Executive would receive if there were no reduction pursuant to this section (including any federal, state, and local taxes) exceeds the after-tax amount the Executive would receive if the Severance Payments were reduced below the Threshold Amount, the Severance Payments will no longer be so reduced. If Severance Payments are required to be reduced, the Severance Payments will be reduced in the following order: (1) cash payments not subject to Section 409A of the Code; (2) cash payments subject to Section 409A of the Code; (3) equity-based payments and acceleration; and (4) non-cash forms of benefits.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For the purposes of this Section 6(c), “</w:t>
      </w:r>
      <w:r>
        <w:rPr>
          <w:rFonts w:ascii="Times New Roman;sans-serif" w:hAnsi="Times New Roman;sans-serif"/>
          <w:b/>
          <w:color w:val="000000"/>
          <w:sz w:val="24"/>
          <w:u w:val="single"/>
        </w:rPr>
        <w:t>Threshold Amount</w:t>
      </w:r>
      <w:r>
        <w:rPr>
          <w:color w:val="000000"/>
        </w:rPr>
        <w:t xml:space="preserve">” </w:t>
      </w:r>
      <w:r>
        <w:rPr>
          <w:rFonts w:ascii="Times New Roman;sans-serif" w:hAnsi="Times New Roman;sans-serif"/>
          <w:b w:val="false"/>
          <w:color w:val="000000"/>
          <w:sz w:val="24"/>
        </w:rPr>
        <w:t>means three times the Executive’s “base amount” within the meaning of Section 280G(b)(3) of the Code and the regulations promulgated thereunder less one dollar ($1.00).</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The determinations under this Section 6(c) will be made by a nationally recognized accounting firm selected by the Company (the “</w:t>
      </w:r>
      <w:r>
        <w:rPr>
          <w:rFonts w:ascii="Times New Roman;sans-serif" w:hAnsi="Times New Roman;sans-serif"/>
          <w:b/>
          <w:color w:val="000000"/>
          <w:sz w:val="24"/>
          <w:u w:val="single"/>
        </w:rPr>
        <w:t>Accounting Firm</w:t>
      </w:r>
      <w:r>
        <w:rPr>
          <w:color w:val="000000"/>
        </w:rPr>
        <w:t>”</w:t>
      </w:r>
      <w:r>
        <w:rPr>
          <w:rFonts w:ascii="Times New Roman;sans-serif" w:hAnsi="Times New Roman;sans-serif"/>
          <w:b w:val="false"/>
          <w:color w:val="000000"/>
          <w:sz w:val="24"/>
        </w:rPr>
        <w:t>), which must provide detailed supporting calculations both to the Company and the Executive within 15 business days of the Date of Termination, if applicable, or at such earlier time as is reasonably requested by the Company or the Executive.</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Change in Control Definition</w:t>
      </w:r>
      <w:r>
        <w:rPr>
          <w:rFonts w:ascii="Times New Roman;sans-serif" w:hAnsi="Times New Roman;sans-serif"/>
          <w:b w:val="false"/>
          <w:color w:val="000000"/>
          <w:sz w:val="24"/>
        </w:rPr>
        <w:t>. For purposes of this Section 6, “</w:t>
      </w:r>
      <w:r>
        <w:rPr>
          <w:rFonts w:ascii="Times New Roman;sans-serif" w:hAnsi="Times New Roman;sans-serif"/>
          <w:b/>
          <w:color w:val="000000"/>
          <w:sz w:val="24"/>
          <w:u w:val="single"/>
        </w:rPr>
        <w:t>Change in Control</w:t>
      </w:r>
      <w:r>
        <w:rPr>
          <w:color w:val="000000"/>
        </w:rPr>
        <w:t xml:space="preserve">” </w:t>
      </w:r>
      <w:r>
        <w:rPr>
          <w:rFonts w:ascii="Times New Roman;sans-serif" w:hAnsi="Times New Roman;sans-serif"/>
          <w:b w:val="false"/>
          <w:color w:val="000000"/>
          <w:sz w:val="24"/>
        </w:rPr>
        <w:t>means the consummation of any of the following:</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sale of all or substantially all of the assets of the Company or the Parent to an unrelated person or entity;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 merger, reorganization, or consolidation involving the Company or the Parent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the acquisition of all or a majority of the outstanding voting stock of the Company or the Parent in a single transaction or a series of related transactions by a person or group of persons;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any other acquisition of the business of the Company or the Parent, as determined by the Board;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but the Company’s initial public offering, any subsequent public offering, or another capital raising event, or a merger effected solely to change the Company’s domicile does not constitute a Change in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7.</w:t>
      </w:r>
      <w:r>
        <w:rPr>
          <w:rFonts w:ascii="Times New Roman;sans-serif" w:hAnsi="Times New Roman;sans-serif"/>
          <w:b w:val="false"/>
          <w:color w:val="000000"/>
          <w:sz w:val="24"/>
          <w:u w:val="single"/>
        </w:rPr>
        <w:t>Section 409A Compliance</w:t>
      </w:r>
      <w:r>
        <w:rPr>
          <w:rFonts w:ascii="Times New Roman;sans-serif" w:hAnsi="Times New Roman;sans-serif"/>
          <w:b w:val="false"/>
          <w:color w:val="000000"/>
          <w:sz w:val="24"/>
        </w:rPr>
        <w:t xml:space="preserve">. The following rules shall apply, to the extent necessary, with respect to distribution of the payments and benefits, if any, to be provided to the Executive under this Agreement. Subject to the provisions in this Section, the severance payments pursuant to this Agreement shall begin only upon the date of the Executive's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separation from service” (determined as set forth below) which occurs on or after the date of the Executive's termination of employment.</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b)It is intended that each installment of the severance payments and benefits provided under this Agreement shall be treated as a separate “payment” for purposes of Section 409 A of the Internal Revenue Code of 1986, as amended, and the guidance issued thereunder (“Section 409A”). Neither the Executive nor the Company shall have the right to accelerate or defer the delivery of any such payments or benefits except to the extent specifically permitted or required by Section 409A.</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c)If, as of the date of the Executive's “separation from service” from the Company, the Executive is not a “specified employee” (within the meaning of Section 409 A), then each installment of the severance payments and benefits shall be made on the dates and terms set forth in this Agreement.</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d)If, as of the date of the Executive's “separation from service” from the Company, the Executive is a “specified employee” (within the meaning of Section 409A), then: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in Section 409A) shall be treated as a short-term deferral within the meaning of Treasury Regulation Section 1.409A-l(b)(4) to the maximum extent permissible under Section 409A;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Each installment of the severance payments and benefits due under this Agreement that is not described in Section 7(d)(i) above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 (b)(9)(iii) (relating to separation pay upon an involuntary separation from service). Any installments that qualify for the exception under Treasury Regulation Section 1.409A-l(b)(9)(iii) must be paid no later than the last day of the second taxable year following the taxable year in which the separation from service occurs.</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e)The determination of whether and when the Executive's separation from service from the Company has occurred shall be made in a manner consistent with, and based on the presumptions set forth in, Treasury Regulation Section 1.409A-l(h). Solely for purposes of this Section, “Company” shall include all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persons with whom the Company would be considered a single employer as determined under Treasury Regulation Section 1.409A-l(h)(3).</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g)Notwithstanding anything herein to the contrary, the Company shall have no liability to the Executive or to any other person if the payments and benefits provided in this Agreement that are intended to be exempt from or compliant with Section 409A are not so exempt or compliant.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8.</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xml:space="preserve">. Employee agrees to enter into the Company’s standard Employee Confidentiality and Proprietary Rights Agreement (the “Confidential Information Agreement”). Employee’s receipt of any benefits in connection with or following Employee’s termination will be subject to Employee continuing to comply with the terms of Confidential Information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9.</w:t>
      </w:r>
      <w:r>
        <w:rPr>
          <w:rFonts w:ascii="Times New Roman;sans-serif" w:hAnsi="Times New Roman;sans-serif"/>
          <w:b w:val="false"/>
          <w:color w:val="000000"/>
          <w:sz w:val="24"/>
          <w:u w:val="single"/>
        </w:rPr>
        <w:t>Cooperation; Other Documents; Non-Disclosure</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Litigation and Regulatory Cooperation</w:t>
      </w:r>
      <w:r>
        <w:rPr>
          <w:rFonts w:ascii="Times New Roman;sans-serif" w:hAnsi="Times New Roman;sans-serif"/>
          <w:b w:val="false"/>
          <w:color w:val="000000"/>
          <w:sz w:val="24"/>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took place while the Executive was employed by the Company. The Executive’s reasonable cooperation in connection with such claims or actions includes, but is not limited to, being available to meet with counsel to prepare for discovery or trial and to act as a witness on behalf of the Company at mutually convenient times. During and after the Executive’s employment, the Executive also shall reasonably cooperate with the Company in connection with any investigation or review of any federal, state, or local regulatory authority as any such investigation or review relates to events or occurrences that took place while the Executive was employed by the Company. The Company shall reasonably compensate Executive, in its sole discretion, for his time spent, and reimburse the Executive for any reasonable out-of-pocket expenses incurred, in connection with the Executive’s performance of obligations pursuant to this</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Section 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Non-Disclosure</w:t>
      </w:r>
      <w:r>
        <w:rPr>
          <w:rFonts w:ascii="Times New Roman;sans-serif" w:hAnsi="Times New Roman;sans-serif"/>
          <w:b w:val="false"/>
          <w:color w:val="000000"/>
          <w:sz w:val="24"/>
        </w:rPr>
        <w:t>. The Executive shall use his reasonable efforts to maintain the confidentiality of the terms of this Agreement to the extent permitted by law, but the Executive may disclose the terms of this Agreement to the extent it is concerted activity under Section 7 of the National Labor Relations Act and to his immediate family members and to his legal, tax, and other advisors.</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w:t>
      </w:r>
      <w:r>
        <w:rPr>
          <w:rFonts w:ascii="Times New Roman;sans-serif" w:hAnsi="Times New Roman;sans-serif"/>
          <w:b w:val="false"/>
          <w:color w:val="000000"/>
          <w:sz w:val="24"/>
          <w:u w:val="single"/>
        </w:rPr>
        <w:t>Arbitration of Disputes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Scope of Arbitration Requirement</w:t>
      </w:r>
      <w:r>
        <w:rPr>
          <w:rFonts w:ascii="Times New Roman;sans-serif" w:hAnsi="Times New Roman;sans-serif"/>
          <w:b w:val="false"/>
          <w:color w:val="000000"/>
          <w:sz w:val="24"/>
        </w:rPr>
        <w:t>. The Executive hereby waives his right to a trial before a judge or jury and agrees to arbitrate before a neutral arbitrator skilled in hearing similar disputes any and all claims or disputes arising out of this Agreement and any and all claims arising from or relating to his employment, including but not limited to claims against any current or former employee, director, or agent of the Company, claims of wrongful termination, retaliation, discrimination, harassment, breach of contract (including but not limited to disputes pertaining to the formation, validity, interpretation or effect of this Agreement), breach of the covenant of good faith and fair dealing, defamation, invasion of privacy, fraud, misrepresentation, constructive discharge or failure to provide a leave of absence, or claims regarding commissions, stock options or bonuses, infliction of emotional distress, or unfair business practices (each an “</w:t>
      </w:r>
      <w:r>
        <w:rPr>
          <w:rFonts w:ascii="Times New Roman;sans-serif" w:hAnsi="Times New Roman;sans-serif"/>
          <w:b/>
          <w:color w:val="000000"/>
          <w:sz w:val="24"/>
          <w:u w:val="single"/>
        </w:rPr>
        <w:t>Arbitrable Dispute</w:t>
      </w:r>
      <w:r>
        <w:rPr>
          <w:color w:val="000000"/>
        </w:rPr>
        <w:t>”</w:t>
      </w:r>
      <w:r>
        <w:rPr>
          <w:rFonts w:ascii="Times New Roman;sans-serif" w:hAnsi="Times New Roman;sans-serif"/>
          <w:b w:val="false"/>
          <w:color w:val="000000"/>
          <w:sz w:val="24"/>
        </w:rPr>
        <w:t>). Arbitration is the exclusive remedy for any Arbitrable Dispute, instead of any court or administrative action, unless the waiver of a certain court or administrative action is prohibited by law. Except as otherwise required under applicable law, the Executive hereby waives any right to assert an Arbitrable Dispute as a class action or representative action claim against the Company and agrees to only submit the Executive’s own, individual claims in arbitration and will not seek to represent the interests of any other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Procedure</w:t>
      </w:r>
      <w:r>
        <w:rPr>
          <w:rFonts w:ascii="Times New Roman;sans-serif" w:hAnsi="Times New Roman;sans-serif"/>
          <w:b w:val="false"/>
          <w:color w:val="000000"/>
          <w:sz w:val="24"/>
        </w:rPr>
        <w:t>. Any arbitration will be administered by the American Arbitration Association (“</w:t>
      </w:r>
      <w:r>
        <w:rPr>
          <w:rFonts w:ascii="Times New Roman;sans-serif" w:hAnsi="Times New Roman;sans-serif"/>
          <w:b/>
          <w:color w:val="000000"/>
          <w:sz w:val="24"/>
          <w:u w:val="single"/>
        </w:rPr>
        <w:t>AAA</w:t>
      </w:r>
      <w:r>
        <w:rPr>
          <w:color w:val="000000"/>
        </w:rPr>
        <w:t>”</w:t>
      </w:r>
      <w:r>
        <w:rPr>
          <w:rFonts w:ascii="Times New Roman;sans-serif" w:hAnsi="Times New Roman;sans-serif"/>
          <w:b w:val="false"/>
          <w:color w:val="000000"/>
          <w:sz w:val="24"/>
        </w:rPr>
        <w:t>) and the neutral arbitrator will be selected in a manner consistent with AAA’s National Rules For The Resolution of Employment Disputes (“</w:t>
      </w:r>
      <w:r>
        <w:rPr>
          <w:rFonts w:ascii="Times New Roman;sans-serif" w:hAnsi="Times New Roman;sans-serif"/>
          <w:b/>
          <w:color w:val="000000"/>
          <w:sz w:val="24"/>
          <w:u w:val="single"/>
        </w:rPr>
        <w:t>Applicable Arbitration Rules</w:t>
      </w:r>
      <w:r>
        <w:rPr>
          <w:color w:val="000000"/>
        </w:rPr>
        <w:t>”</w:t>
      </w:r>
      <w:r>
        <w:rPr>
          <w:rFonts w:ascii="Times New Roman;sans-serif" w:hAnsi="Times New Roman;sans-serif"/>
          <w:b w:val="false"/>
          <w:color w:val="000000"/>
          <w:sz w:val="24"/>
        </w:rPr>
        <w:t>). Any arbitration under this Agreement must be conducted in the Commonwealth of Pennsylvania, and the arbitrator must administer and conduct the arbitration in accordance with the Applicable Arbitration Rules, except that (i) the arbitrator must allow for the discovery authorized by the Pennsylvania Rules of Civil Procedure or the discovery that the arbitrator decides is necessary for the Parties to vindicate their respective claims or defenses, and (ii) presentation of evidence will be governed by the Pennsylvania Rules of Evidence. Within a reasonable time after the conclusion the arbitration proceedings, the arbitrator shall issue a written decision and must include the findings of fact and law that support that decision. The arbitrator has the power to award any remedies available under applicable law, and the arbitrator’s decision is final and binding on both Parties, except to the extent applicable law allows for judicial review of arbitration awards.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Costs</w:t>
      </w:r>
      <w:r>
        <w:rPr>
          <w:rFonts w:ascii="Times New Roman;sans-serif" w:hAnsi="Times New Roman;sans-serif"/>
          <w:b w:val="false"/>
          <w:color w:val="000000"/>
          <w:sz w:val="24"/>
        </w:rPr>
        <w:t>. The Company shall bear all the costs of arbitration, except that the Executive shall pay the first $125.00 of any filing fees associated with any arbitration the Executive initiates. Both Parties are responsible for their own attorneys’ fees, and the arbitrator may not award attorneys’ fees unless a statute or contract at issue specifically authorizes such an award.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Applicability</w:t>
      </w:r>
      <w:r>
        <w:rPr>
          <w:rFonts w:ascii="Times New Roman;sans-serif" w:hAnsi="Times New Roman;sans-serif"/>
          <w:b w:val="false"/>
          <w:color w:val="000000"/>
          <w:sz w:val="24"/>
        </w:rPr>
        <w:t>. This Section 10 does not apply to (i) workers’ compensation or unemployment insurance claims or (ii) claims concerning ownership, validity, infringement, misappropriation, disclosure, misuse, or enforceability of any confidential information, patent right, copyright, mask work, trademark, or any other trade secret or intellectual property held or sought by either the Executive or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Remedy</w:t>
      </w:r>
      <w:r>
        <w:rPr>
          <w:rFonts w:ascii="Times New Roman;sans-serif" w:hAnsi="Times New Roman;sans-serif"/>
          <w:b w:val="false"/>
          <w:color w:val="000000"/>
          <w:sz w:val="24"/>
        </w:rPr>
        <w:t>. Should any party institute any legal action or administrative proceeding against the other with respect to any claim waived by this Agreement or pursue any Arbitrable Dispute by any method other than as set forth above, except to enforce the arbitration provisions and as expressly provided for in this Section 9, the responding party is entitled to recover from the initiating party all damages, costs, expenses, and attorneys’ fees incurred as a result of that action.</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Consent to Jurisdiction</w:t>
      </w:r>
      <w:r>
        <w:rPr>
          <w:rFonts w:ascii="Times New Roman;sans-serif" w:hAnsi="Times New Roman;sans-serif"/>
          <w:b w:val="false"/>
          <w:color w:val="000000"/>
          <w:sz w:val="24"/>
        </w:rPr>
        <w:t>. To the extent that any court action is initiated to enforce Section 10 of this Agreement, the Parties hereby consent to the jurisdiction of any state court in the Commonwealth of Pennsylvania and any U.S. District Court sitting in the Commonwealth of Pennsylvania.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xml:space="preserve">. This Agreement, together with the Confidential Information Agreement executed concurrently herewith, constitute the entire agreement between the Parties with respect to the subject matter hereof and supersedes all prior agreements between the Parties concerning such subject matter. Without limiting the foregoing, the parties agree that any employment agreement, other than this Agreement, existing between the Parties as of the date hereof is hereby terminated and shall be of no force of effect.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All payments made by the Company to the Executive under this Agreement will be net of any tax or other amounts lawfully withheld by the Company under applicable law. Nothing in this Agreement is to be construed to obligate the Company to design or implement any compensation arrangement in a way that minimizes tax consequences for the Executive.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Successor to the Executive</w:t>
      </w:r>
      <w:r>
        <w:rPr>
          <w:rFonts w:ascii="Times New Roman;sans-serif" w:hAnsi="Times New Roman;sans-serif"/>
          <w:b w:val="false"/>
          <w:color w:val="000000"/>
          <w:sz w:val="24"/>
        </w:rPr>
        <w:t>. This Agreement inures to the benefit of and is enforceable by the Executive’s personal representatives, executors, administrators, heirs, distributees, devisees, and legatees. If the Executive dies after his termination of employment but prior to the completion by the Company of all payments due his under this Agreement, the Company shall continue the payments to the Executive’s beneficiary designated in writing to the Company prior to his death (or to his estate, if the Executive fails to make such a designation).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xml:space="preserve">. If any portion or provision of this Agreement is declared illegal or unenforceable by a court of competent jurisdiction, then the remainder of this Agreement, or the application of that portion or provision in circumstances other than those as to which it is so declared illegal or unenforceable, will not be affected by that declaration, and each portion and provision of this Agreement will continue to be valid and enforceable to the fullest extent permitted by law.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The provisions of this Agreement survive the termination of this Agreement and/or the termination of the Executive’s employment to the extent necessary to effectuate the intent of the Parties as expressed in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No waiver of any provision of this Agreement is effective unless made in writing and signed by the waiving party, and, in the case of the Company only after the waiver has been specifically approved by the Board. The failure of either party to require the performance of any term or obligation of this Agreement, or the waiver by either party of any breach of this Agreement, will not prevent any subsequent enforcement of such term or obligation or be deemed a waiver of any subsequent breach.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18.</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19.</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be amended or modified only by a written instrument signed by the Executive and by a duly authorized representative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20.</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is a Pennsylvania contract and is to be construed under and be governed in all respects by the laws of the Commonwealth of Pennsylvania without giving effect to the conflict of laws principles of that state.</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21.</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22.</w:t>
      </w:r>
      <w:r>
        <w:rPr>
          <w:rFonts w:ascii="Times New Roman;sans-serif" w:hAnsi="Times New Roman;sans-serif"/>
          <w:b w:val="false"/>
          <w:color w:val="000000"/>
          <w:sz w:val="24"/>
          <w:u w:val="single"/>
        </w:rPr>
        <w:t>Successor to Company</w:t>
      </w:r>
      <w:r>
        <w:rPr>
          <w:rFonts w:ascii="Times New Roman;sans-serif" w:hAnsi="Times New Roman;sans-serif"/>
          <w:b w:val="false"/>
          <w:color w:val="000000"/>
          <w:sz w:val="24"/>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23.</w:t>
      </w:r>
      <w:r>
        <w:rPr>
          <w:rFonts w:ascii="Times New Roman;sans-serif" w:hAnsi="Times New Roman;sans-serif"/>
          <w:b w:val="false"/>
          <w:color w:val="000000"/>
          <w:sz w:val="24"/>
          <w:u w:val="single"/>
        </w:rPr>
        <w:t>Voluntary Nature of Agreement</w:t>
      </w:r>
      <w:r>
        <w:rPr>
          <w:rFonts w:ascii="Times New Roman;sans-serif" w:hAnsi="Times New Roman;sans-serif"/>
          <w:b w:val="false"/>
          <w:color w:val="000000"/>
          <w:sz w:val="24"/>
        </w:rPr>
        <w:t>. The Executive acknowledges and agrees that he is executing this Agreement voluntarily and without any duress or undue influence by the Company or anyone else. The Executive further acknowledges and agrees that he has carefully read this Agreement and that he has asked any questions needed for his to fully understand the terms, consequences, and binding effect of this Agreement. The Executive agrees that he has been provided an opportunity to seek the advice of an attorney of his choice before signing this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Parties are executing this Executive Agreement as of the date set forth in the introductory paragraph. </w:t>
        <w:br/>
        <w:br/>
      </w:r>
      <w:r>
        <w:rPr>
          <w:color w:val="000000"/>
        </w:rPr>
        <w:t>                            </w:t>
      </w:r>
      <w:r>
        <w:rPr>
          <w:rFonts w:ascii="Times New Roman;sans-serif" w:hAnsi="Times New Roman;sans-serif"/>
          <w:b/>
          <w:color w:val="000000"/>
          <w:sz w:val="24"/>
        </w:rPr>
        <w:t>ARBUTUS BIOPHARMA INC.</w:t>
      </w:r>
    </w:p>
    <w:p>
      <w:pPr>
        <w:pStyle w:val="TextBody"/>
        <w:bidi w:val="0"/>
        <w:spacing w:lineRule="auto" w:line="240" w:before="24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William Collier</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William Collier    </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 President &amp; Chief Executive Officer    </w:t>
      </w:r>
    </w:p>
    <w:p>
      <w:pPr>
        <w:pStyle w:val="TextBody"/>
        <w:bidi w:val="0"/>
        <w:spacing w:lineRule="auto" w:line="240" w:before="480" w:after="283"/>
        <w:jc w:val="both"/>
        <w:rPr>
          <w:rFonts w:ascii="Times New Roman;sans-serif" w:hAnsi="Times New Roman;sans-serif"/>
          <w:b/>
          <w:color w:val="000000"/>
          <w:sz w:val="24"/>
        </w:rPr>
      </w:pPr>
      <w:r>
        <w:rPr>
          <w:rFonts w:ascii="Times New Roman;sans-serif" w:hAnsi="Times New Roman;sans-serif"/>
          <w:b/>
          <w:color w:val="000000"/>
          <w:sz w:val="24"/>
        </w:rPr>
        <w:t>EXECUTIVE</w:t>
      </w:r>
    </w:p>
    <w:p>
      <w:pPr>
        <w:pStyle w:val="TextBody"/>
        <w:bidi w:val="0"/>
        <w:spacing w:lineRule="auto" w:line="240" w:before="48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J. Christopher Naftzger</w:t>
      </w:r>
    </w:p>
    <w:p>
      <w:pPr>
        <w:pStyle w:val="TextBody"/>
        <w:bidi w:val="0"/>
        <w:spacing w:lineRule="auto" w:line="240" w:before="5" w:after="283"/>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Christopher Naftzger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Executive Employment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480"/>
        <w:jc w:val="center"/>
        <w:rPr>
          <w:rFonts w:ascii="Times New Roman;sans-serif" w:hAnsi="Times New Roman;sans-serif"/>
          <w:b/>
          <w:color w:val="000000"/>
          <w:sz w:val="24"/>
          <w:u w:val="single"/>
        </w:rPr>
      </w:pPr>
      <w:r>
        <w:rPr>
          <w:rFonts w:ascii="Times New Roman;sans-serif" w:hAnsi="Times New Roman;sans-serif"/>
          <w:b/>
          <w:color w:val="000000"/>
          <w:sz w:val="24"/>
          <w:u w:val="single"/>
        </w:rPr>
        <w:t>GENERAL RELEASE LANGUAGE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Executive agrees, for himself, his spouse, heirs, executor or administrator, assigns, insurers, attorneys, and other persons or entities acting or purporting to act on his behalf (the “</w:t>
      </w:r>
      <w:r>
        <w:rPr>
          <w:rFonts w:ascii="Times New Roman;sans-serif" w:hAnsi="Times New Roman;sans-serif"/>
          <w:b/>
          <w:color w:val="000000"/>
          <w:sz w:val="24"/>
          <w:u w:val="single"/>
        </w:rPr>
        <w:t>Executive’s Parties</w:t>
      </w:r>
      <w:r>
        <w:rPr>
          <w:color w:val="000000"/>
        </w:rPr>
        <w:t>”</w:t>
      </w:r>
      <w:r>
        <w:rPr>
          <w:rFonts w:ascii="Times New Roman;sans-serif" w:hAnsi="Times New Roman;sans-serif"/>
          <w:b w:val="false"/>
          <w:color w:val="000000"/>
          <w:sz w:val="24"/>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Times New Roman;sans-serif" w:hAnsi="Times New Roman;sans-serif"/>
          <w:b/>
          <w:color w:val="000000"/>
          <w:sz w:val="24"/>
          <w:u w:val="single"/>
        </w:rPr>
        <w:t>Company’s Parties</w:t>
      </w:r>
      <w:r>
        <w:rPr>
          <w:color w:val="000000"/>
        </w:rPr>
        <w:t>”</w:t>
      </w:r>
      <w:r>
        <w:rPr>
          <w:rFonts w:ascii="Times New Roman;sans-serif" w:hAnsi="Times New Roman;sans-serif"/>
          <w:b w:val="false"/>
          <w:color w:val="000000"/>
          <w:sz w:val="24"/>
        </w:rPr>
        <w:t>), from any and all actions, causes of action, suits, claims, obligations, liabilities, debts, demands, contentions, damages, judgments, 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This specifically includes, without limitation, any claim that the Executive has or has had under Title VII of the Civil Rights Act of 1964, as amended, the Age Discrimination in Employment Act, as amended, the Americans with Disabilities Act, as amended, and the Employee Retirement Income Security Act of 1974, as amended.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hereby acknowledges his understanding that under this Agreement he is releasing any known or unknown claims he may have.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Executive expressly waives and relinquishes all rights and benefits under that section and any law of any jurisdiction of similar effect with respect to his release of claims.</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lineRule="auto" w:line="240" w:before="0" w:after="48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EXISTING CONFLICTS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applicable, Executive to describe, in specific terms, any ongoing business relationship with any organization. Please provide a copy of any agreement(s) you might have with said organization(s) that creates a business relationship described in Section 3 (d).</w:t>
      </w:r>
    </w:p>
    <w:p>
      <w:pPr>
        <w:pStyle w:val="TextBody"/>
        <w:bidi w:val="0"/>
        <w:spacing w:before="0" w:after="48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UNLESS PERMITTED UNDER SECURITIES LEGISLATION, THE HOLDER OF THIS SECURITY MUST NOT TRADE THIS OPTION OR ANY OPTION SHARES ISSUABLE ON EXERCISE OF THIS OPTION BEFORE NOVEMBER 11, 2023 </w:t>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OPTION AGREEMENT - EMPLOYEES</w:t>
      </w:r>
    </w:p>
    <w:p>
      <w:pPr>
        <w:pStyle w:val="TextBody"/>
        <w:bidi w:val="0"/>
        <w:spacing w:lineRule="auto" w:line="333" w:before="0" w:after="120"/>
        <w:jc w:val="both"/>
        <w:rPr/>
      </w:pPr>
      <w:r>
        <w:rPr>
          <w:rFonts w:ascii="Times New Roman;sans-serif" w:hAnsi="Times New Roman;sans-serif"/>
          <w:b w:val="false"/>
          <w:color w:val="000000"/>
          <w:sz w:val="22"/>
        </w:rPr>
        <w:t>This Option Agreement (the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is entered into between Arbutus Biopharma Corporation</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and J. Christopher Naftzger (the “</w:t>
      </w:r>
      <w:r>
        <w:rPr>
          <w:rFonts w:ascii="Times New Roman;sans-serif" w:hAnsi="Times New Roman;sans-serif"/>
          <w:b/>
          <w:color w:val="000000"/>
          <w:sz w:val="22"/>
        </w:rPr>
        <w:t>Optionee</w:t>
      </w:r>
      <w:r>
        <w:rPr>
          <w:color w:val="000000"/>
        </w:rPr>
        <w:t>”</w:t>
      </w:r>
      <w:r>
        <w:rPr>
          <w:rFonts w:ascii="Times New Roman;sans-serif" w:hAnsi="Times New Roman;sans-serif"/>
          <w:b w:val="false"/>
          <w:color w:val="000000"/>
          <w:sz w:val="22"/>
        </w:rPr>
        <w:t>), and is being granted in respect of the Optionee being an employee of Arbutus Biopharma Inc. (“</w:t>
      </w:r>
      <w:r>
        <w:rPr>
          <w:rFonts w:ascii="Times New Roman;sans-serif" w:hAnsi="Times New Roman;sans-serif"/>
          <w:b/>
          <w:color w:val="000000"/>
          <w:sz w:val="22"/>
        </w:rPr>
        <w:t>Arbutus</w:t>
      </w:r>
      <w:r>
        <w:rPr>
          <w:color w:val="000000"/>
        </w:rPr>
        <w:t>”</w:t>
      </w:r>
      <w:r>
        <w:rPr>
          <w:rFonts w:ascii="Times New Roman;sans-serif" w:hAnsi="Times New Roman;sans-serif"/>
          <w:b w:val="false"/>
          <w:color w:val="000000"/>
          <w:sz w:val="22"/>
        </w:rPr>
        <w:t xml:space="preserve">), and confirms that: </w:t>
      </w:r>
    </w:p>
    <w:p>
      <w:pPr>
        <w:pStyle w:val="TextBody"/>
        <w:bidi w:val="0"/>
        <w:spacing w:lineRule="auto" w:line="333" w:before="0" w:after="120"/>
        <w:ind w:left="0" w:right="0" w:hanging="360"/>
        <w:jc w:val="both"/>
        <w:rPr/>
      </w:pPr>
      <w:r>
        <w:rPr>
          <w:rFonts w:ascii="Times New Roman;sans-serif" w:hAnsi="Times New Roman;sans-serif"/>
          <w:b w:val="false"/>
          <w:color w:val="000000"/>
          <w:sz w:val="22"/>
        </w:rPr>
        <w:t>1.On July 10, 2023 (the “</w:t>
      </w:r>
      <w:r>
        <w:rPr>
          <w:rFonts w:ascii="Times New Roman;sans-serif" w:hAnsi="Times New Roman;sans-serif"/>
          <w:b/>
          <w:color w:val="000000"/>
          <w:sz w:val="22"/>
        </w:rPr>
        <w:t>Grant Date</w:t>
      </w:r>
      <w:r>
        <w:rPr>
          <w:color w:val="000000"/>
        </w:rPr>
        <w:t>”</w:t>
      </w:r>
      <w:r>
        <w:rPr>
          <w:rFonts w:ascii="Times New Roman;sans-serif" w:hAnsi="Times New Roman;sans-serif"/>
          <w:b w:val="false"/>
          <w:color w:val="000000"/>
          <w:sz w:val="22"/>
        </w:rPr>
        <w:t>), the Optionee is granted the option (the “</w:t>
      </w:r>
      <w:r>
        <w:rPr>
          <w:rFonts w:ascii="Times New Roman;sans-serif" w:hAnsi="Times New Roman;sans-serif"/>
          <w:b/>
          <w:color w:val="000000"/>
          <w:sz w:val="22"/>
        </w:rPr>
        <w:t>Option</w:t>
      </w:r>
      <w:r>
        <w:rPr>
          <w:color w:val="000000"/>
        </w:rPr>
        <w:t>”</w:t>
      </w:r>
      <w:r>
        <w:rPr>
          <w:rFonts w:ascii="Times New Roman;sans-serif" w:hAnsi="Times New Roman;sans-serif"/>
          <w:b w:val="false"/>
          <w:color w:val="000000"/>
          <w:sz w:val="22"/>
        </w:rPr>
        <w:t>) to purchase 500,000 common shares (the “</w:t>
      </w:r>
      <w:r>
        <w:rPr>
          <w:rFonts w:ascii="Times New Roman;sans-serif" w:hAnsi="Times New Roman;sans-serif"/>
          <w:b/>
          <w:color w:val="000000"/>
          <w:sz w:val="22"/>
        </w:rPr>
        <w:t>Option Shares</w:t>
      </w:r>
      <w:r>
        <w:rPr>
          <w:color w:val="000000"/>
        </w:rPr>
        <w:t>”</w:t>
      </w:r>
      <w:r>
        <w:rPr>
          <w:rFonts w:ascii="Times New Roman;sans-serif" w:hAnsi="Times New Roman;sans-serif"/>
          <w:b w:val="false"/>
          <w:color w:val="000000"/>
          <w:sz w:val="22"/>
        </w:rPr>
        <w:t xml:space="preserve">) of the Company at a per share price of US$2.26; </w:t>
      </w:r>
    </w:p>
    <w:p>
      <w:pPr>
        <w:pStyle w:val="TextBody"/>
        <w:bidi w:val="0"/>
        <w:spacing w:lineRule="auto" w:line="333" w:before="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Option is granted to the Optionee in connection with the Optionee entering into employment with Arbutus and is an inducement material to the Optionee’s entry into employment within the meaning of Rule 5635(c)(4) of the Nasdaq Listing Rules;</w:t>
      </w:r>
    </w:p>
    <w:p>
      <w:pPr>
        <w:pStyle w:val="TextBody"/>
        <w:bidi w:val="0"/>
        <w:spacing w:lineRule="auto" w:line="333" w:before="0" w:after="120"/>
        <w:ind w:left="0" w:right="0" w:hanging="360"/>
        <w:jc w:val="both"/>
        <w:rPr/>
      </w:pPr>
      <w:r>
        <w:rPr>
          <w:rFonts w:ascii="Times New Roman;sans-serif" w:hAnsi="Times New Roman;sans-serif"/>
          <w:b w:val="false"/>
          <w:color w:val="000000"/>
          <w:sz w:val="22"/>
        </w:rPr>
        <w:t>3.the Option shall be subject to and governed by, and shall be construed and administered in accordance with, the terms and conditions of the Arbutus 2016 Omnibus Share and Incentive Plan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 which terms and conditions are incorporated herein by reference; provided, however, that the Option is not awarded under the Plan and the grant of the Option shall not reduce the number of common shares in the capital of the Company available for issuance under awards issued pursuant to the Plan;</w:t>
      </w:r>
    </w:p>
    <w:p>
      <w:pPr>
        <w:pStyle w:val="TextBody"/>
        <w:bidi w:val="0"/>
        <w:spacing w:lineRule="auto" w:line="333" w:before="0" w:after="120"/>
        <w:ind w:left="0" w:right="0" w:hanging="360"/>
        <w:jc w:val="both"/>
        <w:rPr/>
      </w:pPr>
      <w:r>
        <w:rPr>
          <w:rFonts w:ascii="Times New Roman;sans-serif" w:hAnsi="Times New Roman;sans-serif"/>
          <w:b w:val="false"/>
          <w:color w:val="000000"/>
          <w:sz w:val="22"/>
        </w:rPr>
        <w:t>4.subject to Sections 7, 8 and 9 below, the Option shall vest over a four-year period, with 25% of the Option Shares vesting on the first anniversary of the Grant Date and the remaining 75% of the Option Shares vesting over the subsequent three-year period in substantially equal monthly installments at a rate of 1/48</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of the total original number of Option Shares each month, subject to the Optionee’s continued employment with Arbutus through each applicable vesting date, and will be exercisable in whole up to July 10, 2033 (the “</w:t>
      </w:r>
      <w:r>
        <w:rPr>
          <w:rFonts w:ascii="Times New Roman;sans-serif" w:hAnsi="Times New Roman;sans-serif"/>
          <w:b/>
          <w:color w:val="000000"/>
          <w:sz w:val="22"/>
        </w:rPr>
        <w:t>Expiry Date</w:t>
      </w:r>
      <w:r>
        <w:rPr>
          <w:color w:val="000000"/>
        </w:rPr>
        <w:t>”</w:t>
      </w:r>
      <w:r>
        <w:rPr>
          <w:rFonts w:ascii="Times New Roman;sans-serif" w:hAnsi="Times New Roman;sans-serif"/>
          <w:b w:val="false"/>
          <w:color w:val="000000"/>
          <w:sz w:val="22"/>
        </w:rPr>
        <w:t>) or such earlier date as may be required or stipulated in accordance with the Plan or the terms of this Agreement; the Option, once vested, shall remain vested until the expiration, termination or surrender of the Option;</w:t>
      </w:r>
    </w:p>
    <w:p>
      <w:pPr>
        <w:pStyle w:val="TextBody"/>
        <w:bidi w:val="0"/>
        <w:spacing w:lineRule="auto" w:line="333" w:before="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5.this Option shall be considered a Non-Qualified Stock Option;</w:t>
      </w:r>
    </w:p>
    <w:p>
      <w:pPr>
        <w:pStyle w:val="TextBody"/>
        <w:bidi w:val="0"/>
        <w:spacing w:lineRule="auto" w:line="333" w:before="0" w:after="120"/>
        <w:ind w:left="0" w:right="0" w:hanging="360"/>
        <w:jc w:val="both"/>
        <w:rPr/>
      </w:pPr>
      <w:r>
        <w:rPr>
          <w:rFonts w:ascii="Times New Roman;sans-serif" w:hAnsi="Times New Roman;sans-serif"/>
          <w:b w:val="false"/>
          <w:color w:val="000000"/>
          <w:sz w:val="22"/>
        </w:rPr>
        <w:t>6.except as provided in Sections 7, 8, 9 and 10 below, if the Optionee’s employment with Arbutus terminates for any reason, the unvested portion of the Option shall terminate on, and not be exercisable following, the Optionee’s date of termination, and the vested portion of the Option will remain exercisable by the Optionee, the Optionee’s estate or the Optionee’s estate’s personal representative, as applicable, until the earlier of the Expiry Date and the ninetieth (90</w:t>
      </w:r>
      <w:r>
        <w:rPr>
          <w:rFonts w:ascii="Times New Roman;sans-serif" w:hAnsi="Times New Roman;sans-serif"/>
          <w:b w:val="false"/>
          <w:color w:val="000000"/>
          <w:sz w:val="14"/>
        </w:rPr>
        <w:t>th</w:t>
      </w:r>
      <w:r>
        <w:rPr>
          <w:rFonts w:ascii="Times New Roman;sans-serif" w:hAnsi="Times New Roman;sans-serif"/>
          <w:b w:val="false"/>
          <w:color w:val="000000"/>
          <w:sz w:val="22"/>
        </w:rPr>
        <w:t>) day following the date of the Optionee’s termination of employment (or, if the Optionee dies during such ninety (90) day period, the first anniversary of the date of death of the Optionee);</w:t>
      </w:r>
    </w:p>
    <w:p>
      <w:pPr>
        <w:pStyle w:val="TextBody"/>
        <w:bidi w:val="0"/>
        <w:spacing w:lineRule="auto" w:line="333" w:before="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7.in the event of the death of the Optionee, the Option shall become immediately fully vested and exercisable, and shall remain exercisable by the Optionee’s estate or the Optionee’s estate’s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personal representative, as applicable, until the earlier of the Expiry Date and the first anniversary of the date of death of the Optionee;</w:t>
      </w:r>
    </w:p>
    <w:p>
      <w:pPr>
        <w:pStyle w:val="TextBody"/>
        <w:bidi w:val="0"/>
        <w:spacing w:lineRule="auto" w:line="333" w:before="0" w:after="120"/>
        <w:ind w:left="0" w:right="0" w:hanging="360"/>
        <w:jc w:val="both"/>
        <w:rPr/>
      </w:pPr>
      <w:r>
        <w:rPr>
          <w:rFonts w:ascii="Times New Roman;sans-serif" w:hAnsi="Times New Roman;sans-serif"/>
          <w:b w:val="false"/>
          <w:color w:val="000000"/>
          <w:sz w:val="22"/>
        </w:rPr>
        <w:t>8.except as provided below in Section 9, if the Optionee’s employment with Arbutus is terminated by Arbutus without Cause (as defined in the Optionee’s executive employment agreement with the Company, dated effective as of July 10, 2023 (the “</w:t>
      </w:r>
      <w:r>
        <w:rPr>
          <w:rFonts w:ascii="Times New Roman;sans-serif" w:hAnsi="Times New Roman;sans-serif"/>
          <w:b/>
          <w:color w:val="000000"/>
          <w:sz w:val="22"/>
        </w:rPr>
        <w:t>Employment Agreement</w:t>
      </w:r>
      <w:r>
        <w:rPr>
          <w:color w:val="000000"/>
        </w:rPr>
        <w:t>”</w:t>
      </w:r>
      <w:r>
        <w:rPr>
          <w:rFonts w:ascii="Times New Roman;sans-serif" w:hAnsi="Times New Roman;sans-serif"/>
          <w:b w:val="false"/>
          <w:color w:val="000000"/>
          <w:sz w:val="22"/>
        </w:rPr>
        <w:t>)) or by the Optionee for Good Reason (as defined in the Employment Agreement), the Option shall vest and become exercisable as of the moment immediately prior to such termination on a pro-rata basis, prorated at 1/48</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of the total original number of Option Shares subject to the Option for each completed month of service as of the Optionee’s date of termination, with the vested portion of the Option remaining exercisable by the Optionee, the Optionee’s estate or the Optionee’s estate’s personal representative, as applicable, until the earlier of the Expiry Date and the ninetieth (90</w:t>
      </w:r>
      <w:r>
        <w:rPr>
          <w:rFonts w:ascii="Times New Roman;sans-serif" w:hAnsi="Times New Roman;sans-serif"/>
          <w:b w:val="false"/>
          <w:color w:val="000000"/>
          <w:sz w:val="14"/>
        </w:rPr>
        <w:t>th</w:t>
      </w:r>
      <w:r>
        <w:rPr>
          <w:rFonts w:ascii="Times New Roman;sans-serif" w:hAnsi="Times New Roman;sans-serif"/>
          <w:b w:val="false"/>
          <w:color w:val="000000"/>
          <w:sz w:val="22"/>
        </w:rPr>
        <w:t>) day following the date of the Optionee’s termination of employment (or, if the Optionee dies during such ninety (90) day period, the first anniversary of the date of death of the Optionee);</w:t>
      </w:r>
    </w:p>
    <w:p>
      <w:pPr>
        <w:pStyle w:val="TextBody"/>
        <w:bidi w:val="0"/>
        <w:spacing w:lineRule="auto" w:line="333" w:before="0" w:after="120"/>
        <w:ind w:left="0" w:right="0" w:hanging="360"/>
        <w:jc w:val="both"/>
        <w:rPr/>
      </w:pPr>
      <w:r>
        <w:rPr>
          <w:rFonts w:ascii="Times New Roman;sans-serif" w:hAnsi="Times New Roman;sans-serif"/>
          <w:b w:val="false"/>
          <w:color w:val="000000"/>
          <w:sz w:val="22"/>
        </w:rPr>
        <w:t>9.if, within twelve (12) months following a Change in Control (as defined in the Employment Agreement), the Optionee’s employment with Arbutus is terminated by Arbutus without Cause or by the Optionee for Good Reason, the Option shall become fully vested and exercisable as of the moment immediately prior to such termination, with the vested portion of the Option remaining exercisable by the Optionee, the Optionee’s estate or the Optionee’s estate’s personal representative, as applicable, until the earlier of the Expiry Date and the ninetieth (90</w:t>
      </w:r>
      <w:r>
        <w:rPr>
          <w:rFonts w:ascii="Times New Roman;sans-serif" w:hAnsi="Times New Roman;sans-serif"/>
          <w:b w:val="false"/>
          <w:color w:val="000000"/>
          <w:sz w:val="14"/>
        </w:rPr>
        <w:t>th</w:t>
      </w:r>
      <w:r>
        <w:rPr>
          <w:rFonts w:ascii="Times New Roman;sans-serif" w:hAnsi="Times New Roman;sans-serif"/>
          <w:b w:val="false"/>
          <w:color w:val="000000"/>
          <w:sz w:val="22"/>
        </w:rPr>
        <w:t>) day following the date of the Optionee’s termination of employment (or, if the Optionee dies during such ninety (90) day period, the first anniversary of the date of death of the Optionee);</w:t>
      </w:r>
    </w:p>
    <w:p>
      <w:pPr>
        <w:pStyle w:val="TextBody"/>
        <w:bidi w:val="0"/>
        <w:spacing w:lineRule="auto" w:line="333" w:before="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10.if the Optionee’s employment with Arbutus is terminated by Arbutus for Cause (as defined in the Employment Agreement), the Option, whether or not vested, shall be immediately forfeited and cancelled, without any consideration therefore, and any and all rights of the Optionee with respect to or arising from the Plan shall terminate, as of the commencement of the date that notice of such termination is given, without regard to any period of reasonable notice or any salary continuance, except as otherwise determined by the Committee;</w:t>
      </w:r>
    </w:p>
    <w:p>
      <w:pPr>
        <w:pStyle w:val="TextBody"/>
        <w:bidi w:val="0"/>
        <w:spacing w:lineRule="auto" w:line="333" w:before="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11.the Option may be exercised only by notice signed by the Optionee or, in certain circumstances permitted by the Plan, the legal representative of the Optionee, and accompanied by full payment for the Option Shares being purchased;</w:t>
      </w:r>
    </w:p>
    <w:p>
      <w:pPr>
        <w:pStyle w:val="TextBody"/>
        <w:bidi w:val="0"/>
        <w:spacing w:lineRule="auto" w:line="333" w:before="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12.the Optionee (i) meets the criteria set out in Section 5 of the Plan as of the Grant Date; (ii) is aware that the grant of the Option is exempt from the obligation under applicable securities laws to file a prospectus or other registration document qualifying the distribution; (iii) will, upon each exercise or settlement of an Option and if requested by the Company, confirm these representations; and (iv) will, upon each exercise or settlement of an Option, comply with all applicable securities laws, rules and regulations, including restrictions on transfer; </w:t>
      </w:r>
    </w:p>
    <w:p>
      <w:pPr>
        <w:pStyle w:val="TextBody"/>
        <w:bidi w:val="0"/>
        <w:spacing w:lineRule="auto" w:line="333" w:before="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13.the Company will have no obligation to issue any Option Shares until the Company is satisfied that the issuance of such Option Shares to the Optionee will be exempt from all registration or qualification requirements of applicable securities laws and will be permitted under the applicable rules and regulations of all regulatory authorities to which the Company is subject; </w: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14.the Option is subject to the terms and conditions set out in the Plan, and if there is any conflict between the terms of this Agreement and the Plan, the terms of the Plan will govern, despite any term of this Agreement; and</w:t>
      </w:r>
    </w:p>
    <w:p>
      <w:pPr>
        <w:pStyle w:val="TextBody"/>
        <w:bidi w:val="0"/>
        <w:spacing w:lineRule="auto" w:line="333" w:before="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15.nothing herein or otherwise shall be construed so as to confer on the Optionee any rights as a shareholder of the Company with respect to any common shares in the capital of the Company reserved for the purpose of the Option. </w:t>
      </w:r>
    </w:p>
    <w:p>
      <w:pPr>
        <w:pStyle w:val="TextBody"/>
        <w:bidi w:val="0"/>
        <w:spacing w:lineRule="auto" w:line="333"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All capitalized terms not defined herein shall have their respective meanings as set out in the Plan.</w:t>
      </w:r>
    </w:p>
    <w:p>
      <w:pPr>
        <w:pStyle w:val="TextBody"/>
        <w:bidi w:val="0"/>
        <w:spacing w:lineRule="auto" w:line="333"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is governed by the laws of the Province of British Columbia and the laws of Canada applicable therein.</w:t>
      </w:r>
    </w:p>
    <w:p>
      <w:pPr>
        <w:pStyle w:val="TextBody"/>
        <w:bidi w:val="0"/>
        <w:spacing w:lineRule="auto" w:line="333"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By signing this Agreement, the Optionee acknowledges that the Optionee has read and understands the Plan and accepts the Option in accordance with the terms of the Plan and this Agreement.</w:t>
      </w:r>
    </w:p>
    <w:p>
      <w:pPr>
        <w:pStyle w:val="TextBody"/>
        <w:bidi w:val="0"/>
        <w:spacing w:lineRule="auto" w:line="33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LEFT BLANK INTENTIONALLY]</w:t>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by the parties hereto as of the Grant Date.</w:t>
      </w:r>
    </w:p>
    <w:p>
      <w:pPr>
        <w:pStyle w:val="TextBody"/>
        <w:bidi w:val="0"/>
        <w:spacing w:before="0" w:after="0"/>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SIGNED, SEALED and DELIVERED </w: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 J. Christopher Naftzger</w:t>
      </w: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J. Christopher Naftzger</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333"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 William H. Collier</w:t>
      </w:r>
    </w:p>
    <w:p>
      <w:pPr>
        <w:pStyle w:val="TextBody"/>
        <w:bidi w:val="0"/>
        <w:spacing w:lineRule="auto" w:line="333"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William H. Collier</w:t>
      </w:r>
    </w:p>
    <w:p>
      <w:pPr>
        <w:pStyle w:val="TextBody"/>
        <w:bidi w:val="0"/>
        <w:spacing w:lineRule="auto" w:line="333"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Authorized Signatory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100" w:after="100"/>
        <w:jc w:val="right"/>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RULE 13a-14(a) OR 15d-14(a) OF THE SECURITIES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EXCHANGE ACT OF 1934, AS ADOPTED PURSUANT TO SECTION 302 OF THE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William Collier, certify that: </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Arbutus Biopharma Corporation;</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3, 2023 </w:t>
      </w:r>
    </w:p>
    <w:tbl>
      <w:tblPr>
        <w:tblW w:w="4092" w:type="dxa"/>
        <w:jc w:val="center"/>
        <w:tblInd w:w="0" w:type="dxa"/>
        <w:tblLayout w:type="fixed"/>
        <w:tblCellMar>
          <w:top w:w="28" w:type="dxa"/>
          <w:left w:w="28" w:type="dxa"/>
          <w:bottom w:w="28" w:type="dxa"/>
          <w:right w:w="28" w:type="dxa"/>
        </w:tblCellMar>
      </w:tblPr>
      <w:tblGrid>
        <w:gridCol w:w="124"/>
        <w:gridCol w:w="109"/>
        <w:gridCol w:w="109"/>
        <w:gridCol w:w="1098"/>
        <w:gridCol w:w="1098"/>
        <w:gridCol w:w="1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Collier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William Collier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President and Chief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RULE 13a-14(a) OR 15d-14(a) OF THE SECURITIES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EXCHANGE ACT OF 1934, AS ADOPTED PURSUANT TO SECTION 302 OF THE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Hastings, certify that: </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Arbutus Biopharma Corporation;</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3, 2023 </w:t>
      </w:r>
    </w:p>
    <w:tbl>
      <w:tblPr>
        <w:tblW w:w="2847" w:type="dxa"/>
        <w:jc w:val="center"/>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David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100" w:after="100"/>
        <w:jc w:val="right"/>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100" w:after="10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Arbutus Biopharma Corporation (the “Company”) for the quarter ended June 30, 2023,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 </w:t>
      </w:r>
    </w:p>
    <w:p>
      <w:pPr>
        <w:pStyle w:val="TextBody"/>
        <w:bidi w:val="0"/>
        <w:spacing w:lineRule="auto" w:line="288" w:before="3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represents, in all material respects, the financial condition and results of the operations of the Company.</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3, 2023 </w:t>
      </w:r>
    </w:p>
    <w:tbl>
      <w:tblPr>
        <w:tblW w:w="4092" w:type="dxa"/>
        <w:jc w:val="center"/>
        <w:tblInd w:w="0" w:type="dxa"/>
        <w:tblLayout w:type="fixed"/>
        <w:tblCellMar>
          <w:top w:w="28" w:type="dxa"/>
          <w:left w:w="28" w:type="dxa"/>
          <w:bottom w:w="28" w:type="dxa"/>
          <w:right w:w="28" w:type="dxa"/>
        </w:tblCellMar>
      </w:tblPr>
      <w:tblGrid>
        <w:gridCol w:w="124"/>
        <w:gridCol w:w="109"/>
        <w:gridCol w:w="109"/>
        <w:gridCol w:w="1098"/>
        <w:gridCol w:w="1098"/>
        <w:gridCol w:w="1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Collier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William Collier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President and Chief Executive Officer </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100" w:after="10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Arbutus Biopharma Corporation (the “Company”) for the quarter ended June 30, 2023,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 </w:t>
      </w:r>
    </w:p>
    <w:p>
      <w:pPr>
        <w:pStyle w:val="TextBody"/>
        <w:bidi w:val="0"/>
        <w:spacing w:lineRule="auto" w:line="288" w:before="3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represents, in all material respects, the financial condition and results of the operations of the Company.</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3, 2023 </w:t>
      </w:r>
    </w:p>
    <w:tbl>
      <w:tblPr>
        <w:tblW w:w="2892" w:type="dxa"/>
        <w:jc w:val="center"/>
        <w:tblInd w:w="0" w:type="dxa"/>
        <w:tblLayout w:type="fixed"/>
        <w:tblCellMar>
          <w:top w:w="28" w:type="dxa"/>
          <w:left w:w="28" w:type="dxa"/>
          <w:bottom w:w="28" w:type="dxa"/>
          <w:right w:w="28" w:type="dxa"/>
        </w:tblCellMar>
      </w:tblPr>
      <w:tblGrid>
        <w:gridCol w:w="124"/>
        <w:gridCol w:w="109"/>
        <w:gridCol w:w="109"/>
        <w:gridCol w:w="744"/>
        <w:gridCol w:w="744"/>
        <w:gridCol w:w="1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David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47028/000162828018003276/exhibit31_articlesandartic.htm" TargetMode="External"/><Relationship Id="rId4" Type="http://schemas.openxmlformats.org/officeDocument/2006/relationships/hyperlink" Target="http://www.sec.gov/Archives/edgar/data/1447028/000162828018013909/exhibit31amendmenttoarticl.htm" TargetMode="External"/><Relationship Id="rId5" Type="http://schemas.openxmlformats.org/officeDocument/2006/relationships/hyperlink" Target="http://www.sec.gov/Archives/edgar/data/1447028/000144702823000052/omnibusplan2016wamend5.htm" TargetMode="External"/><Relationship Id="rId6" Type="http://schemas.openxmlformats.org/officeDocument/2006/relationships/hyperlink" Target="http://www.sec.gov/Archives/edgar/data/1447028/000144702823000052/omnibusplan2016wamend5.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38762</Words>
  <Characters>212943</Characters>
  <CharactersWithSpaces>250835</CharactersWithSpaces>
  <Paragraphs>2194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