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0" w:lineRule="exact"/>
        <w:rPr>
          <w:sz w:val="24"/>
          <w:szCs w:val="24"/>
          <w:color w:val="auto"/>
        </w:rPr>
      </w:pPr>
    </w:p>
    <w:p>
      <w:pPr>
        <w:spacing w:after="0" w:line="233" w:lineRule="exact"/>
        <w:rPr>
          <w:sz w:val="24"/>
          <w:szCs w:val="24"/>
          <w:color w:val="auto"/>
        </w:rPr>
      </w:pPr>
    </w:p>
    <w:p>
      <w:pPr>
        <w:ind w:left="3840" w:right="2140" w:hanging="3832"/>
        <w:spacing w:after="0" w:line="344" w:lineRule="auto"/>
        <w:tabs>
          <w:tab w:leader="none" w:pos="2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300" w:hanging="292"/>
        <w:spacing w:after="0" w:line="202" w:lineRule="auto"/>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3"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001-34949</w:t>
      </w:r>
    </w:p>
    <w:p>
      <w:pPr>
        <w:spacing w:after="0" w:line="56" w:lineRule="exact"/>
        <w:rPr>
          <w:sz w:val="24"/>
          <w:szCs w:val="24"/>
          <w:color w:val="auto"/>
        </w:rPr>
      </w:pPr>
    </w:p>
    <w:tbl>
      <w:tblPr>
        <w:tblLayout w:type="fixed"/>
        <w:tblInd w:w="780" w:type="dxa"/>
        <w:tblCellMar>
          <w:top w:w="0" w:type="dxa"/>
          <w:left w:w="0" w:type="dxa"/>
          <w:bottom w:w="0" w:type="dxa"/>
          <w:right w:w="0" w:type="dxa"/>
        </w:tblCellMar>
      </w:tblPr>
      <w:tr>
        <w:trPr>
          <w:trHeight w:val="405"/>
        </w:trPr>
        <w:tc>
          <w:tcPr>
            <w:tcW w:w="2440" w:type="dxa"/>
            <w:vAlign w:val="bottom"/>
          </w:tcPr>
          <w:p>
            <w:pPr>
              <w:spacing w:after="0"/>
              <w:rPr>
                <w:sz w:val="24"/>
                <w:szCs w:val="24"/>
                <w:color w:val="auto"/>
              </w:rPr>
            </w:pPr>
          </w:p>
        </w:tc>
        <w:tc>
          <w:tcPr>
            <w:tcW w:w="6820" w:type="dxa"/>
            <w:vAlign w:val="bottom"/>
          </w:tcPr>
          <w:p>
            <w:pPr>
              <w:jc w:val="center"/>
              <w:ind w:right="1924"/>
              <w:spacing w:after="0"/>
              <w:rPr>
                <w:sz w:val="20"/>
                <w:szCs w:val="20"/>
                <w:color w:val="auto"/>
              </w:rPr>
            </w:pPr>
            <w:r>
              <w:rPr>
                <w:rFonts w:ascii="Times New Roman" w:cs="Times New Roman" w:eastAsia="Times New Roman" w:hAnsi="Times New Roman"/>
                <w:sz w:val="31"/>
                <w:szCs w:val="31"/>
                <w:b w:val="1"/>
                <w:bCs w:val="1"/>
                <w:color w:val="auto"/>
                <w:w w:val="98"/>
              </w:rPr>
              <w:t>Arbutus Biopharma Corporation</w:t>
            </w:r>
          </w:p>
        </w:tc>
      </w:tr>
      <w:tr>
        <w:trPr>
          <w:trHeight w:val="259"/>
        </w:trPr>
        <w:tc>
          <w:tcPr>
            <w:tcW w:w="2440" w:type="dxa"/>
            <w:vAlign w:val="bottom"/>
          </w:tcPr>
          <w:p>
            <w:pPr>
              <w:spacing w:after="0"/>
              <w:rPr>
                <w:sz w:val="22"/>
                <w:szCs w:val="22"/>
                <w:color w:val="auto"/>
              </w:rPr>
            </w:pPr>
          </w:p>
        </w:tc>
        <w:tc>
          <w:tcPr>
            <w:tcW w:w="6820" w:type="dxa"/>
            <w:vAlign w:val="bottom"/>
          </w:tcPr>
          <w:p>
            <w:pPr>
              <w:jc w:val="center"/>
              <w:ind w:right="190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3"/>
        </w:trPr>
        <w:tc>
          <w:tcPr>
            <w:tcW w:w="2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6820" w:type="dxa"/>
            <w:vAlign w:val="bottom"/>
          </w:tcPr>
          <w:p>
            <w:pPr>
              <w:jc w:val="center"/>
              <w:ind w:left="5364"/>
              <w:spacing w:after="0"/>
              <w:rPr>
                <w:sz w:val="20"/>
                <w:szCs w:val="20"/>
                <w:color w:val="auto"/>
              </w:rPr>
            </w:pPr>
            <w:r>
              <w:rPr>
                <w:rFonts w:ascii="Times New Roman" w:cs="Times New Roman" w:eastAsia="Times New Roman" w:hAnsi="Times New Roman"/>
                <w:sz w:val="18"/>
                <w:szCs w:val="18"/>
                <w:b w:val="1"/>
                <w:bCs w:val="1"/>
                <w:color w:val="auto"/>
              </w:rPr>
              <w:t>98-0597776</w:t>
            </w:r>
          </w:p>
        </w:tc>
      </w:tr>
      <w:tr>
        <w:trPr>
          <w:trHeight w:val="189"/>
        </w:trPr>
        <w:tc>
          <w:tcPr>
            <w:tcW w:w="24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6820" w:type="dxa"/>
            <w:vAlign w:val="bottom"/>
          </w:tcPr>
          <w:p>
            <w:pPr>
              <w:jc w:val="center"/>
              <w:ind w:left="5364"/>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29"/>
        </w:trPr>
        <w:tc>
          <w:tcPr>
            <w:tcW w:w="24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6820" w:type="dxa"/>
            <w:vAlign w:val="bottom"/>
          </w:tcPr>
          <w:p>
            <w:pPr>
              <w:jc w:val="center"/>
              <w:ind w:left="538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29"/>
        </w:trPr>
        <w:tc>
          <w:tcPr>
            <w:tcW w:w="2440" w:type="dxa"/>
            <w:vAlign w:val="bottom"/>
          </w:tcPr>
          <w:p>
            <w:pPr>
              <w:spacing w:after="0"/>
              <w:rPr>
                <w:sz w:val="19"/>
                <w:szCs w:val="19"/>
                <w:color w:val="auto"/>
              </w:rPr>
            </w:pPr>
          </w:p>
        </w:tc>
        <w:tc>
          <w:tcPr>
            <w:tcW w:w="6820" w:type="dxa"/>
            <w:vAlign w:val="bottom"/>
          </w:tcPr>
          <w:p>
            <w:pPr>
              <w:jc w:val="center"/>
              <w:ind w:right="1944"/>
              <w:spacing w:after="0"/>
              <w:rPr>
                <w:sz w:val="20"/>
                <w:szCs w:val="20"/>
                <w:color w:val="auto"/>
              </w:rPr>
            </w:pPr>
            <w:r>
              <w:rPr>
                <w:rFonts w:ascii="Times New Roman" w:cs="Times New Roman" w:eastAsia="Times New Roman" w:hAnsi="Times New Roman"/>
                <w:sz w:val="18"/>
                <w:szCs w:val="18"/>
                <w:color w:val="auto"/>
                <w:w w:val="98"/>
              </w:rPr>
              <w:t>701 Veterans Circle</w:t>
            </w:r>
          </w:p>
        </w:tc>
      </w:tr>
      <w:tr>
        <w:trPr>
          <w:trHeight w:val="230"/>
        </w:trPr>
        <w:tc>
          <w:tcPr>
            <w:tcW w:w="2440" w:type="dxa"/>
            <w:vAlign w:val="bottom"/>
          </w:tcPr>
          <w:p>
            <w:pPr>
              <w:spacing w:after="0"/>
              <w:rPr>
                <w:sz w:val="19"/>
                <w:szCs w:val="19"/>
                <w:color w:val="auto"/>
              </w:rPr>
            </w:pPr>
          </w:p>
        </w:tc>
        <w:tc>
          <w:tcPr>
            <w:tcW w:w="6820" w:type="dxa"/>
            <w:vAlign w:val="bottom"/>
          </w:tcPr>
          <w:p>
            <w:pPr>
              <w:jc w:val="center"/>
              <w:ind w:right="1924"/>
              <w:spacing w:after="0"/>
              <w:rPr>
                <w:sz w:val="20"/>
                <w:szCs w:val="20"/>
                <w:color w:val="auto"/>
              </w:rPr>
            </w:pPr>
            <w:r>
              <w:rPr>
                <w:rFonts w:ascii="Times New Roman" w:cs="Times New Roman" w:eastAsia="Times New Roman" w:hAnsi="Times New Roman"/>
                <w:sz w:val="18"/>
                <w:szCs w:val="18"/>
                <w:color w:val="auto"/>
                <w:w w:val="98"/>
              </w:rPr>
              <w:t>Warminster</w:t>
            </w:r>
          </w:p>
        </w:tc>
      </w:tr>
      <w:tr>
        <w:trPr>
          <w:trHeight w:val="229"/>
        </w:trPr>
        <w:tc>
          <w:tcPr>
            <w:tcW w:w="2440" w:type="dxa"/>
            <w:vAlign w:val="bottom"/>
          </w:tcPr>
          <w:p>
            <w:pPr>
              <w:spacing w:after="0"/>
              <w:rPr>
                <w:sz w:val="19"/>
                <w:szCs w:val="19"/>
                <w:color w:val="auto"/>
              </w:rPr>
            </w:pPr>
          </w:p>
        </w:tc>
        <w:tc>
          <w:tcPr>
            <w:tcW w:w="6820" w:type="dxa"/>
            <w:vAlign w:val="bottom"/>
          </w:tcPr>
          <w:p>
            <w:pPr>
              <w:jc w:val="center"/>
              <w:ind w:right="1924"/>
              <w:spacing w:after="0"/>
              <w:rPr>
                <w:sz w:val="20"/>
                <w:szCs w:val="20"/>
                <w:color w:val="auto"/>
              </w:rPr>
            </w:pPr>
            <w:r>
              <w:rPr>
                <w:rFonts w:ascii="Times New Roman" w:cs="Times New Roman" w:eastAsia="Times New Roman" w:hAnsi="Times New Roman"/>
                <w:sz w:val="18"/>
                <w:szCs w:val="18"/>
                <w:color w:val="auto"/>
                <w:w w:val="86"/>
              </w:rPr>
              <w:t>PA</w:t>
            </w:r>
          </w:p>
        </w:tc>
      </w:tr>
      <w:tr>
        <w:trPr>
          <w:trHeight w:val="229"/>
        </w:trPr>
        <w:tc>
          <w:tcPr>
            <w:tcW w:w="2440" w:type="dxa"/>
            <w:vAlign w:val="bottom"/>
          </w:tcPr>
          <w:p>
            <w:pPr>
              <w:spacing w:after="0"/>
              <w:rPr>
                <w:sz w:val="19"/>
                <w:szCs w:val="19"/>
                <w:color w:val="auto"/>
              </w:rPr>
            </w:pPr>
          </w:p>
        </w:tc>
        <w:tc>
          <w:tcPr>
            <w:tcW w:w="6820" w:type="dxa"/>
            <w:vAlign w:val="bottom"/>
          </w:tcPr>
          <w:p>
            <w:pPr>
              <w:jc w:val="center"/>
              <w:ind w:right="1924"/>
              <w:spacing w:after="0"/>
              <w:rPr>
                <w:sz w:val="20"/>
                <w:szCs w:val="20"/>
                <w:color w:val="auto"/>
              </w:rPr>
            </w:pPr>
            <w:r>
              <w:rPr>
                <w:rFonts w:ascii="Times New Roman" w:cs="Times New Roman" w:eastAsia="Times New Roman" w:hAnsi="Times New Roman"/>
                <w:sz w:val="18"/>
                <w:szCs w:val="18"/>
                <w:color w:val="auto"/>
                <w:w w:val="97"/>
              </w:rPr>
              <w:t>18974</w:t>
            </w:r>
          </w:p>
        </w:tc>
      </w:tr>
      <w:tr>
        <w:trPr>
          <w:trHeight w:val="234"/>
        </w:trPr>
        <w:tc>
          <w:tcPr>
            <w:tcW w:w="2440" w:type="dxa"/>
            <w:vAlign w:val="bottom"/>
          </w:tcPr>
          <w:p>
            <w:pPr>
              <w:spacing w:after="0"/>
              <w:rPr>
                <w:sz w:val="20"/>
                <w:szCs w:val="20"/>
                <w:color w:val="auto"/>
              </w:rPr>
            </w:pPr>
          </w:p>
        </w:tc>
        <w:tc>
          <w:tcPr>
            <w:tcW w:w="6820" w:type="dxa"/>
            <w:vAlign w:val="bottom"/>
          </w:tcPr>
          <w:p>
            <w:pPr>
              <w:jc w:val="center"/>
              <w:ind w:right="1904"/>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3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267-469-0914</w:t>
      </w:r>
    </w:p>
    <w:p>
      <w:pPr>
        <w:spacing w:after="0" w:line="6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1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ABUS</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22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 company</w:t>
            </w:r>
          </w:p>
        </w:tc>
      </w:tr>
      <w:tr>
        <w:trPr>
          <w:trHeight w:val="398"/>
        </w:trPr>
        <w:tc>
          <w:tcPr>
            <w:tcW w:w="2300" w:type="dxa"/>
            <w:vAlign w:val="bottom"/>
          </w:tcPr>
          <w:p>
            <w:pPr>
              <w:jc w:val="center"/>
              <w:ind w:right="90"/>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236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000"/>
        </w:trPr>
        <w:tc>
          <w:tcPr>
            <w:tcW w:w="2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18"/>
          <w:szCs w:val="18"/>
          <w:color w:val="auto"/>
        </w:rPr>
        <w:t>☐</w:t>
      </w:r>
    </w:p>
    <w:p>
      <w:pPr>
        <w:spacing w:after="0" w:line="27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6"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last business day of the registrant’s most recently completed second fiscal quarter, the approximate aggregate market value of voting and non-voting common equity held by non-affiliates of the registrant was $290,424,678 (based on the closing price of $2.71 per share as reported on the Nasdaq Global Select Market as of that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the registrant had 162,570,989 common shares, without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2023 Annual Meeting of Shareholders, which the registrant intends to file pursuant to Regulation 14A with the Securities and Exchange Commission no later than 120 days after the registrant’s fiscal year ended December 31, 2022,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gridSpan w:val="1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ARBUTUS BIOPHARMA CORPORATION</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gridSpan w:val="11"/>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9"/>
        </w:trPr>
        <w:tc>
          <w:tcPr>
            <w:tcW w:w="4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0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Risk Factors Summary</w:t>
            </w:r>
          </w:p>
        </w:tc>
        <w:tc>
          <w:tcPr>
            <w:tcW w:w="2440" w:type="dxa"/>
            <w:vAlign w:val="bottom"/>
            <w:gridSpan w:val="8"/>
          </w:tcPr>
          <w:p>
            <w:pPr>
              <w:spacing w:after="0"/>
              <w:rPr>
                <w:sz w:val="18"/>
                <w:szCs w:val="18"/>
                <w:color w:val="auto"/>
              </w:rPr>
            </w:pPr>
          </w:p>
        </w:tc>
        <w:tc>
          <w:tcPr>
            <w:tcW w:w="6020" w:type="dxa"/>
            <w:vAlign w:val="bottom"/>
            <w:gridSpan w:val="12"/>
          </w:tcPr>
          <w:p>
            <w:pPr>
              <w:spacing w:after="0"/>
              <w:rPr>
                <w:sz w:val="18"/>
                <w:szCs w:val="18"/>
                <w:color w:val="auto"/>
              </w:rPr>
            </w:pPr>
          </w:p>
        </w:tc>
        <w:tc>
          <w:tcPr>
            <w:tcW w:w="74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900" w:type="dxa"/>
            <w:vAlign w:val="bottom"/>
            <w:gridSpan w:val="19"/>
          </w:tcPr>
          <w:p>
            <w:pPr>
              <w:spacing w:after="0"/>
              <w:rPr>
                <w:sz w:val="18"/>
                <w:szCs w:val="18"/>
                <w:color w:val="auto"/>
              </w:rPr>
            </w:pPr>
          </w:p>
        </w:tc>
        <w:tc>
          <w:tcPr>
            <w:tcW w:w="74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71"/>
              </w:rPr>
              <w:t>1A.</w:t>
            </w:r>
          </w:p>
        </w:tc>
        <w:tc>
          <w:tcPr>
            <w:tcW w:w="66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640" w:type="dxa"/>
            <w:vAlign w:val="bottom"/>
            <w:gridSpan w:val="17"/>
          </w:tcPr>
          <w:p>
            <w:pPr>
              <w:spacing w:after="0"/>
              <w:rPr>
                <w:sz w:val="18"/>
                <w:szCs w:val="18"/>
                <w:color w:val="auto"/>
              </w:rPr>
            </w:pP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0"/>
              </w:rPr>
              <w:t>1B.</w:t>
            </w:r>
          </w:p>
        </w:tc>
        <w:tc>
          <w:tcPr>
            <w:tcW w:w="660" w:type="dxa"/>
            <w:vAlign w:val="bottom"/>
          </w:tcPr>
          <w:p>
            <w:pPr>
              <w:spacing w:after="0"/>
              <w:rPr>
                <w:sz w:val="18"/>
                <w:szCs w:val="18"/>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500" w:type="dxa"/>
            <w:vAlign w:val="bottom"/>
            <w:gridSpan w:val="13"/>
          </w:tcPr>
          <w:p>
            <w:pPr>
              <w:spacing w:after="0"/>
              <w:rPr>
                <w:sz w:val="18"/>
                <w:szCs w:val="18"/>
                <w:color w:val="auto"/>
              </w:rPr>
            </w:pP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500" w:type="dxa"/>
            <w:vAlign w:val="bottom"/>
            <w:gridSpan w:val="13"/>
          </w:tcPr>
          <w:p>
            <w:pPr>
              <w:spacing w:after="0"/>
              <w:rPr>
                <w:sz w:val="18"/>
                <w:szCs w:val="18"/>
                <w:color w:val="auto"/>
              </w:rPr>
            </w:pP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9"/>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480" w:type="dxa"/>
            <w:vAlign w:val="bottom"/>
          </w:tcPr>
          <w:p>
            <w:pPr>
              <w:spacing w:after="0"/>
              <w:rPr>
                <w:sz w:val="18"/>
                <w:szCs w:val="18"/>
                <w:color w:val="auto"/>
              </w:rPr>
            </w:pP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71"/>
              </w:rPr>
              <w:t>7A.</w:t>
            </w:r>
          </w:p>
        </w:tc>
        <w:tc>
          <w:tcPr>
            <w:tcW w:w="660" w:type="dxa"/>
            <w:vAlign w:val="bottom"/>
          </w:tcPr>
          <w:p>
            <w:pPr>
              <w:spacing w:after="0"/>
              <w:rPr>
                <w:sz w:val="18"/>
                <w:szCs w:val="18"/>
                <w:color w:val="auto"/>
              </w:rPr>
            </w:pPr>
          </w:p>
        </w:tc>
        <w:tc>
          <w:tcPr>
            <w:tcW w:w="4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40" w:type="dxa"/>
            <w:vAlign w:val="bottom"/>
            <w:gridSpan w:val="7"/>
          </w:tcPr>
          <w:p>
            <w:pPr>
              <w:spacing w:after="0"/>
              <w:rPr>
                <w:sz w:val="18"/>
                <w:szCs w:val="18"/>
                <w:color w:val="auto"/>
              </w:rPr>
            </w:pP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220" w:type="dxa"/>
            <w:vAlign w:val="bottom"/>
            <w:gridSpan w:val="9"/>
          </w:tcPr>
          <w:p>
            <w:pPr>
              <w:spacing w:after="0"/>
              <w:rPr>
                <w:sz w:val="18"/>
                <w:szCs w:val="18"/>
                <w:color w:val="auto"/>
              </w:rPr>
            </w:pPr>
          </w:p>
        </w:tc>
        <w:tc>
          <w:tcPr>
            <w:tcW w:w="74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0000FF"/>
                <w:w w:val="99"/>
              </w:rPr>
              <w:t>71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20" w:type="dxa"/>
            <w:vAlign w:val="bottom"/>
            <w:gridSpan w:val="8"/>
          </w:tcPr>
          <w:p>
            <w:pPr>
              <w:jc w:val="center"/>
              <w:ind w:left="370"/>
              <w:spacing w:after="0"/>
              <w:rPr>
                <w:sz w:val="20"/>
                <w:szCs w:val="20"/>
                <w:color w:val="auto"/>
              </w:rPr>
            </w:pPr>
            <w:r>
              <w:rPr>
                <w:rFonts w:ascii="Times New Roman" w:cs="Times New Roman" w:eastAsia="Times New Roman" w:hAnsi="Times New Roman"/>
                <w:sz w:val="18"/>
                <w:szCs w:val="18"/>
                <w:color w:val="0000FF"/>
              </w:rPr>
              <w:t>103</w:t>
            </w: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71"/>
              </w:rPr>
              <w:t>9A.</w:t>
            </w: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gridSpan w:val="8"/>
          </w:tcPr>
          <w:p>
            <w:pPr>
              <w:jc w:val="center"/>
              <w:ind w:left="370"/>
              <w:spacing w:after="0"/>
              <w:rPr>
                <w:sz w:val="20"/>
                <w:szCs w:val="20"/>
                <w:color w:val="auto"/>
              </w:rPr>
            </w:pPr>
            <w:r>
              <w:rPr>
                <w:rFonts w:ascii="Times New Roman" w:cs="Times New Roman" w:eastAsia="Times New Roman" w:hAnsi="Times New Roman"/>
                <w:sz w:val="18"/>
                <w:szCs w:val="18"/>
                <w:color w:val="0000FF"/>
              </w:rPr>
              <w:t>103</w:t>
            </w:r>
          </w:p>
        </w:tc>
      </w:tr>
      <w:tr>
        <w:trPr>
          <w:trHeight w:val="210"/>
        </w:trPr>
        <w:tc>
          <w:tcPr>
            <w:tcW w:w="320" w:type="dxa"/>
            <w:vAlign w:val="bottom"/>
          </w:tcPr>
          <w:p>
            <w:pPr>
              <w:spacing w:after="0"/>
              <w:rPr>
                <w:sz w:val="18"/>
                <w:szCs w:val="18"/>
                <w:color w:val="auto"/>
              </w:rPr>
            </w:pPr>
          </w:p>
        </w:tc>
        <w:tc>
          <w:tcPr>
            <w:tcW w:w="3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0"/>
              </w:rPr>
              <w:t>9B.</w:t>
            </w:r>
          </w:p>
        </w:tc>
        <w:tc>
          <w:tcPr>
            <w:tcW w:w="660" w:type="dxa"/>
            <w:vAlign w:val="bottom"/>
          </w:tcPr>
          <w:p>
            <w:pPr>
              <w:spacing w:after="0"/>
              <w:rPr>
                <w:sz w:val="18"/>
                <w:szCs w:val="18"/>
                <w:color w:val="auto"/>
              </w:rPr>
            </w:pP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780" w:type="dxa"/>
            <w:vAlign w:val="bottom"/>
            <w:gridSpan w:val="15"/>
          </w:tcPr>
          <w:p>
            <w:pPr>
              <w:spacing w:after="0"/>
              <w:rPr>
                <w:sz w:val="18"/>
                <w:szCs w:val="18"/>
                <w:color w:val="auto"/>
              </w:rPr>
            </w:pPr>
          </w:p>
        </w:tc>
        <w:tc>
          <w:tcPr>
            <w:tcW w:w="500" w:type="dxa"/>
            <w:vAlign w:val="bottom"/>
            <w:gridSpan w:val="2"/>
          </w:tcPr>
          <w:p>
            <w:pPr>
              <w:spacing w:after="0"/>
              <w:rPr>
                <w:sz w:val="18"/>
                <w:szCs w:val="18"/>
                <w:color w:val="auto"/>
              </w:rPr>
            </w:pPr>
          </w:p>
        </w:tc>
        <w:tc>
          <w:tcPr>
            <w:tcW w:w="2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104</w:t>
            </w:r>
          </w:p>
        </w:tc>
        <w:tc>
          <w:tcPr>
            <w:tcW w:w="4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0"/>
              </w:rPr>
              <w:t>9C.</w:t>
            </w: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20" w:type="dxa"/>
            <w:vAlign w:val="bottom"/>
            <w:gridSpan w:val="8"/>
          </w:tcPr>
          <w:p>
            <w:pPr>
              <w:jc w:val="center"/>
              <w:ind w:left="370"/>
              <w:spacing w:after="0"/>
              <w:rPr>
                <w:sz w:val="20"/>
                <w:szCs w:val="20"/>
                <w:color w:val="auto"/>
              </w:rPr>
            </w:pPr>
            <w:r>
              <w:rPr>
                <w:rFonts w:ascii="Times New Roman" w:cs="Times New Roman" w:eastAsia="Times New Roman" w:hAnsi="Times New Roman"/>
                <w:sz w:val="18"/>
                <w:szCs w:val="18"/>
                <w:color w:val="0000FF"/>
              </w:rPr>
              <w:t>104</w:t>
            </w:r>
          </w:p>
        </w:tc>
      </w:tr>
      <w:tr>
        <w:trPr>
          <w:trHeight w:val="20"/>
        </w:trPr>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PART III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8"/>
          </w:tcPr>
          <w:p>
            <w:pPr>
              <w:jc w:val="center"/>
              <w:ind w:left="370"/>
              <w:spacing w:after="0"/>
              <w:rPr>
                <w:sz w:val="20"/>
                <w:szCs w:val="20"/>
                <w:color w:val="auto"/>
              </w:rPr>
            </w:pPr>
            <w:r>
              <w:rPr>
                <w:rFonts w:ascii="Times New Roman" w:cs="Times New Roman" w:eastAsia="Times New Roman" w:hAnsi="Times New Roman"/>
                <w:sz w:val="18"/>
                <w:szCs w:val="18"/>
                <w:color w:val="0000FF"/>
              </w:rPr>
              <w:t>105</w:t>
            </w:r>
          </w:p>
        </w:tc>
      </w:tr>
      <w:tr>
        <w:trPr>
          <w:trHeight w:val="210"/>
        </w:trPr>
        <w:tc>
          <w:tcPr>
            <w:tcW w:w="3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0"/>
              </w:rPr>
              <w:t>Item</w:t>
            </w:r>
          </w:p>
        </w:tc>
        <w:tc>
          <w:tcPr>
            <w:tcW w:w="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9"/>
              </w:rPr>
              <w:t>10.</w:t>
            </w: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00" w:type="dxa"/>
            <w:vAlign w:val="bottom"/>
            <w:gridSpan w:val="2"/>
          </w:tcPr>
          <w:p>
            <w:pPr>
              <w:spacing w:after="0"/>
              <w:rPr>
                <w:sz w:val="18"/>
                <w:szCs w:val="18"/>
                <w:color w:val="auto"/>
              </w:rPr>
            </w:pPr>
          </w:p>
        </w:tc>
        <w:tc>
          <w:tcPr>
            <w:tcW w:w="2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4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36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9"/>
              </w:rPr>
              <w:t>11.</w:t>
            </w:r>
          </w:p>
        </w:tc>
        <w:tc>
          <w:tcPr>
            <w:tcW w:w="66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4460" w:type="dxa"/>
            <w:vAlign w:val="bottom"/>
            <w:gridSpan w:val="8"/>
          </w:tcPr>
          <w:p>
            <w:pPr>
              <w:spacing w:after="0"/>
              <w:rPr>
                <w:sz w:val="18"/>
                <w:szCs w:val="18"/>
                <w:color w:val="auto"/>
              </w:rPr>
            </w:pPr>
          </w:p>
        </w:tc>
        <w:tc>
          <w:tcPr>
            <w:tcW w:w="500" w:type="dxa"/>
            <w:vAlign w:val="bottom"/>
            <w:gridSpan w:val="2"/>
          </w:tcPr>
          <w:p>
            <w:pPr>
              <w:spacing w:after="0"/>
              <w:rPr>
                <w:sz w:val="18"/>
                <w:szCs w:val="18"/>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4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79"/>
              </w:rPr>
              <w:t>12.</w:t>
            </w:r>
          </w:p>
        </w:tc>
        <w:tc>
          <w:tcPr>
            <w:tcW w:w="66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gridSpan w:val="8"/>
          </w:tcPr>
          <w:p>
            <w:pPr>
              <w:jc w:val="center"/>
              <w:ind w:left="370"/>
              <w:spacing w:after="0"/>
              <w:rPr>
                <w:sz w:val="20"/>
                <w:szCs w:val="20"/>
                <w:color w:val="auto"/>
              </w:rPr>
            </w:pPr>
            <w:r>
              <w:rPr>
                <w:rFonts w:ascii="Times New Roman" w:cs="Times New Roman" w:eastAsia="Times New Roman" w:hAnsi="Times New Roman"/>
                <w:sz w:val="18"/>
                <w:szCs w:val="18"/>
                <w:color w:val="0000FF"/>
              </w:rPr>
              <w:t>105</w:t>
            </w:r>
          </w:p>
        </w:tc>
      </w:tr>
      <w:tr>
        <w:trPr>
          <w:trHeight w:val="209"/>
        </w:trPr>
        <w:tc>
          <w:tcPr>
            <w:tcW w:w="320" w:type="dxa"/>
            <w:vAlign w:val="bottom"/>
          </w:tcPr>
          <w:p>
            <w:pPr>
              <w:spacing w:after="0"/>
              <w:rPr>
                <w:sz w:val="18"/>
                <w:szCs w:val="18"/>
                <w:color w:val="auto"/>
              </w:rPr>
            </w:pPr>
          </w:p>
        </w:tc>
        <w:tc>
          <w:tcPr>
            <w:tcW w:w="3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9"/>
              </w:rPr>
              <w:t>13.</w:t>
            </w:r>
          </w:p>
        </w:tc>
        <w:tc>
          <w:tcPr>
            <w:tcW w:w="660" w:type="dxa"/>
            <w:vAlign w:val="bottom"/>
          </w:tcPr>
          <w:p>
            <w:pPr>
              <w:spacing w:after="0"/>
              <w:rPr>
                <w:sz w:val="18"/>
                <w:szCs w:val="18"/>
                <w:color w:val="auto"/>
              </w:rPr>
            </w:pP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6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2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4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3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9"/>
              </w:rPr>
              <w:t>14.</w:t>
            </w:r>
          </w:p>
        </w:tc>
        <w:tc>
          <w:tcPr>
            <w:tcW w:w="660" w:type="dxa"/>
            <w:vAlign w:val="bottom"/>
          </w:tcPr>
          <w:p>
            <w:pPr>
              <w:spacing w:after="0"/>
              <w:rPr>
                <w:sz w:val="18"/>
                <w:szCs w:val="18"/>
                <w:color w:val="auto"/>
              </w:rPr>
            </w:pPr>
          </w:p>
        </w:tc>
        <w:tc>
          <w:tcPr>
            <w:tcW w:w="5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100" w:type="dxa"/>
            <w:vAlign w:val="bottom"/>
            <w:gridSpan w:val="5"/>
          </w:tcPr>
          <w:p>
            <w:pPr>
              <w:spacing w:after="0"/>
              <w:rPr>
                <w:sz w:val="18"/>
                <w:szCs w:val="18"/>
                <w:color w:val="auto"/>
              </w:rPr>
            </w:pPr>
          </w:p>
        </w:tc>
        <w:tc>
          <w:tcPr>
            <w:tcW w:w="820" w:type="dxa"/>
            <w:vAlign w:val="bottom"/>
            <w:gridSpan w:val="8"/>
          </w:tcPr>
          <w:p>
            <w:pPr>
              <w:jc w:val="center"/>
              <w:ind w:left="370"/>
              <w:spacing w:after="0"/>
              <w:rPr>
                <w:sz w:val="20"/>
                <w:szCs w:val="20"/>
                <w:color w:val="auto"/>
              </w:rPr>
            </w:pPr>
            <w:r>
              <w:rPr>
                <w:rFonts w:ascii="Times New Roman" w:cs="Times New Roman" w:eastAsia="Times New Roman" w:hAnsi="Times New Roman"/>
                <w:sz w:val="18"/>
                <w:szCs w:val="18"/>
                <w:color w:val="0000FF"/>
              </w:rPr>
              <w:t>105</w:t>
            </w:r>
          </w:p>
        </w:tc>
      </w:tr>
      <w:tr>
        <w:trPr>
          <w:trHeight w:val="20"/>
        </w:trPr>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106</w:t>
            </w:r>
          </w:p>
        </w:tc>
        <w:tc>
          <w:tcPr>
            <w:tcW w:w="4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3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79"/>
              </w:rPr>
              <w:t>15.</w:t>
            </w:r>
          </w:p>
        </w:tc>
        <w:tc>
          <w:tcPr>
            <w:tcW w:w="66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380" w:type="dxa"/>
            <w:vAlign w:val="bottom"/>
            <w:gridSpan w:val="10"/>
          </w:tcPr>
          <w:p>
            <w:pPr>
              <w:spacing w:after="0"/>
              <w:rPr>
                <w:sz w:val="18"/>
                <w:szCs w:val="18"/>
                <w:color w:val="auto"/>
              </w:rPr>
            </w:pPr>
          </w:p>
        </w:tc>
        <w:tc>
          <w:tcPr>
            <w:tcW w:w="500" w:type="dxa"/>
            <w:vAlign w:val="bottom"/>
            <w:gridSpan w:val="2"/>
          </w:tcPr>
          <w:p>
            <w:pPr>
              <w:spacing w:after="0"/>
              <w:rPr>
                <w:sz w:val="18"/>
                <w:szCs w:val="18"/>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106</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4" w:name="page5"/>
    <w:bookmarkEnd w:id="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20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research, pre-clinical studies, clinical trials, prospects and the plans of management;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achieve their desired or anticipated outcomes;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timing and results of our clinical development plans and clinical trials, including our clinical collaborations with third parties;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COVID-19 pandemic on our business and clinical trials;</w:t>
      </w:r>
    </w:p>
    <w:p>
      <w:pPr>
        <w:spacing w:after="0" w:line="2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development and commercialization of a curative combination regimen for chronic hepatitis B infection, a disease of the liver caused by the hepatitis B virus (“HBV”);</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product candidates to improve upon the standard of care and contribute to a functional curative combination treatment regimen;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us to discover and/or develop new molecular entities for treating coronaviruses, including COVID-19;</w:t>
      </w:r>
    </w:p>
    <w:p>
      <w:pPr>
        <w:spacing w:after="0" w:line="2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returns and benefits from strategic alliances, licensing agreements, and research collaborations with third parties, and the timing thereof;</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technology licensed to third parties, and the timing thereof;</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 and expense fluctuation and guidance;</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announcing data from our ongoing clinical trials;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current patent disputes and litigation;</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a net cash burn between $95.0 million and $100.0 million in 2023;</w:t>
      </w:r>
    </w:p>
    <w:p>
      <w:pPr>
        <w:spacing w:after="0" w:line="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belief that we have sufficient cash resources to fund our operations into the fourth quarter of 2024; and</w:t>
      </w:r>
    </w:p>
    <w:p>
      <w:pPr>
        <w:spacing w:after="0" w:line="5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clinical development plans could be further delayed or suspended as a result of the military action by Russia in Ukraine,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7-Management’s Discussion and Analysis of Financial Condition and Results of Operations,” “Item 7A-Quantitative and Qualitative Disclosures About Market Risk,” and “Item 8-Financial Statements and Supplementary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10-K. For all forward-looking statements, we claim protection of the safe harbor for the forward-looking statements contained in the Private Securities Litigation Reform Act of 1995.</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Summary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For more information, see “Item 1A. Risk Factors” in this Annual Report on Form 10-K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Our Financial Results and Need for Additional Capital</w:t>
      </w:r>
    </w:p>
    <w:p>
      <w:pPr>
        <w:spacing w:after="0" w:line="256" w:lineRule="exact"/>
        <w:rPr>
          <w:sz w:val="20"/>
          <w:szCs w:val="20"/>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our development, and there is a limited amount of information about us upon which you can evaluate our product candidates.</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fund our operations. Additional funds may be dilutive to shareholders or impose operational restrictions. Further, if additional capital is not available, we may need to delay, limit or eliminate our research, development and commercialization programs and modify our business strategy.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in nearly every year since our inception and we anticipate that we will not achieve profits for the foreseeable future. To date, we have had no product revenues.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impact our business, including our clinical development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Regulatory Approval, Marketing, and Coverage and Reimbursement of our Product Candidates</w:t>
      </w:r>
    </w:p>
    <w:p>
      <w:pPr>
        <w:spacing w:after="0" w:line="256"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must go through clinical trials, which are very expensive, time-consuming and difficult to design and implement. The timing and outcomes of clinical trials are uncertain.</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and preliminary and interim data from clinical trials of our product candidates are not necessarily predictive of the results or success of ongoing or later clinical trials of our product candidates.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limited resources, we may decide to pursue a particular product candidate and fail to advance product candidates that later demonstrate a greater chance of clinical and commercial success.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current pre-clinical studies and clinical trials are being conducted outside the United States, and the FDA may not accept data from trials conducted in locations outside the United States.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how long it will take regulatory agencies to review our applications for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particular product candidate causes undesirable side effects, then we may be unable to receive regulatory approval of or commercialize such product candidate.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hinder such clinical trials.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and our collaboration partner’s current and planned clinical trials have been impacted and could be further delayed or suspended as a result of the military action by Russia in Ukraine.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obtain regulatory approval, they will remain subject to ongoing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from other biotechnology and pharmaceutical companies targeting HBV and coronaviruses, including COVID-19.</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largely dependent on the future commercial success of our HBV and coronavirus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liabilities and may be required to limit commercialization of our products in response to product liability lawsuits.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adequate reimbursement may not be available for our product candidates, which could make it difficult for us to sell our products profitably.</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United States and Canadian healthcare laws and regulations, which could expose us to adverse consequences such as criminal sanctions, civil penalties, contractual damages or reputational harm, among others.</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United States Foreign Corrupt Practices Act, and potentially other similar global laws could subject us to penalties and other adverse consequences.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license agreement with Alnylam Pharmaceuticals, Inc. for the commercialization of ONPATTRO™ (Patisiran).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2" w:lineRule="exact"/>
        <w:rPr>
          <w:sz w:val="20"/>
          <w:szCs w:val="20"/>
          <w:color w:val="auto"/>
        </w:rPr>
      </w:pPr>
    </w:p>
    <w:p>
      <w:pPr>
        <w:jc w:val="both"/>
        <w:ind w:left="660" w:hanging="328"/>
        <w:spacing w:after="0" w:line="25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collaboration and licensing partners and, therefore, are subject to the efforts of these parties and our ability to successfully collaborate with them.</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on Qilu Pharmaceutical Co., Ltd. for the development and commercialization of AB-729 in China, Hong Kong, Macau and Taiwan.</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conflicts arise between our collaboration or licensing partners and us, our collaboration or licensing partners may act in their best interest and not in our best interest, which could adversely affect our business.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if they fail to fulfill their obligations, our development plans may be adversely affected.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exclusively on third parties to formulate and manufacture our product candidates, which exposes us to risks that may delay or hinder development, regulatory approval and commercialization of our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entities may assert patent rights that prevent us from developing or commercializing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and patent applications may be challenged and may be found to be invalid, which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 which could have a material adverse effect on our business and could cause the market value of our common shares to decline.</w:t>
      </w:r>
    </w:p>
    <w:p>
      <w:pPr>
        <w:ind w:left="660" w:right="2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agreements with employees and others, including collaborators, may not adequately prevent disclosure of trade secrets and other proprietary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Shares</w:t>
      </w:r>
    </w:p>
    <w:p>
      <w:pPr>
        <w:spacing w:after="0" w:line="256"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common share ownership will likely limit the ability of the other shareholders to influence corporate matters. Further, our articles and certain Canadian laws could delay or deter a change of control.</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incorporated in Canada, with our assets located both in Canada and the United States, with the result that it may be difficult for investors to enforce judgments obtained against us or some of our officers.</w:t>
      </w: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deemed to be a “passive foreign investment company,” investors who are subject to United States federal taxation would likely suffer materially adverse United States federal income tax consequences.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individuals, our ability to implement our business plan may be adversely affected.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liability from our controlled use of hazardous and radioactive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reputation, and operations could suffer in the event of information technology system failures.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assets or businesses, or form strategic alliances or collaborations or make investments in other companies or technologies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To address HBV, we are developing an RNA interference (“RNAi”) therapeutic, an oral PD-L1 inhibitor, and an oral RNA destabilizer to potentially identify a combination regimen with the aim of providing a functional cure for patients with chronic HBV infection (“cHBV”) by suppressing viral replication, reducing surface antigen and reawakening the immune system. We believe our lead compound, AB-729, is the only RNAi therapeutic with evidence of immune re-awakening. AB-729 is currently being evaluated in multiple phase 2 clinical trials. We also have an ongoing drug discovery and development program directed to identifying novel, orally active agents for treating coronaviruses, including SARS-CoV-2, where we have nominated a compound and have begun IND-enabling pre-clinical studies. In addition, we are also exploring oncology applications for our internal PD-L1 portfolio.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core elements of our strategy include:</w:t>
      </w:r>
    </w:p>
    <w:p>
      <w:pPr>
        <w:spacing w:after="0" w:line="302" w:lineRule="exact"/>
        <w:rPr>
          <w:sz w:val="20"/>
          <w:szCs w:val="20"/>
          <w:color w:val="auto"/>
        </w:rPr>
      </w:pPr>
    </w:p>
    <w:p>
      <w:pPr>
        <w:jc w:val="both"/>
        <w:ind w:left="660" w:hanging="652"/>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Developing a broad portfolio of compounds that target cHBV. </w:t>
      </w:r>
      <w:r>
        <w:rPr>
          <w:rFonts w:ascii="Times New Roman" w:cs="Times New Roman" w:eastAsia="Times New Roman" w:hAnsi="Times New Roman"/>
          <w:sz w:val="18"/>
          <w:szCs w:val="18"/>
          <w:color w:val="auto"/>
        </w:rPr>
        <w:t>Our HBV product pipeline includes a subcutaneously-delivered RNAi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 an oral HBV RNA destabilizer compound and an oral PD-L1 inhibitor. We believe that a combination of compounds that can suppress HBV DNA replication and hepatitis B surface antigen (“HBsAg”) expression as well as reawaken patients’ HBV-specific immune response would address the most important elements to achieving a functional cure. We define a functional cure as unquantifiable plasma HBV DNA and HBsAg levels more than six months after discontinuation of all treatment, with or without quantifiable anti-HBsAg antibodies.</w:t>
      </w:r>
    </w:p>
    <w:p>
      <w:pPr>
        <w:spacing w:after="0" w:line="210"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AB-729 is our proprietary subcutaneously-delivered RNAi therapeutic product candidate that suppresses all HBV antigens, including HBsAg expression, which is thought to be a key prerequisite to enable reawakening of a patient’s immune system to respond to HBV. AB-729 is currently in two Phase 2a proof-of-concept clinical trials in combination with other agents with potentially complementary mechanisms of action and we are also continuing to follow subjects from our Phase 1a/1b clinical trial (“AB-729-001”). Preliminary data from AB-729-001 has shown that treatment with AB-729 provided robust and comparable HBsAg declines regardless of dose, dosing interval or patient characteristics and was generally safe and well-tolerated after completing dosing in 41 subjects. Preliminary data also suggests that treatment with AB-729 increased HBV-specific immune responses and, in a small number of subjects who discontinued both AB-729 and nucleos(t)ide analogue (“NA”) therapy, a sustained reduction in HBsAg and HBV DNA persisted after stopping AB-729. The clinical data for AB-729 continues to support its development as a potential cornerstone agent for the treatment of cHBV infection.</w:t>
      </w:r>
    </w:p>
    <w:p>
      <w:pPr>
        <w:spacing w:after="0" w:line="21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AB-101 is our oral PD-L1 inhibitor that has the potential to reawaken patients’ HBV-specific immune response by inhibiting PD-L1. Preclinical data in an HBV mouse model was presented at the 2022 AASLD Liver Meeting showing that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and we anticipate initiating a Phase 1 healthy subject clinical trial with AB-101 in the first half of 2023. We are also exploring potential oncology applications for our internal PD-L1 portfolio.</w:t>
      </w:r>
    </w:p>
    <w:p>
      <w:pPr>
        <w:spacing w:after="0" w:line="214"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AB-161 is our next-generation oral HBV specific RNA destabilizer. We have conducted extensive non-clinical safety evaluations with AB-161 that gives us confidence in this molecule’s ability to circumvent the peripheral neuropathy findings seen in non-clinical safety studies with our first-generation oral RNA destabilizer, AB-452. We recently presented preclinical data at the Discovery on Target Conference showing that AB-161 reduced HBV RNA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HBsAg in multiple preclinical models, with favorable liver centricity and lack of observed peripheral neuropathy. We anticipate initiating a Phase 1 healthy subject clinical trial with AB-161 in the first half of 2023.</w:t>
      </w:r>
    </w:p>
    <w:p>
      <w:pPr>
        <w:spacing w:after="0" w:line="185" w:lineRule="exact"/>
        <w:rPr>
          <w:sz w:val="20"/>
          <w:szCs w:val="20"/>
          <w:color w:val="auto"/>
        </w:rPr>
      </w:pPr>
    </w:p>
    <w:p>
      <w:pPr>
        <w:jc w:val="both"/>
        <w:ind w:left="660" w:hanging="652"/>
        <w:spacing w:after="0" w:line="27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Combining therapeutic product candidates with complementary mechanisms of action to find a functional cure for people with cHBV. </w:t>
      </w:r>
      <w:r>
        <w:rPr>
          <w:rFonts w:ascii="Times New Roman" w:cs="Times New Roman" w:eastAsia="Times New Roman" w:hAnsi="Times New Roman"/>
          <w:sz w:val="17"/>
          <w:szCs w:val="17"/>
          <w:color w:val="auto"/>
        </w:rPr>
        <w:t>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believe that our proprietary product candidates AB-729, AB-101 and AB-161 may provide our first proprietary combination therapy for patients with cHBV. In-line with our strategy to position AB-729 as a potential cornerstone therapeutic in future HBV combination regimens, and to help guide future development of combination therapies of AB-729 with other compounds from our proprietary HBV portfolio, we are evaluating AB-</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729 in combination with other agents with potentially complementary mechanisms of action, including the following:</w:t>
      </w:r>
    </w:p>
    <w:p>
      <w:pPr>
        <w:spacing w:after="0" w:line="233" w:lineRule="exact"/>
        <w:rPr>
          <w:rFonts w:ascii="Times New Roman" w:cs="Times New Roman" w:eastAsia="Times New Roman" w:hAnsi="Times New Roman"/>
          <w:sz w:val="17"/>
          <w:szCs w:val="17"/>
          <w:color w:val="auto"/>
        </w:rPr>
      </w:pPr>
    </w:p>
    <w:p>
      <w:pPr>
        <w:jc w:val="both"/>
        <w:ind w:left="1300" w:hanging="320"/>
        <w:spacing w:after="0" w:line="266" w:lineRule="auto"/>
        <w:tabs>
          <w:tab w:leader="none" w:pos="12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AB-729 in combination with ongoing standard-of-care NA therapy and short courses of Peg-IFNα-2a in subjects with cHBV in a Phase 2a proof-of-concept clinical trial (“AB-729-201”). Preliminary data from the lead-in phase of this clinical trial further validated AB-729’s potential to reduce HBsAg in cHBV patients.</w:t>
      </w:r>
    </w:p>
    <w:p>
      <w:pPr>
        <w:spacing w:after="0" w:line="216" w:lineRule="exact"/>
        <w:rPr>
          <w:rFonts w:ascii="Times New Roman" w:cs="Times New Roman" w:eastAsia="Times New Roman" w:hAnsi="Times New Roman"/>
          <w:sz w:val="18"/>
          <w:szCs w:val="18"/>
          <w:color w:val="auto"/>
        </w:rPr>
      </w:pPr>
    </w:p>
    <w:p>
      <w:pPr>
        <w:jc w:val="both"/>
        <w:ind w:left="1300" w:hanging="320"/>
        <w:spacing w:after="0"/>
        <w:tabs>
          <w:tab w:leader="none" w:pos="1288"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AB-729 in combination with Vaccitech plc’s (“Vaccitech”) VTP-300, a proprietary T-cell stimulating antigen-specific immunotherapeutic, and NA therapy for the treatment of subjects with cHBV in a Phase 2a proof-of-concept clinical trial (“AB-729-202”). We recently amended the clinical trial to include an additional arm with an approved PD-1 monoclonal antibody inhibitor, nivolumab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08" w:lineRule="exact"/>
        <w:rPr>
          <w:rFonts w:ascii="Times New Roman" w:cs="Times New Roman" w:eastAsia="Times New Roman" w:hAnsi="Times New Roman"/>
          <w:sz w:val="20"/>
          <w:szCs w:val="20"/>
          <w:color w:val="auto"/>
        </w:rPr>
      </w:pPr>
    </w:p>
    <w:p>
      <w:pPr>
        <w:jc w:val="both"/>
        <w:ind w:left="660" w:hanging="652"/>
        <w:spacing w:after="0" w:line="27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small molecule antiviral product candidates to treat COVID-19 and future coronavirus outbreaks. </w:t>
      </w:r>
      <w:r>
        <w:rPr>
          <w:rFonts w:ascii="Times New Roman" w:cs="Times New Roman" w:eastAsia="Times New Roman" w:hAnsi="Times New Roman"/>
          <w:sz w:val="18"/>
          <w:szCs w:val="18"/>
          <w:color w:val="auto"/>
        </w:rPr>
        <w:t>This program is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discovery and development of new molecular entities for treating coronaviruses, including COVID-19, that address specific viral targets including the nsp5 viral protease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and the nsp12 viral polymerase.</w:t>
      </w:r>
    </w:p>
    <w:p>
      <w:pPr>
        <w:spacing w:after="0" w:line="128" w:lineRule="exact"/>
        <w:rPr>
          <w:rFonts w:ascii="Times New Roman" w:cs="Times New Roman" w:eastAsia="Times New Roman" w:hAnsi="Times New Roman"/>
          <w:sz w:val="18"/>
          <w:szCs w:val="18"/>
          <w:color w:val="auto"/>
        </w:rPr>
      </w:pPr>
    </w:p>
    <w:p>
      <w:pPr>
        <w:jc w:val="both"/>
        <w:ind w:left="1300" w:hanging="320"/>
        <w:spacing w:after="0" w:line="233" w:lineRule="auto"/>
        <w:tabs>
          <w:tab w:leader="none" w:pos="12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2022, we nominated AB-343 as our lead coronavirus drug candidate that inhibits the SARS-CoV-2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a validated target for the treatment of COVID-19 and potential future coronavirus outbreaks. In our pre-clinical research conducted to date, AB-343 has shown pan-coronavirus antiviral activity, no reduction in potency against known SARS-CoV-2 variants, robust activity against SARS-CoV-2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xml:space="preserve"> resistant strains, and a favorable drug-drug interaction profile with no need for ritonavir boosting. We are advancing AB-343 into IND-enabling studies. We are also continuing lead optimization activities for an nsp12 viral polymerase, which could potentially be combined with AB-343 to achieve better patient treatment outcomes and for use in prophylactic settings.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HBV</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Hepatitis B is a potentially life-threatening liver infection caused by HBV. HBV can cause chronic infection which leads to a higher risk of death from cirrhosis and liver cancer. cHBV represents a significant unmet medical need. There are HBV vaccines approved by the FDA, which are indicated for the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prevention of infection caused by HBV. However, the World Health Organization estimates that over 290 million people worldwide suffer from cHBV, while other estimates indicate that approximately 2.4 million people in the United States suffer from cHBV. Even with the availability of effective vaccines and current treatment options, approximately 820,000 people die every year from complications related to cHBV. We believe there is a compelling market opportunity for an HBV curative regimen. Currently, an estimated 30.4 million (10.5%) of a total of over 290 million people worldwide with cHBV are diagnosed and approximately 6.6 million (2.3%) are on treatment. We believe that the introduction of an HBV curative regimen with a finite duration would substantially increase diagnosis and treatment rates for people with cHBV.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treatments and their limitations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Today’s current treatment options for cHBV include pegylated interferon-α regimens (“Peg-IFNα”) and NA therapies. Peg-IFNα, a synthetic version of a substance produced by the body to fight infection, is administered by injection and has numerous side effects including flu-like symptoms and depression. NA therapies are oral antiviral medications which, when taken chronically, reduce HBV virus replication and inflammation and significantly reduce HBV DNA in the blood. Oral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therapies have become the standard-of-care for HBV treatment, mainly due to their ability to drive viral load to undetectable levels in the serum of patients, their single pill once-a-day dosing and favorable safety profile. However, in most cases, once Peg-IFNα and NA therapies are stopped, virus replication resumes and liver inflammation and fibrosis may still progress. While these treatments reduce viral load, less than 5% of patients are functionally cured after a finite treatment duration. With such low cure rates, most patients with cHBV are required to take NA therapy daily for the rest of their lives.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Coronaviruses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Coronaviruses are a large family of viruses that range from the common cold to more severe diseases such as severe acute respiratory syndrome (SARS), Middle East respiratory syndrome (MERS), and COVID-19. COVID-19 has caused approximately 7.2 million deaths globally according to an analysis by the Institute for Health Metrics and Evaluation (IHME). COVID-19 spreads when an infected person breathes out droplets and very small particles that contain the virus. As we strive to identify and develop new antiviral small molecules to treat COVID-19 and future coronavirus outbreaks, we have focused our research efforts on two essential targets critical for replication across all coronaviruses – nsp5 protease and nsp12 polymerase.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treatments and their limitations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Today’s current treatment options for COVID-19 include multiple vaccines, anti-viral drugs and antibodies to prevent or treat the disease. Despite the high efficacy of the COVID-19 vaccines, it is estimated that more than 25% of the world’s population remains unvaccinated against COVID-19. Today’s anti-viral treatments have certain limitations, including a short time frame to begin treatment, potential drug-drug interactions due to ritonavir boosting and frequently occurring side effects. Patients continue to be hospitalized and die from COVID-19. In addition to the availability of vaccines and other treatments, new effective and safe therapies are needed to successfully combat the COVID-19 pandemic and any future coronavirus outbreaks.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pipeline includes multiple product candidates that target various steps in the HBV viral lifecycle and pan-coronavirus compounds that target essential viral targets for replication.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pipeline consists of the following programs: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explore expansion opportunities for our pipeline through internal discovery and development activities and through potential strategic alliances.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RNAi therapeutic (AB-729)</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RNAi therapeutics represent a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AB-729 is a subcutaneously-delivered RNAi single-trigger therapeutic targeted to hepatocytes using our proprietary covalently conjugated GalNAc delivery technology. AB-729 reduces all HBV antigens and inhibits viral replication.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1a/1b single- and multiple-dose clinical trial (AB-729-001)</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three-part clinical trial, we investigated the safety, tolerability, pharmacokinetics, and pharmacodynamics of single- and multi-doses of AB-729 in healthy subjects and in cHBV patients with the goal of identifying the most appropriate doses and dosing intervals to take forward into Phase 2 clinical development.</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two parts evaluated single ascending doses of AB-729 in healthy subjects and in patients with cHBV, respectively. Data showed that a 60mg or 90mg single dose of AB-729 results in robust HBsAg and HBV DNA declines in HBV DNA positive patients. Part 3 of the trial dosed HBV DNA negative/positive patients with 60mg or 90mg of AB-729 every 4, 8 or twelve weeks. Dosing of patients in Part 3 has been completed and we are continuing to follow these patients.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from Part 3 of the AB-729-001 clinical trial was presented at the 2022 European Association for the Study of the Liver (EASL) International Liver Congress™ (ILC) in June 2022 and showed that repeat dosing of 60mg and 90mg of AB-729 in 41 patients resulted in robust and comparable HBsAg declines in HBeAg positive/negative and HBV DNA positive/negative patients at week 48 (1.89 to 2.15 log10 decline in HBsAg). Fifty percent of the patients (16 out of 32) maintained HBsAg levels below 100 IU/mL 24 weeks after their last dose of AB-729. Patients treated with AB-729 experienced an increase in HBV-specific T-cells activation and a decrease in exhausted T-cells. In this trial, AB-729 was generally safe and well-tolerated.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AASLD Liver Meeting in November 2022, we presented additional data from Part 3 of the AB-729-001 clinical trial, which included nine patients who had had previously completed 48 weeks of treatment with AB-729, and 24 weeks later met protocol-defined criteria to also stop NA therapy. These nine patients had completed 12 to 44 weeks of follow-up after discontinuing their NA therapy. None had met the protocol-defined criteria to restart NA therapy and there was no evidence of clinical or biochemical relapse. HBsAg levels remained at 1.05 log10 to 2.35 log10 below pre-trial levels in all nine patients. Three patients experienced transient HBV DNA elevations that spontaneously resolved without intervention, which further supports AB-729’s potential for immunological control. One patient restarted NA therapy at the investigator’s request after the week 20 visit; no alanine transaminase (“ALT”) elevation or safety signals were observed. There were no adverse events (“AEs”) reported and no ALT flares were observed in the clinical trial. Recently, one of the eight remaining patients met the protocol-defined HBV DNA criteria to restart NA therapy without evidence of any ALT flare. We are continuing to follow the seven patients who remain off NA therapy and anticipate reporting additional off-treatment data in the first half of 2023.</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clinical data for AB-729 continues to support its development as a potential cornerstone agent for the treatment of cHBV infection. The efficacy and safety data for AB-729, derived from up to one year of dosing, supported our view that 60 mg every 8 weeks was an appropriate dose to move forward in our Phase 2a clinical trials. To advance our efforts to position AB-729 as a potential cornerstone therapeutic in future HBV combination regimens, we are evaluating AB-729 in several Phase 2a proof-of-concept combination clinical trials with other agents with potentially complementary mechanisms of action, some via clinical collaborations with other companies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2a proof-of-concept clinical trial to evaluate AB-729 in combination with Peg-IFNα-2a (AB-729-201)</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completed enrollment in a randomized, open label, multicenter Phase 2a proof-of-concept clinical trial investigating the safety and antiviral activity of AB-729 in combination with ongoing NA therapy and short courses of Peg-IFNα-2a in 43 stably NA-suppressed, HBeAg negative, non-cirrhotic patients with cHBV. After 24-weeks of dosing with AB-729 (60mg every 8 weeks), patients are randomized into one of four arms to receive ongoing NA therapy plus Peg-IFNα-2a for either 12 or 24 weeks, with or without additional doses of AB-729. After completion of the assigned Peg-IFNα-2a treatment period, all patients will remain on NA therapy for the initial 24-week follow-up period, and will then discontinue NA treatment, provided they meet protocol-defined stopping criteria. Patients who stop NA therapy will enter an intensive follow-up period for 48 weeks.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data from the lead-in phase of the trial further validated AB-729’s potential to reduce HBsAg. For the first 15 patients who reached week 16 of treatment and received two doses of AB-729 plus NA therapy, the mean HBsAg decline was 1.51 log10, comparable to the decline observed at the same timepoint in the Phase 1b clinical trial AB-729-001 (1.56 log10), while continuing to exhibit a generally safe and well-tolerated profile. We anticipate providing preliminary data from patients who have received doses of Peg-IFNα-2a in the first half of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Vaccitech (AB-729-202)</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a clinical collaboration agreement with Vaccitech that we entered into in July 2021, we are enrolling patients in AB-729-202, a Phase 2a proof-of-concept clinical trial evaluating the safety, antiviral activity and immunogenicity of Vaccitech’s VTP-300, a proprietary T-cell stimulating antigen-specific immunotherapeutic, administered after AB-729 in NA-suppressed patients with cHBV. The trial is designed to enroll 40 NA-suppressed, HBeAg negative or positive, non-cirrhotic cHBV patients. All patients will receive AB-729 (60mg every 8 weeks) plus NA therapy for 24 weeks. At week 24, treatment with AB-729 will stop. Patients will continue only their NA therapy and will be randomized to receive VTP-300 or placebo at Week 26, Week 30 and at Week 38 (if protocol-defined eligibility is met). At week 48, all patients will be evaluated for eligibility to discontinue NA therapy and will be followed for an additional 24-48 weeks. We anticipate providing preliminary data from patients who received AB-729, NA therapy and VTP-300 in the second half of 2023.</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recently amended the AB-729-202 protocol to include an additional arm with an approved PD-1 inhibitor, nivolumab (Opdivo®). Upon regulatory approval of the amendment, 20 patients will receive AB-729 (60mg every 8 weeks) plus NA therapy for 24 weeks, followed by administration of VTP-300 plus a low dose of nivolumab in conjunction with the booster dose(s) only while remaining on their NA therapy. At week 48, all patients will be evaluated for eligibility to discontinue NA therapy, and will be followed for an additional 24-48 weeks. We anticipate dosing the first patient in this arm in the first half of 2023, subject to regulatory approval.</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clinical trial is being managed by us, subject to oversight by a joint development committee comprised of representatives from both companies. We and Vaccitech retain full rights to our respective product candidates and will split all costs associated with the clinical trial. Pursuant to the agreement, the parties intend to undertake a larger Phase 2b clinical trial depending on the results of the initial Phase 2a clinical trial.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Assembly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a clinical collaboration agreement with Assembly that we entered into in August 2020, Assembly conducted a clinical trial evaluating AB-729 in combination with its first-generation HBV core inhibitor (capsid inhibitor) candidate VBR and standard-of-care NA therapy for the treatment of cHBV in HBeAg negative patients with cHBV. The randomized, multi-center, open-label Phase 2a proof-of-concept clinical trial was designed to evaluate the safety, pharmacokinetics, and antiviral activity of the triple combination of AB-729, VBR, and an NA (n=32) compared to the dual combinations of VBR with an NA (n=16) and AB-729 with an NA (n=17). Patients were dosed for 48 weeks with AB-729 (60mg subcutaneously every 8 weeks) and/or VBR (300mg orally once daily), with a 48-week follow-up period. At week 48, all patients were to be evaluated for eligibility to discontinue NA therapy. In July 2022, Assembly announced its plans to discontinue development of VBR. Despite this, in consultation with Assembly, we continued this Phase 2a proof-of-concept clinical trial in order to fully and accurately assess the results. Assembly completed enrollment in the clinical trial and preliminary data were presented at the 2022 AASLD 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Meeting, which indicated that adding VBR to AB-729 and NA therapy does not positively or negatively impact the reduction of HBsAg compared to AB-729 and NA therapy alone. Accordingly, we have mutually agreed to discontinue the clinical trial following completion of the final, on-treatment visit at week 48. All regimens were generally safe and well-tolerated in this trial. Both parties shared in the costs of the collaboration. Except to the extent necessary to carry out Assembly’s responsibilities with respect to the collaboration trial, we have not provided any license grant to Assembly for use of AB-729.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PD-L1 Inhibitor (AB-101)</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PD-L1 inhibitors complement our pipeline of agents and could potentially be an important part of a combination therapy for the treatment of HBV by reawakening the immune system. Highly functional HBV-specific T cells within our immune system are believed to be required for long-term HBV viral resolution. However, HBV-specific T cells become functionally defective, and greatly reduced in their frequency during cHBV. One approach to boost HBV-specific T cells is to prevent PD-L1 proteins from binding to PD-1 and thus inhibiting the HBV-specific immune function of T cells. Immune checkpoints such as PD-1/PD-L1 play an important role in the induction and maintenance of immune tolerance and in T-cell activation.</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AB-101 is our oral PD-L1 inhibitor candidate that we believe will allow for controlled checkpoint blockade while minimizing the systemic safety issues typically seen with checkpoint antibody therapies. Preclinical data generated thus far indicates that AB-101 mediates activation and reinvigoration of HBV-specific T-cells from cHBV patients. In June 2022, we presented a poster at the 2022 EASL ILC highlighting data from a study that was designed to assess the preclinical activity of AB-101 and the compound’s ability to reinvigorate patient HBV-specific T-cells. Studies were conducted using a transgenic MC38 tumor mouse model and peripheral blood mononuclear cells (PBMCs) from cHBV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was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We believe AB-101, when used in combination with other approved and investigational agents, could potentially lead to a functional cure in HBV chronically infected patients. We anticipate initiating a Phase 1 healthy subject clinical trial with AB-101 in the first half of 2023 with data from the single-ascending dose portion of the clinical trial expected in the second half of 2023.</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exploring potential oncology applications for our internal PD-L1 portfolio. Preclinical data was selected for publication at the American Society of Clinical Oncology (ASCO) Annual Meeting in June 2022 showing that our oral small-molecule PD-L1 inhibitors in development, which possess a novel mechanism of action, have the ability to mediate T-cell activation in primary human immune cells. The anti-tumor efficacy seen in vivo was comparable to anti-PD-L1 antibodies. The data is published in the Journal of Clinical Oncology.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HBV RNA Destabilizer (AB-161)</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HBV RNA destabilizers are small molecule orally available agents that cause the destabilization and ultimate degradation of HBV RNAs. Mechanistically, RNA destabilizers target the host proteins PAPD5/7, which are involved in regulating the stability of HBV RNA transcripts.  In doing so, RNA destabilizers lead to the selective degradation of HBV RNAs, thus reducing HBsAg levels and inhibiting viral replication. To provide a proprietary all-oral treatment regimen for patients with cHBV, we believe inclusion of a small molecule RNA destabilizer is key. HBV RNA destabilizers have the potential to complement or replace subcutaneously delivered RNAi agents, such as AB-729.</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AB-161 is our next-generation oral small molecule RNA destabilizer specifically designed to target the liver. We have conducted extensive non-clinical safety evaluations with AB-161 that provide confidence in this molecule’s ability to circumvent the peripheral neuropathy findings seen in non-clinical safety studies with our first-generation oral RNA destabilizer, AB-452. We recently presented preclinical data at the 2022 Discovery on Target Conference showing that AB-161 reduced HBV RNA and HBsAg in multiple preclinical models, with favorable liver centricity and lack of observed peripheral neuropathy. We anticipate initiating a Phase 1 healthy subject clinical trial with AB-161 in the first half of 2023 with single-ascending dose data expected in the second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Program</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our core mission is to find a cure for HBV, the magnitude of the coronavirus pandemic is undeniable. Given our science team’s proven expertise in the discovery of new antiviral therapies, in 2020 we initiated a drug discovery effort for treating coronaviruses, including COVID-19.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program. As we strive to identify and develop new antiviral small molecules to treat COVID-19 and future coronavirus outbreaks, we have focused our research efforts on two essential targets critical for replication across all coronaviruses – nsp5 protease and nsp12 polymerase. These targets are essential viral proteins that our science team has experience in targeting.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M</w:t>
      </w:r>
      <w:r>
        <w:rPr>
          <w:rFonts w:ascii="Times New Roman" w:cs="Times New Roman" w:eastAsia="Times New Roman" w:hAnsi="Times New Roman"/>
          <w:sz w:val="23"/>
          <w:szCs w:val="23"/>
          <w:b w:val="1"/>
          <w:bCs w:val="1"/>
          <w:i w:val="1"/>
          <w:iCs w:val="1"/>
          <w:color w:val="auto"/>
          <w:vertAlign w:val="superscript"/>
        </w:rPr>
        <w:t>pro</w:t>
      </w:r>
      <w:r>
        <w:rPr>
          <w:rFonts w:ascii="Times New Roman" w:cs="Times New Roman" w:eastAsia="Times New Roman" w:hAnsi="Times New Roman"/>
          <w:sz w:val="18"/>
          <w:szCs w:val="18"/>
          <w:b w:val="1"/>
          <w:bCs w:val="1"/>
          <w:i w:val="1"/>
          <w:iCs w:val="1"/>
          <w:color w:val="auto"/>
        </w:rPr>
        <w:t xml:space="preserve"> Inhibitor (AB-343)</w:t>
      </w:r>
    </w:p>
    <w:p>
      <w:pPr>
        <w:spacing w:after="0" w:line="23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AB-343 is our lead coronavirus drug candidate that inhibits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In our pre-clinical research conducted to date, AB-343 has shown pan-coronavirus antiviral activity, no reduction in potency against known SARS-CoV-2 variants, robust activity against SARS-CoV-2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xml:space="preserve"> resistant strains, and a favorable drug-drug interaction profile with no need for ritonavir boosting. We anticipate completing IND-enabling studies and initiating a Phase 1 clinical trial with AB-343 in the second half of 2023. We also intend to nominate a nsp12 clinical candidate and initiate IND-enabling studies in the second half of 2023. An nsp12 viral polymerase could potentially be combined with AB-343 to achieve better patient treatment outcomes and for use in prophylactic settings. </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X-Chem, Inc. and Proteros biostructures GmbH</w:t>
      </w:r>
    </w:p>
    <w:p>
      <w:pPr>
        <w:spacing w:after="0" w:line="2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March 2021, we entered into a discovery research and license agreement, as amended, with X-Chem, Inc. (“X-Chem”) and Proteros biostructures GmbH (“Proteros”) to focus on the discovery of novel inhibitors targeting the SARS-CoV-2 nsp5 main protease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The agreement is designed to accelerate the development of pan-coronavirus agents to treat COVID-19 and potential future coronavirus outbreaks. This collaboration brought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xml:space="preserve"> (an essential protein required for the virus to replicate itself) and the use of state-of-the-art structure guided methods to rapidly optimize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xml:space="preserve"> inhibitors to progress to clinical candidates. The agreement provides for payments by us to X-Chem and Proteros upon satisfaction of certain development, regulatory and commercial milestones, as well as royalties on sales. Through this collaboration, we identified and obtained a worldwide exclusive license to several molecules that inhibit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a validated target for the treatment of COVID-19 and potential future coronavirus outbreaks.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Collaborations, Royalty Entitlements and Intellectual Property Litigation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Qilu Pharmaceutical Co., Ltd. (“Qilu”)</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AB-729,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products that include AB-729, for the treatment or prevention of hepatitis B in China, Hong Kong, Macau and Taiwan (the “Territory”).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AB-729 necessary for Qilu to develop and commercialize in the Territory until we have completed manufacturing technology transfer to Qilu and Qilu has received all approvals required for it or its designated contract manufacturing organization to manufacture AB-729 in the Territory.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(“Alnylam”) and Acuitas Therapeutics, Inc. (“Acuitas”)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royalty entitlements to Alnylam’s global net sales of ONPATTRO.</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December 31, 2022, an aggregate of $18.9 million of royalties have been collected by OMERS.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Genevant Sciences, Ltd.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Sciences Ltd. (“Genevant”), a company focused on a broad range of RNA-based therapeutics enabled by our LNP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December 31, 2022,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Inter Partes Review Petitions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21, 2018 and March 5, 2018, Moderna Therapeutics, Inc. (“Moderna”) filed petitions requesting the United States Patent and Trademark Office (“USPTO”)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status of these patents, which collectively represent only a fraction of our extensive LNP patent portfolio, is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‘127 Patent</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‘435 Patent</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 its reply and responsive brief on October 5, 2020, and we filed our reply brief on November 9, 2020. An oral hearing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‘435 Patent was held on October 7, 2021. On December 1, 2021, the Federal Circuit issued its opinion, leaving intact the PTAB’s holding regarding the validity of certain claims in the ‘435 Patent and the invalidity of other claims in the ‘435 Patent. The decision in the ‘435 appeal was rendered final by mandate on January 25,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‘069 Patent</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9, 2019, Moderna filed an additional petition requesting Inter Partes Review of Arbutus United States Patent 8,058,069 (the “’069 Patent”). The PTAB instituted Inter Partes Review of the ‘069 Patent and, on July 23, 2020, issued a decision upholding all claims as valid. On September 23, 2020, Moderna appealed the ‘069 Inter Partes Review decision to the Federal Circuit Court of Appeals. Moderna filed its opening brief in that appeal on February 23, 2021, we filed our responsive brief on May 11, 2021, and Moderna filed its reply brief on July 1, 2021. An oral hearing on the ‘069 Patent was held on October 7, 2021, in a joint hearing with the hearing regarding the ‘435 patent, before the U.S. Court of Appeals for the Federal Circuit. On December 1, 2021, the Federal Circuit also issued its ruling with respect to the ‘069 Patent, affirming the PTAB’s finding that all claims were valid. The Federal Circuit’s decision in the ‘069 appeal was rendered final by mandate on January 10,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Arbutus and Genevant responded in August 2022. The date for the oral proceedings has not been set.</w:t>
      </w: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are the patent holder, the ‘127 Patent, the ‘435 Patent, the ‘069 Patent and the ‘254 Patent have been licensed to Genevant and are included in the rights licensed by us to Genevant under the Genevant License.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2022, we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On November 30, 2022, Moderna filed its Answer to the Complaint and Counterclaims. Arbutus and Genevant filed their Answer to Moderna’s</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Counterclaims on December 21, 2022. On February 14, 2023, the U.S. Dept. of Justice filed a Statement of Interest in the action. On February 16, 2023, the Court held an Initial Pretrial Conference after which it issued an Order, dated February 16, 2023, ordering that within 14 days of the issuance of the Order, the parties and the U.S. Government are to submit letters regarding the impact of the Governments’ Statement of Interest on the scheduling of the matter.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Acuitas Declaratory Judgment Lawsuit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18, 2022, Acuitas filed a lawsuit against us and Genevant in the Southern District of New York, asking the court to enter declaratory judgment that Arbutus patent Nos. 8,058,069, 8,492,359, 8,822,668, 9,006,417, 9,364,435, 9,404,127,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The motion is now fully briefed. No case schedule is yet in place.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Additional Payments Related to the Acquisition of Enantigen Therapeutics, Inc.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our performance milestone payment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our product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United States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proprietary expertise, we own a portfolio of patents and patent applications directed to HBV core/capsid protein assembly inhibitors, HBV surface antigens secretion inhibitors, coronavirus main protease inhibitors, coronavirus Nsp12 inhibitors, LNP inventions, LNP compositions for delivering nucleic acids such as mRNA and RNAi, the formulation and manufacture of LNP-based pharmaceuticals, chemical modification of RNAi molecules, and RNAi drugs and processes directed at particular disease indications. In the United States our patents might be challenged by inter partes review or opposition proceedings. In Europe, upon grant, a period of nine months is allowed for notification of opposition to such granted patents. If our patents are subjected to inter partes review or opposition proceedings, we would incur significant costs to defend them. Further, our failure to prevail in any such proceedings could limit the patent protection available to our therapeutic HBV programs, coronavirus programs or RNAi platform, including our product candidates.</w:t>
      </w:r>
    </w:p>
    <w:p>
      <w:pPr>
        <w:spacing w:after="0" w:line="2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own more than 65 patent families related to our compounds, formulations, and technology, but we cannot be certain that issued patents will be enforceable or provide adequate protection or that pending patent applications will result in issued patents.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estimated expiration dates, based on filing dates of pending patent applications, in the United States and the European Union for the primary patents for our product candidates currently in clinical trials.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4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Product candidate</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Patent Expiration in US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Patent Expiration in EU</w:t>
            </w:r>
          </w:p>
        </w:tc>
      </w:tr>
      <w:tr>
        <w:trPr>
          <w:trHeight w:val="234"/>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AB-729</w:t>
            </w:r>
          </w:p>
        </w:tc>
        <w:tc>
          <w:tcPr>
            <w:tcW w:w="3400" w:type="dxa"/>
            <w:vAlign w:val="bottom"/>
            <w:tcBorders>
              <w:right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2038</w:t>
            </w:r>
          </w:p>
        </w:tc>
        <w:tc>
          <w:tcPr>
            <w:tcW w:w="3400" w:type="dxa"/>
            <w:vAlign w:val="bottom"/>
            <w:tcBorders>
              <w:right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2038</w:t>
            </w: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0" w:type="dxa"/>
            <w:vAlign w:val="bottom"/>
            <w:tcBorders>
              <w:bottom w:val="single" w:sz="8" w:color="auto"/>
              <w:right w:val="single" w:sz="8" w:color="auto"/>
            </w:tcBorders>
          </w:tcPr>
          <w:p>
            <w:pPr>
              <w:spacing w:after="0" w:line="20" w:lineRule="exact"/>
              <w:rPr>
                <w:sz w:val="1"/>
                <w:szCs w:val="1"/>
                <w:color w:val="auto"/>
              </w:rPr>
            </w:pPr>
          </w:p>
        </w:tc>
        <w:tc>
          <w:tcPr>
            <w:tcW w:w="34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Composition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we had 98 employees (96 full-time and 2 part-time), 76 of whom were engaged in research and development, including three medical doctors, 35 individuals with Doctors of Philosophy (PhDs) degrees, and another 10 individuals with Master of Science degrees. Our workforce is 49% female and 31% of our employees holding a position of vice president or higher are female. None of our employees are represented by a labor union or covered by a collective bargaining agreement, nor have we experienced any work stoppages. We believe that relations with our employees are good. We supplement our in-house expertise with outsourced capabilities when it would be cost prohibitive to build our own in-house capabilities. For example, we outsource a substantial portion of our clinical trial work to clinical research organizations and a majority of our drug manufacturing is out-sourced to contract manufacturers. Our in-house clinical development and manufacturing teams implement our development strategies and oversee the activities of our outside vendors.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Oversight, Training and Development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invested in the professional development of our employees. In order to promote long-term retention and to maximize the potential of our</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employees, we provide individualized performance management programs. We also offer needs-based supplemental training to our employees. In order to monitor employee satisfaction and as well to identify ways in which employee satisfaction and engagement can be improved, we also survey our employees on a regular basis, reporting the results of the surveys to management and to our board of directors. In 2022, we experienced our lowest employee turnover in the previous seven years, while many other companies experienced their highest in the midst of an historically competitive job market. Given our financial resources and our track record, we were able to hire 17 new employees in 2022 to support our expanding pipeline of research programs and product candidates.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Drug development is a complex endeavor that requires deep expertise and attracting and retaining qualified employees for specialized biopharmaceutical positions. Our compensation programs are designed to attract and retain top talent. We offer every employee a total compensation package consisting of base salary, cash target bonus targeting the 50th to 75th percentile of market based on company size and industry, a comprehensive benefit package, including medical, dental and vision health care coverage, a 401(k) plan with an employer match, tax-advantaged savings accounts and equity compensation for every employee, which includes stock options and restricted stock units. We also provide eligible employees the opportunity to participate in our employee stock purchase plan and our employee rewards and recognition programs. In addition, we provide our employees with wellness programs and we offer mental health support to our employees and dependents.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Work-life Balance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aim to ensure our employees maintain a work-life balance by offering 25 paid days of time-off, 12 days of paid holidays, and we shut down in the last week of December. We provide paid parental leave to both birth and adoptive parents. In addition, we allow our employees to have a flexible work schedule and, to the extent possible, depending on the nature of the work, remote and hybrid work arrangements. We believe our focus on total rewards and work-life balance contributed to our having been named one of Philadelphia Business Journal’s Best Places to Work in 2022, a prestigious award that is based on employee survey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pre-commercial company of less than one hundred employees, engaged in research and development. Manufacturing activities to support these activities is almost entirely outsourced and biohazardous and chemical waste disposal is handled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third party vendors. Although our environmental footprint is subsequently small, we regularly review and evaluate our energy use to identify ways in which we can maximize efficiencies and minimize waste.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culture at Arbutus reflects our commitment to our employees, to our community, and to making a meaningful contribution to world health. We are active in community outreach and participate in many local charities serving underserved communities in the Philadelphia area, including partnering with Life Sciences Cares Philadelphia.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in the Workplace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provide a productive and safe working environment for our employees. To protect the health and safety of our employees, we have a Health and Safety Committee, officially certified by the PA Department of Labor and Industry - Bureau of Workers Compensation, which is committed to the principles of leadership, responsibility, prevention, and compliance. We follow all recognized Environmental Health and Safety standards and management systems. We have also established an Occupational Health and Safety policy and related standard operating procedures, all of which are used to train our employees in the proper procedures for the workplace. We also solicit employee and contractor recommendations to improve on the safety of our working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commitment to diversity and inclusion is demonstrated by our placement of ultimate responsibility for diversity, equity and inclusion with our board of directors, informed by the recommendations of management and the board’s Nominating and Governance Committee. Our Code of Business Conduct (the “Code of Conduct”) prohibits discrimination and harassment of any kind, including discrimination or harassment based on age, race, ethnicity, religion, gender, sexual preference and disability. In addition to our anti-harassment and human rights policies, we also require mandatory annual training in unconscious bias and anti-harassment. Some of the diversity and inclusion initiatives at Arbutus include the formation of a Diversity and Inclusion Committee comprised of Arbutus employees and the broadening of the geographical reach of our recruitment efforts. We also celebrate Juneteenth as a corporate holiday.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Contribution to World Health</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dedicated to meaningfully contributing to world health. We are pursuing the mission of finding a cure for Hepatitis B viral infections, an unmet medical need affecting over 290 million people worldwide, and we are working to develop a treatment for coronaviruses, including COVID-19.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stated in our Code of Conduct, we are committed to complying with all applicable laws, rules and regulations not just in the United States and Canada, but in all the countries in which we operate. In addition to mandating training on our Code of Conduct on an annual basis, we also provide annual training on insider trading, anti-bribery and anti-corruption, among other topics. In addition, we require our suppliers’ agreement to comply with anti-bribery and anti-fraud provisions, and to comply with all applicable laws. All vendors also receive our Code of Conduct at the time of their engagement with us. We comply with all applicable regulations in conducting clinical trials, including FDA ethical regulations, the Declaration of Helsinki and the International Conference on Harmonisation - good Clinical Practices (ICH-GCP).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a broad range of current and potential competitors, from established global pharmaceutical companies with significant resources, to research-stage companies. In addition, we face competition from academic and research institutions and government agencies for the discovery, development and commercialization of novel therapeutics to treat HBV and coronaviruses.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greater experience in testing product candidates, obtaining FDA and other regulatory approvals of product candidates, and achieving widespread market acceptance for those products.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significant unmet medical need exists for HBV, there are several large and small pharmaceutical companies focused on delivering singular or combinations of therapeutics for the treatment of HBV. These companies include, but are not limited to, Johnson &amp; Johnson, Roche, Vir Biotechnology, GlaxoSmithKline, Gilead Sciences, Assembly, Enanta Pharmaceuticals, Aligos Therapeutics and Vaccitech. These companies are developing products such as antisense oligonucleotides, capsid inhibitors, RNAi therapeutics, immune modulators and surface antigen inhibitors. These product candidates are in various stages of pre-clinical and clinical development. Further, in addition to current investigational therapeutics in development, it is likely that additional drugs will become available in the future for the treatment of HBV.</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given the severity of the global coronavirus pandemic, several companies are developing or commercializing therapeutics for the treatment of coronaviruses. These companies include, but are not limited to, Pfizer, Merck, Gilead, Vir Biotechnology, Shionogi, PardesBio, Enanta Pharmaceuticals, Aligos Therapeutics and Cocrystal Pharma.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we will face competition as new products enter the marketplace. Our competitors’ products may be safer, more effective, or more effectively marketed and sold than any product we may commercialize. Competitive singular or combination products may render one or more of our product candidates obsolete or non-competitive before we can recover the expenses of developing and commercializing any of our product candidates. It is also possible that the development of a cure or new treatment methods for HBV or coronaviruses could render one or more of our product candidates non-competitive, obsolete, or reduce the demand for our product candidates.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ability to compete depends, in part, upon our ability to develop products, successfully complete the clinical trials and regulatory approval processes, and effectively market any approved products. Further, we need to attract and retain qualified personnel, obtain patent protection or otherwise develop proprietary product candidates or processes, and secure sufficient capital resources for the substantial time period between the discovery of lead compounds and their commercial sales, if 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rely on third-party manufacturers to supply drug substance and drug products, including AB-729, AB-101, AB-161 and AB-343, for our ongoing and anticipated clinical trials and non-clinical studies. We currently have no plans to establish any large-scale internal manufacturing facilities for our product candidates.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 by governmental authorities in the United States and in other countries is a significant consideration in our product development, manufacturing and, if our product candidates are approved,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In the United States, we are subject to extensive regulation by the FDA and other federal, state, and local regulatory agencies. United States federal laws, such as the Federal Food, Drug, and Cosmetic Act (“FD&amp;C Act”), and regulations issued thereunder, govern the testing, development, manufacture, quality control, safety, effectiveness, approval, storage, labeling, record keeping, reporting, distribution, import, export, sale, and marketing of all biopharmaceutical products intended for therapeutic purposes. We believe that we and the third parties that work with us are in compliance in all material respects with currently applicable laws, rules and regulations; however, any failure to comply could have a material negative impact on our ability to successfully develop and commercialize our products, and therefore on our financial performance. In addition, the laws, rules and regulations that apply to our business are subject to change and it is difficult to foresee whether, how, or when such changes may affect our business.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Obtaining governmental approvals to market our product candidates and maintaining ongoing compliance with applicable federal, state, local and foreign statutes and regulations following any such approvals will require the expenditure of significant financial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Approval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to develop and obtain approval for biopharmaceutical products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Pre-clinical Testing. </w:t>
      </w:r>
      <w:r>
        <w:rPr>
          <w:rFonts w:ascii="Times New Roman" w:cs="Times New Roman" w:eastAsia="Times New Roman" w:hAnsi="Times New Roman"/>
          <w:sz w:val="18"/>
          <w:szCs w:val="18"/>
          <w:color w:val="auto"/>
        </w:rPr>
        <w:t>Before testing any product candidate in humans in the United States, a company must develop pre-clinical data, generally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laboratory evaluation of the product candidate’s chemistry and formulation, as well as toxicological and pharmacological studies in animal species to assess safety and quality. Certain types of animal studies must be conducted in compliance with the FDA’s Good Laboratory Practice (“GLP”) regulations and the Animal Welfare Act, which is enforced by the Department of Agriculture.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 Application. </w:t>
      </w:r>
      <w:r>
        <w:rPr>
          <w:rFonts w:ascii="Times New Roman" w:cs="Times New Roman" w:eastAsia="Times New Roman" w:hAnsi="Times New Roman"/>
          <w:sz w:val="18"/>
          <w:szCs w:val="18"/>
          <w:color w:val="auto"/>
        </w:rPr>
        <w:t>A person or entity sponsoring clinical trials in the United States to evaluate a product candidate’s safety and effectiveness must submit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prior to commencing such trials, an investigational new drug (“IND”) application,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Clinical trials involve administering a product candidate to human volunteers or patients under the supervision of a qualified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investigator. Clinical trials are subject to extensive regulation. In the United States, this includes compliance with the FDA’s bioresearch monitoring regulations and current good clinical practices (“GCP”) requirements, which establish standards for conducting, recording data from, and reporting the results of clinical trials, with the goals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Additionally, each clinical trial must be reviewed, approved and conducted under the auspices of an Institutional Review Board (“IRB”). The sponsor of a clinical trial, the investigators and IRBs each must comply with requirements and restrictions that govern, among other things, obtaining informed consent from each study subject, complying with the protocol and investigational plan, adequately monitoring the clinical trial, and timely reporting AEs.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GCP and the FDA is able to validate the data.</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testing is typically performed in three phases, which may overlap or be subdivided in some cases.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Phase 1 trials, the product candidate is administered to a small number of human subjects to assess its safety and to develop detailed profiles of its pharmacological and pharmacokinetic actions (i.e., absorption, distribution, metabolism and excretion), assess the early safety profile, determine side effects associated with increasing doses, and, if possible, gain early evidence of effectiveness. Although Phase 1 trials are typically conducted in healthy human subjects, in some instances (including, for example, with some cancer therapies) the trial subjects are patients with the targeted disease or condition.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Phase 2 trials, the product candidate is administered to a relatively small sample of the intended patient population to develop initial data regarding efficacy in the targeted disease, determine the optimal dose range, and generate additional information regarding the product candidate’s safety. Additional animal toxicology studies may precede this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Phase 3 trials, the product candidate is administered to a larger group of patients with the target disease or disorder,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product candidate’s overall risk-benefit profile and to provide a basis for product labeling. Phase 3 data often form the core basis on which the FDA evaluates a product candidate’s safety and effectiveness when considering the product application.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study sponsor, the FDA or an IRB may suspend or terminate a clinical trial at any time on various grounds, including a determination that study subjects are being exposed to an unacceptable health risk. Success in early-stage clinical trials does not assure success in later-stage clinical trials. Moreover, data from clinical trials are not always conclusive and may be subject to alternative interpretations that could delay, limit or prevent approval.</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NDA Submission and Review. </w:t>
      </w:r>
      <w:r>
        <w:rPr>
          <w:rFonts w:ascii="Times New Roman" w:cs="Times New Roman" w:eastAsia="Times New Roman" w:hAnsi="Times New Roman"/>
          <w:sz w:val="18"/>
          <w:szCs w:val="18"/>
          <w:color w:val="auto"/>
        </w:rPr>
        <w:t>After completing the clinical studies, a sponsor seeking approval to market a product candidate in the United States submits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FDA a New Drug Application (“NDA”). The NDA is a comprehensive application intended to demonstrate the product candidate’s safety and effectiveness and includes, among other things, pre-clinical and clinical data, information about the product candidate’s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FDA performance goals generally provide for action on an NDA within 10 months of the 60-day filing date, or within 12 months of the NDA submission. That deadline can be extended under certain circumstances, including by the FDA’s requests for additional information. The targeted action date can also be shortened to 6 months of the 60-day filing date, or 8 months after NDA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product candidate receives Fast Track designation, the FDA may review sections of the NDA on a rolling basis, rather than requiring the entire application to be submitted to begin the review. Product candidates with Fast Track designation also may be eligible for more frequent meetings and correspondence with the FDA about the product candidate’s development. Another FDA program intended to expedite development is the Accelerated Approval pathway, which allows approval on the basis of a surrogate endpoint that is reasonably likely to predict clinical benefit or on an intermediate clinical endpoint. To qualify for review under the Accelerated Approval pathway, a product candidate must treat a serious condition, provide a meaningful advantage over available therapies, and demonstrate an effect on a surrogate endpoint that is reasonably likely to predict clinical benefit or on an intermediate clinical endpoint. On December 29, 2022, Congress enacted the Consolidated Appropriations Act of 2023, which</w:t>
      </w:r>
    </w:p>
    <w:p>
      <w:pPr>
        <w:spacing w:after="0" w:line="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several changes to the Accelerated Approval pathway within the Food and Drug Omnibus Reform Act (“FDORA”). Under FDORA, the FDA must specify the conditions for any post-approval studies before granting an Accelerated Approval. FDORA gives the agency significant flexibility in setting forth such conditions, which may include enrollment targets, study protocol and milestones—including the target date of study completion. The FDA may also require, as appropriate, that certain post-approval studies be underway prior to Accelerated Approval or within a specified time from the</w:t>
      </w:r>
    </w:p>
    <w:p>
      <w:pPr>
        <w:spacing w:after="0" w:line="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date of approval. Accelerated Approval sponsors are required to report progress every six months on required post-approval trials. Breakthrough Therapy designation, which is available for product candidates under development for serious or life-threatening conditions and where preliminary clinical evidence shows that the product candidate may have substantial improvement on at least one clinically significant endpoint over available therapies, means that a product candidate will be eligible for all of the benefits of Fast Track designation, as well as more intensive guidance from the FDA on an efficient drug development 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 may rescind the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 or that we will be able to maintain such designations if we qualify for such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For some NDAs,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product, the FDA also requires that the facilities at which the product will be manufactured or advanced through the supply chain be in compliance with current good manufacturing practices (“GMP”) requirements and regulations governing, among other things, the manufacture, shipment, and storage of the product. The FDA also can conduct audits to determine if the clinical trials were conducted in compliance with GCP. After review of an NDA, the FDA may grant marketing approval, request additional information, or issue a complete response letter (“CRL”) communicating the reasons for the agency’s decision not to approve the application. The CRL may request additional information, including additional preclinical or clinical data, for the FDA to reconsider the application.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 prospects of a product and increase our costs, such as a Risk Evaluation and Mitigation Strategy (“REMS”), and/or post-approval commitments to conduct additional clinical trials or non-clinical studies or to conduct surveillance programs to monitor the product’s effects. Under the Pediatric Research Equity Act (“PREA”), certain applications for approval must also include an assessment, generally based on clinical study data, of the safety and effectiveness of the subject product in relevant pediatric populations, unless a waiver or deferral is granted.</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once a product is approved, information about its safety or effectiveness from broader clinical use may limit or prevent successful commercialization because of regulatory action,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prior FDA approval.</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The Drug Price Competition and Patent Term Restoration Act of 1984 (the “Hatch-Waxman Act”) establishes two abbreviated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pathways for product candidates that are in some way follow-on versions of already approved branded NDA products: (i) generic versions of the approved reference listed drug (“RLD”), which may be approved under an abbreviated new drug application (“ANDA”) by showing that the generic product is the “same as” the approved product in key respects; and (ii) a product that is similar but not identical to a listed drug, which may be approved under a 505(b)</w:t>
      </w:r>
    </w:p>
    <w:p>
      <w:pPr>
        <w:spacing w:after="0" w:line="1" w:lineRule="exact"/>
        <w:rPr>
          <w:sz w:val="20"/>
          <w:szCs w:val="20"/>
          <w:color w:val="auto"/>
        </w:rPr>
      </w:pPr>
    </w:p>
    <w:p>
      <w:pPr>
        <w:jc w:val="both"/>
        <w:ind w:firstLine="8"/>
        <w:spacing w:after="0" w:line="260"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in which the sponsor relies to some degree on information from investigations that were not conducted by or for the applicant and for which the applicant has not obtained a right of reference, and submits its own product-specific data to support the differences between the product and the listed drug.</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sponsor of an ANDA or 505(b)(2) application seeking to rely on an approved product as the RLD or listed drug must make one of several certifications regarding each patent for the RLD that is listed in the FDA publication,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xml:space="preserve">, which is referred to as the </w:t>
      </w:r>
      <w:r>
        <w:rPr>
          <w:rFonts w:ascii="Times New Roman" w:cs="Times New Roman" w:eastAsia="Times New Roman" w:hAnsi="Times New Roman"/>
          <w:sz w:val="18"/>
          <w:szCs w:val="18"/>
          <w:i w:val="1"/>
          <w:iCs w:val="1"/>
          <w:color w:val="auto"/>
        </w:rPr>
        <w:t>Orange Book</w:t>
      </w:r>
      <w:r>
        <w:rPr>
          <w:rFonts w:ascii="Times New Roman" w:cs="Times New Roman" w:eastAsia="Times New Roman" w:hAnsi="Times New Roman"/>
          <w:sz w:val="18"/>
          <w:szCs w:val="18"/>
          <w:color w:val="auto"/>
        </w:rPr>
        <w:t>. A “Paragraph I” certification is the sponsor’s statement that patent information has not been filed for the RLD. A “Paragraph II” certification is the sponsor’s statement that the RLD’s patents have expired. A “Paragraph III” certification is the sponsor’s statement that 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or listed drug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Exclusivity and Patent Protection. </w:t>
      </w:r>
      <w:r>
        <w:rPr>
          <w:rFonts w:ascii="Times New Roman" w:cs="Times New Roman" w:eastAsia="Times New Roman" w:hAnsi="Times New Roman"/>
          <w:sz w:val="18"/>
          <w:szCs w:val="18"/>
          <w:color w:val="auto"/>
        </w:rPr>
        <w:t>In the United States and elsewhere, certain regulatory exclusivities and patent rights can provide an approved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with protection from certain 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and an ANDA under section 505(j) of the FD&amp;C Act or as a listed drug for an applicant filing an NDA under section 505(b)</w:t>
      </w:r>
    </w:p>
    <w:p>
      <w:pPr>
        <w:spacing w:after="0" w:line="1" w:lineRule="exact"/>
        <w:rPr>
          <w:sz w:val="20"/>
          <w:szCs w:val="20"/>
          <w:color w:val="auto"/>
        </w:rPr>
      </w:pPr>
    </w:p>
    <w:p>
      <w:pPr>
        <w:jc w:val="both"/>
        <w:ind w:firstLine="8"/>
        <w:spacing w:after="0" w:line="251" w:lineRule="auto"/>
        <w:tabs>
          <w:tab w:leader="none" w:pos="2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Emergency Use Authorization (“EUA”). </w:t>
      </w:r>
      <w:r>
        <w:rPr>
          <w:rFonts w:ascii="Times New Roman" w:cs="Times New Roman" w:eastAsia="Times New Roman" w:hAnsi="Times New Roman"/>
          <w:sz w:val="18"/>
          <w:szCs w:val="18"/>
          <w:color w:val="auto"/>
        </w:rPr>
        <w:t>The Secretary of Health and Human Services may authorize unapproved medical products to be marketed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of an actual or potential emergency that has been designated by the U.S. government. The COVID-19 pandemic has been designated as such a national emergency. After an emergency has been announced, the Secretary of Health and Human Services may authorize the issuance of and the FDA Commissioner may issue EUAs for the use of specific products based on criteria established by the FDCA, including that the product at issue may be effective in diagnosing, treating, or preventing serious or life-threatening diseases when there are no adequate, approved, and available alternatives. Although the criteria of an EUA differ from the criteria for approval of an NDA, EUAs nevertheless require the development and submission of data to satisfy the relevant FDA standards, and a number of ongoing compliance obligations. The FDA expects EUA holders to work toward submission of full</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applications, such as an NDA, as soon as possible. An EUA is also subject to additional conditions and restrictions and is product-specific. An EUA terminates when the emergency determination underlying the EUA terminates. An EUA is not a long-term alternative to obtaining FDA approval, licensure, or clearance for a product. The FDA may revoke an EUA for a variety of reasons, including where it is determined that the underlying health emergency no longer exists or warrants such authorization, so it is not possible to predict how long an EUA may remain in place.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approved, drug products are subject to continuing extensive regulation by the FDA, including ongoing monitoring for safety information, maintaining appropriate registrations and licenses, and hosting periodic inspections.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Good Manufacturing Practices. </w:t>
      </w:r>
      <w:r>
        <w:rPr>
          <w:rFonts w:ascii="Times New Roman" w:cs="Times New Roman" w:eastAsia="Times New Roman" w:hAnsi="Times New Roman"/>
          <w:sz w:val="18"/>
          <w:szCs w:val="18"/>
          <w:color w:val="auto"/>
        </w:rPr>
        <w:t>Companies engaged in manufacturing drug products or their components must comply with applicable GMP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a company makes a material change in manufacturing equipment, location, or process (all of which are, to some degree, incorporated in the NDA), additional regulatory review and approval may be required. Failure to comply with applicable 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GMP or other applicable FDA regulatory requirements.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Once a product is approved, the advertising, promotion and marketing of the product will be subject to close regulation,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regard to promotion to healthcare 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New Legislation</w:t>
      </w:r>
      <w:r>
        <w:rPr>
          <w:rFonts w:ascii="Times New Roman" w:cs="Times New Roman" w:eastAsia="Times New Roman" w:hAnsi="Times New Roman"/>
          <w:sz w:val="18"/>
          <w:szCs w:val="18"/>
          <w:color w:val="auto"/>
        </w:rPr>
        <w:t>. New legislation is passed periodically in Congress, or at the state level, that could significantly change the statutory provisions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manufacturing and marketing of products regulated by the FDA. Further, the FDA revises its regulations and guidance in light of new legislation in ways that may affect our business or product candidates. It is impossible to predict whether other changes to legislation, regulation, or guidance will be enacted, or what the impact of such changes, if any, may be.</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Requirements</w:t>
      </w:r>
      <w:r>
        <w:rPr>
          <w:rFonts w:ascii="Times New Roman" w:cs="Times New Roman" w:eastAsia="Times New Roman" w:hAnsi="Times New Roman"/>
          <w:sz w:val="18"/>
          <w:szCs w:val="18"/>
          <w:color w:val="auto"/>
        </w:rPr>
        <w:t>. Companies that manufacture or distribute drug products pursuant to approved NDAs must meet numerous other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including adverse event reporting, submission of periodic reports, and record-keeping obligations.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Fraud and Abuse Laws. </w:t>
      </w:r>
      <w:r>
        <w:rPr>
          <w:rFonts w:ascii="Times New Roman" w:cs="Times New Roman" w:eastAsia="Times New Roman" w:hAnsi="Times New Roman"/>
          <w:sz w:val="18"/>
          <w:szCs w:val="18"/>
          <w:color w:val="auto"/>
        </w:rPr>
        <w:t>At such time as we market, sell and distribute any products for which we obtain marketing approval, it is possible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could be subject to scrutiny and enforcement under one or more federal or state health care fraud and abuse laws and regulations, which may constrain the business or financial arrangements and relationships through which we market, sell and distribute any products for which we obtain marketing approval. These restrictions under applicable federal and state health care fraud and abuse laws and regulations that may affect our ability to operate include:</w:t>
      </w:r>
    </w:p>
    <w:p>
      <w:pPr>
        <w:spacing w:after="0" w:line="212" w:lineRule="exact"/>
        <w:rPr>
          <w:sz w:val="20"/>
          <w:szCs w:val="20"/>
          <w:color w:val="auto"/>
        </w:rPr>
      </w:pPr>
    </w:p>
    <w:p>
      <w:pPr>
        <w:jc w:val="both"/>
        <w:ind w:left="660" w:hanging="328"/>
        <w:spacing w:after="0" w:line="25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U.S. federal Anti-Kickback Law without proving actual knowledge of the statute or specific intent to violate it. In addition, the government may assert that a claim including items or services resulting from a violation of the U.S. federal Anti-Kickback Law constitutes a false or fraudulent claim for purposes of the U.S. federal civil False Claims Act. Although there are a number of statutory exemptions and regulatory safe harbors to the U.S.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21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2"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t>pay money to the federal government. Actions under the False Claims Act may be brought by the United States Attorney General or as a qui tam action by a private individual (a whistleblower) in the name of the government and the individual, and the whistleblower may share in any monetary recovery.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In addition, in recent years the government has pursued civil False Claims Act cases against a number of pharmaceutical companies for causing false claims to be submitted as a result of the marketing of their products for unapproved, and thus non-reimbursable, uses. Because of the threat of treble damages and mandatory penalties per false or fraudulent claim or statement, healthcare and pharmaceutical companies often resolve allegations without admissions of liability for significant and material amounts. Pharmaceutical and other healthcare companies also are subject to other federal false claim laws, including, among others, federal criminal healthcare fraud and false statement statutes that extend to non-government health benefit programs.</w:t>
      </w:r>
    </w:p>
    <w:p>
      <w:pPr>
        <w:spacing w:after="0" w:line="214" w:lineRule="exact"/>
        <w:rPr>
          <w:sz w:val="20"/>
          <w:szCs w:val="20"/>
          <w:color w:val="auto"/>
        </w:rPr>
      </w:pPr>
    </w:p>
    <w:p>
      <w:pPr>
        <w:jc w:val="both"/>
        <w:ind w:left="328" w:hanging="328"/>
        <w:spacing w:after="0" w:line="258" w:lineRule="auto"/>
        <w:tabs>
          <w:tab w:leader="none" w:pos="3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fraud provisions of the Health Insurance Portability and Accountability Act of 1996 (“HIPAA”), which impose criminal liability for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10"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218"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direct or indirect payments and other transfers of value to physicians and teaching hospitals, as well as ownership and investment interests held in the company by physicians and their immediate family members. As of 2022, applicable manufacturers are also required to report information regarding payments and transfers of value provided (starting in 2021) to physician assistants, nurse practitioners, clinical nurse specialists, certified nurse anesthetists, and certified nurse-midwives.</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United States regulators, with more frequent and aggressive investigations and enforcement proceedings by both the Department of Justice and the United States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8" w:name="page29"/>
    <w:bookmarkEnd w:id="28"/>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Violations of any of the laws described above or any other governmental regulations are punishable by significant civil, criminal and administrative penalties, damages,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Privacy Laws</w:t>
      </w:r>
      <w:r>
        <w:rPr>
          <w:rFonts w:ascii="Times New Roman" w:cs="Times New Roman" w:eastAsia="Times New Roman" w:hAnsi="Times New Roman"/>
          <w:sz w:val="18"/>
          <w:szCs w:val="18"/>
          <w:color w:val="auto"/>
        </w:rPr>
        <w:t>. We are also subject to federal, state and foreign laws and regulations governing data privacy and security of health information,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state genetic privacy laws, and federal and state consumer protection and privacy laws, (including, for example, Section 5 of the Federal Trade Commission Act (“FTC Act”), and the California Consumer Privacy Act (“CCPA”))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who prescribe our products and research institutions we collaborate with, and they are subject to privacy and security requirements under HIPAA. Although we are not directly subject to HIPAA other than potentially with respect to providing certain employee benefits, we could potentially be subject to criminal penalties if we, or our affiliates or our agents knowingly receive individually identifiable health information maintained by a HIPAA-covered entity in a manner that is not authorized or permitted by HIPAA.</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California, the CCPA establishes certain requirements for data use and sharing transparency and provides California residents certain rights concerning the use, disclosure, and retention of their personal information. The CCPA and its implementing regulations have already been amended multiple times</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(“CPPA”). The amendments introduced by the CPRA went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Similarly, there are a number of legislative proposals in the United States, at both the federal and state level, that could impose new obligations or limitations in areas affecting our business. For example, other states, including Virginia, Colorado, Utah, and Connecticut have enacted privacy laws similar to the CCPA that impose new obligations or limitations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areas affecting our business and we continue to assess the impact of these state legislations on our business as additional information and guidance becomes available. These laws and regulations are evolving and subject to interpretation, and may impose limitations on our activities or otherwise adversely affect our business.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Activities outside of the U.S. implicate local and national data protection standards, impose additional compliance requirements and generate additional risks of enforcement for non-compliance. The European Union’s GDPR, which imposes fines of up to EUR 20 million or 4% of the annual global revenue of a noncompliant company, whichever is greater,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 There are also a number of legislative proposals in the European Union, the United States, at both the federal and state level, as well as other jurisdictions that could impose new obligations or limitations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 and research activities. These laws and regulations, as well as any associated claims, inquiries, or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regard to transfer of personal data, the GDPR restricts the ability of companies to transfer personal data from the European Economic Area to the United States and other countries, which may adversely affect our ability to transfer personal data or otherwise may cause us to incur significant costs to come into compliance with applicable data transfer impact assessments and implementation of legal data transfer mechanisms. One mechanism previously relied upon by companies for such transfers was the EU-U.S. Privacy Shield Framework (the “Privacy Shield”). However, in July 2020, the European Court of Justice ruled the Privacy Shield to be an invalid data transfer mechanism and confirmed that the European Commission’s Standard Contractual Clauses (the “Model Clauses”) remain valid and in June 2021, the European Commission published updated versions of the Model Clauses, which must be incorporated into new and existing agreements within prescribed timeframes in order to continue to lawfully transfer personal data outside of the European Union. As a result, companies may no longer rely on the Privacy Shield as a basis on which to transfer personal data from the European Union to the United States. U.S.-based companies are permitted to rely on other authorized means and procedures to transfer personal data provided by the GDPR. The Model Clauses may also come under increased scrutiny as a result of the European Court of Justice’s judgement in July 2020, though they remain the most common authorized procedure to transfer personal data out of the European Union. On December, 13 2022, the European Commission adopted a draft adequacy decision for the EU-U.S. Data Privacy Framework. The draft decision concludes that the United States ensures an adequate level of protection for personal data transferred from the European Union to the United States. The draft adequacy decision text will also have to be approved by a committee composed of representatives of the European Union Member States and the European Parliament can exercise its right of scrutiny. After this process, the European Commission is then expected to adopt the final adequacy decision, which will allow data to flow freely from the European Union to the United States. After one year from the notification date of the adequacy decision to the Member States and subsequently at least every four years, the European Commission will carry out a new evaluation and could conclude that an adequate level of protection is no longer ensured and decide to suspend, amend or repeal the adequacy decision, or limit its scope.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periods, which could negatively impact the revenues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adequate reimbursement for these products and related treatments will be available in a timely manner from third-party payors, including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Government healthcare programs and other third-party payors are increasingly challenging the prices charged for medical products and services and examining 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under Part B of the Medicare program. Rebates owed by manufacturers under the Medicaid Drug Rebate Program are currently capped at 100 percent of average manufacturer price, but, effective January 1, 2024, this cap will be lifted, which could adversely affect our rebate liability.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is used by CMS to calculate Medicare payment rates. Effective January 1, 2023, manufacturers will be obligated to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 Further, starting in January 2023, the Inflation Reduction Act of 2022 (“IRA”)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Medicare Part D generally provides coverage to enrolled Medicare patients for self-administered drugs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under the coverage gap discount program, manufacturers are required to provide a 70% discount on brand name prescription drugs utilized by Medicare Part D beneficiaries when those beneficiaries are in the coverage gap phase of the Part D benefit design. Civil monetary penalties could be due if a manufacturer were to fail to offer discounts under the coverage gap discount program. The IRA sunsets the coverage gap discount program starting in 2025 and replaces it with a new manufacturer discount program. Failure to pay a discount under this new program will be subject to a civil monetary penalty. In addition, starting in October 2022, the IRA established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 candidates.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the Department of Veterans Affairs (the “VA”), Department of Defense (“DoD”), Public Health Service, and 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Healthcare Reform</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Congress has considered reductions in Medicare reimbursement levels for drugs administered by physicians. The Centers for Medicare &amp; Medicaid Services (CMS), the agency that administers the Medicare and Medicaid programs, has authority to revise reimbursement rates and to implement coverage restrictions. Cost reduction initiatives and changes in coverage implemented through legislation or regulation could decrease utilization of and reimbursement for any approved products, which in turn would affect the price we can receive for those products. Any reduction in reimbursement from Medicare and other government programs may result in a similar reduction in payment from commercial payers. The implementation of cost containment measures or other healthcare reforms may prevent us from being able to generate revenue, attain profitability, or commercialize our products.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Affordable Care Act, as amended (the “Affordable Care Act”), has substantially changed the way healthcare is financed by both governmental and private insurers, and has significantly impacted the pharmaceutical industry. The Affordable Care Act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provisions of the Affordable Care Act have been subject to judicial challenges as well as efforts to modify them or to alter their interpretation and implementation. For example,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Additional legislative changes, regulatory changes, and judicial challenges related to the Affordable Care Act remain possible. It is unclear how efforts to modify or invalidate the Affordable Care Act or its implementing regulations, or portions thereof, will affect our business. Any such changes could decrease the number of individuals with health coverage. It is possible that the Affordable Care Act, as currently enacted or as it may be amended in the future, and other healthcare reform measures, including those that may be adopted in the future, could have a material adverse effect on our industry generally and on our ability to successfully commercialize our product candidates, if approved.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since the Affordable Care Act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Sequestration is currently set at 2% and will increase to 2.25% for the first half of fiscal year 2030, to 3% for the second half of fiscal year 2030, and to 4% for the remainder of the sequestration period that lasts through the first six months of fiscal year 2031. As long as these cuts remain in effect, they could adversely impact payment for any of our products that are reimbursed under Medicare, once commercialized.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Affordable Care Act,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regulations in the United States, we will be subject to a number of significant regulations in other jurisdictions regarding research, clinical</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trials, approval, manufacturing, distribution, marketing and promotion, safety reporting, privacy and pricing and reimbursement. These requirements and restrictions vary from country to country, but in many instances are similar to the United States requirements, and failure to comply with them could have similar negative effects as noncompliance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Tekmira Pharmaceuticals Corporation (“Tekmira”) was incorporated pursuant to the British Columbia Business Corporations Act (“BCBCA”) on October 6, 2005, and commenced active business on April 30, 2007, when Tekmira and its parent company, Inex Pharmaceuticals Corporation (“Inex”), were reorganized under a statutory plan of arrangement (the “Plan of Arrangement”) completed under the provisions of the BCBCA. Pursuant to the Plan of Arrangement, all of Inex’s business was transferred to Tekmira.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Protiva Biotherapeutics Inc. (“Protiva”) was acquired on May 30, 2008.</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4, 2015, we completed a business combination pursuant to which OnCore Biopharma, Inc. (“OnCore”) became our wholly-owned subsidiary of Tekmira.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2015, we changed our corporate name from Tekmira Pharmaceuticals Corporation to Arbutus Biopharma Corporation and OnCore changed its corporate name to Arbutus Biopharma,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2018, Protiva was amalgamated with Arbutus Biopharma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one wholly-owned subsidiary as of December 31, 2022: Arbutus Biopharma,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701 Veterans Circle, Warminster, Pennsylvania, USA, 18974, and our telephone number is (267) 469-0914.</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stated otherwise or the context otherwise requires, references herein to “Arbutus”, “we”, “us” and “our” refer to Arbutus Biopharma Corporation, and, unless the context requires otherwise, the subsidiaries through which we conduct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reporting issuer in Canada under the securities laws of each of the Provinces of Canada. Our common shares trade on the Nasdaq Global Select Market under the symbol “ABUS”. We maintain a website at http://www.arbutusbio.com.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Copies of this Annual Report on Form 10-K, and our other annual reports on Form 10-K, proxy statements, quarterly reports on Form 10-Q, current reports on Form 8-K and, if applicable, amendments to those reports filed or furnished pursuant to Section 13(a) or 15(d) of the Securities Exchange Act of 1934, as amended, are available free of charge through our website under “Investors – Financial Information – SEC Filings” as soon as reasonably practicable after we electronically file these materials with, or otherwise furnish them to, the SEC. The SEC maintains an Internet 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financial condition, results of operations or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Our Financial Results and Need for Additional Capital</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early stages of our development, and there is a limited amount of information about us upon which you can evaluate our product candidates.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begun to market or generate revenues from the commercialization of any of our product candidates. We have only a limited history upon which you can evaluate our business and prospects as our product candidates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research and development activities using technologies involved in the development of our product candidates;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maintain and protect a strong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approval and market acceptance for the commercialization of any product candidates we develop;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sales and marketing activities if any of our product candidates are approved;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relationships;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and cash requirements as our expenses are expected to continue to increase due to research and pre-clinical work, clinical trials, regulatory approvals, commercialization and maintaining our intellectual property portfolio.</w:t>
      </w:r>
    </w:p>
    <w:p>
      <w:pPr>
        <w:spacing w:after="0" w:line="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develop our product candidates, raise capital, expand our business or continue our operations. The approach we are taking to discover and develop novel product candidates is unproven and may never lead to marketable products.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concentrating and intend to continue to concentrate our internal research and development efforts primarily on the discovery and development of product candidates targeting cHBV in order to ultimately develop a functional curative combination regimen, as well as on therapies to treat coronaviruses, including COVID-19. Our future success depends in part on the successful development of these product candidates. Our approach to the treatment of HBV is unproven, and we do not know whether we will be able to develop any products of commercial value.</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known functional cure for HBV. Any compounds that we develop may not effectively address HBV persistence. Even if we are able to develop compounds that address one or more of the key factors in the HBV life cycle (e.g., HBV replication, HBsAg expression and immune reactivation), targeting these key factors has not been proven to functionally cure HBV. If we cannot develop compounds to achieve our goal of functionally curing HBV internally, we may be unable to acquire additional product candidates on terms acceptable to us, or at all. Even if we are able to acquire or develop product candidates that address one of these mechanisms of action in pre-clinical studies, we may not succeed in demonstrating safety and efficacy of the product candidate in clinical trials. If we are unable to identify suitable compounds for pre-clinical and clinical development, we will not succeed in realizing our goal of a functional curative combination regimen for HBV.</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fund our operations. Additional funds may be dilutive to shareholders or impose operational restrictions. Further, if additional capital is not available, we may need to delay, limit or eliminate our research, development and commercialization programs and modify our business strategy.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and investments in marketable securities, which were $184.3 million as of December 31, 2022. We believe that our $184.3 million of cash, cash equivalents and investments in marketable securities as of December 31, 2022 will be sufficient to fund our operations into the fourth quarter of 2024. However, changing circumstances may cause us to consume capital faster than we currently anticipate, and we may need to spend more money than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3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currently expected because of such circumstances. Within the next several years, substantial additional funds will be required to continue with the active development of our pipeline product candidates and technologies. In particular, our funding needs may vary depending on a number of factors including:</w:t>
      </w:r>
    </w:p>
    <w:p>
      <w:pPr>
        <w:spacing w:after="0" w:line="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earned from our licensing partners, including Alnylam, Qilu, Acuitas and Gritstone Oncology, Inc. (“Gritstone”);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or form licensing arrangements to advance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additional product candidates or technology for development;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development or commercialization partners, and their effectiveness in carrying out the development and ultimate commercialization of one or more of our product candidates;</w:t>
      </w: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product candidates that we manufacture fail to meet specifications resulting in clinical trial delays and investigational and remanufacturing costs;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product candidates and technological and market developments;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prosecuting and enforcing our patent claims and other intellectual property rights.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able to raise additional capital through the issuance of equity securities, the percentage ownership of our current shareholders will be reduced. In addition, we may issue equity as part of the consideration to our licensors, to compensate consultants or to settle outstanding payables, all of which could cause our shareholders to experience additional dilution in net book value per share. Any such additional equity securities may have rights, preferences and privileges senior to those of the holders of our common shares.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existing shareholders. If we raise additional funds through corporate collaborations, partnerships or other strategic transactions, it may be necessary to relinquish valuable rights to our product candidates, our technologies or future revenue streams or to grant licenses or sell assets on terms that may not be favorable to us.</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will need to curtail and reduce our operations and costs, and modify our business strategy which may require us to, among other things:</w:t>
      </w:r>
    </w:p>
    <w:p>
      <w:pPr>
        <w:ind w:left="660" w:hanging="328"/>
        <w:spacing w:after="0" w:line="25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one or more of our product candidates or one or more of our research and development initiatives;</w:t>
      </w:r>
    </w:p>
    <w:p>
      <w:pPr>
        <w:ind w:left="660" w:hanging="328"/>
        <w:spacing w:after="0" w:line="24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collaborators for one or more of our product candidates or one or more of our research and development initiatives at an earlier stage than otherwise would be desirable or on terms that are less favorable than might otherwise be available;</w:t>
      </w: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license on unfavorable terms our rights to one or more of our technologies, product candidates or research and development initiatives that we otherwise would seek to develop or commercialize ourselves; or</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in nearly every year since our inception and we anticipate that we will not achieve profits for the foreseeable future. To date, we have had no product revenues.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exception of the years ended December 31, 2006 and December 31, 2012, we have incurred losses each fiscal year since inception through the year ended December 31, 2022 and have not received any revenues other than from research and development collaborations, royalties, license fees and milestone payments. From inception to December 31, 2022, we have an accumulated net deficit of approximately $1.2 billion. Investment in drug development is highly speculative because it entails substantial upfront capital expenditures and significant risk that a product candidate will fail to gain regulatory approval or become commercially viable. We continue to incur significant research, development and other expenses related to our ongoing operations, including development of our product candidates. We do not expect to achieve profits until such time as product sales, milestone payments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We anticipate that our expenses will continue to be significant if and as we:</w:t>
      </w:r>
    </w:p>
    <w:p>
      <w:pPr>
        <w:spacing w:after="0" w:line="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and clinical development of our product candidates;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clinical or other studies or trials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or expand our licensing arrangements with our licensing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regulatory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validate additional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research, product development and planned future commercialization efforts;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impact our business, including our clinical development plans.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monitor the effects of COVID-19, which has caused significant disruptions around the world. We may continue to experience disruptions as a result of the COVID-19 pandemic that could severely impact our business, including:</w:t>
      </w:r>
    </w:p>
    <w:p>
      <w:pPr>
        <w:spacing w:after="0" w:line="175" w:lineRule="exact"/>
        <w:rPr>
          <w:sz w:val="20"/>
          <w:szCs w:val="20"/>
          <w:color w:val="auto"/>
        </w:rPr>
      </w:pPr>
    </w:p>
    <w:p>
      <w:pPr>
        <w:ind w:left="660" w:right="20" w:hanging="328"/>
        <w:spacing w:after="0" w:line="23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manufacturing, research and clinical development activities due to limitations on work and travel imposed or recommended by federal or state governments, employers and others;</w:t>
      </w:r>
    </w:p>
    <w:p>
      <w:pPr>
        <w:ind w:left="66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trial site operations, including difficulties in recruiting clinical site investigators and clinical site staff and difficulties in enrolling subjects or treating subjects in active trials;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healthcare resources away from the conduct of clinical trial matters to focus on COVID-19 pandemic concerns, including the administration of COVID-19 vaccines, which could negatively affect the attention of physicians serving as our clinical trial investigators, the hospitals serving as our clinical trial sites and the hospital staff supporting the conduct of our clinical trials;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and quarantine requirements that interrupt key clinical trial activities, such as clinical trial site initiations, our ability and the ability of our clinical research organizations (“CROs”) to access and monitor clinical trial sites, and new clinical trial site policies resulting from the COVID-19 pandemic that determine essential and non-essential functions and staff, which may impact the ability of site staff to conduct assessments or result in delays to the conduct of the assessments as part of our clinical trial protocols, or impact the ability to enter assessment results into clinical trial databases in a timely manner, or limit the ability of a subject to participate in a clinical trial or delay access to product candidate dosing or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 w:lineRule="exact"/>
        <w:rPr>
          <w:sz w:val="20"/>
          <w:szCs w:val="20"/>
          <w:color w:val="auto"/>
        </w:rPr>
      </w:pPr>
    </w:p>
    <w:p>
      <w:pPr>
        <w:ind w:left="660" w:hanging="328"/>
        <w:spacing w:after="0" w:line="23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business activities due to illness and/or quarantine of key individuals and delays associated with recruiting, hiring and training new temporary or permanent replacements for such key individuals, both internally and at our third party service providers;</w:t>
      </w:r>
    </w:p>
    <w:p>
      <w:pPr>
        <w:ind w:left="660" w:right="20" w:hanging="328"/>
        <w:spacing w:after="0" w:line="24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research and clinical trial sites receiving the supplies and materials needed to conduct preclinical studies and clinical trials, due to work stoppages, travel and shipping interruptions or restrictions or other reasons;</w:t>
      </w:r>
    </w:p>
    <w:p>
      <w:pPr>
        <w:spacing w:after="0" w:line="1" w:lineRule="exact"/>
        <w:rPr>
          <w:rFonts w:ascii="Times New Roman" w:cs="Times New Roman" w:eastAsia="Times New Roman" w:hAnsi="Times New Roman"/>
          <w:sz w:val="18"/>
          <w:szCs w:val="18"/>
          <w:color w:val="auto"/>
        </w:rPr>
      </w:pPr>
    </w:p>
    <w:p>
      <w:pPr>
        <w:ind w:left="660" w:right="360" w:hanging="328"/>
        <w:spacing w:after="0" w:line="22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clinical trial subjects may be unable or unwilling to participate further (or may have to limit participation) in our clinical trials due to risks related to the COVID-19 pandemic;</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raising additional capital needed to pursue the development of our programs due to the slowing of our economy and near term and/or long term negative effects of the pandemic on the financial, banking and capital markets;</w:t>
      </w:r>
    </w:p>
    <w:p>
      <w:pPr>
        <w:spacing w:after="0" w:line="1" w:lineRule="exact"/>
        <w:rPr>
          <w:rFonts w:ascii="Times New Roman" w:cs="Times New Roman" w:eastAsia="Times New Roman" w:hAnsi="Times New Roman"/>
          <w:sz w:val="18"/>
          <w:szCs w:val="18"/>
          <w:color w:val="auto"/>
        </w:rPr>
      </w:pPr>
    </w:p>
    <w:p>
      <w:pPr>
        <w:ind w:left="660" w:right="20" w:hanging="328"/>
        <w:spacing w:after="0" w:line="22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that may require us to change the ways in which research, including clinical development, is conducted, which may result in unexpected costs; and</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and other important agencies and contractors due to limitations in employee resources, travel restrictions or forced furlough of government employees.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subject participating in one of our clinical trials contracts COVID-19, this could negatively impact the data readouts from these trials; for example, the subject may be unable to participate further (or may have to limit participation) in our clinical trial, the subject may show a different clinical trial assessment than if the subject had not contracted the COVID-19, or the subject could experience an AE that could be attributed to our product candidate.</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global outbreak of COVID-19 continues to evolve, including with the emergence of new COVID-19 variants in 2022. The extent to which the COVID-19 pandemic may further impact our business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virus.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generate revenues from product sales and may never be profitable.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1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pre-clinical and clinical development of our product candidates;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for product candidates for which we complete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scalable, reproducible, and transferable manufacturing process for our product candidates;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amount and quality) products and services to support clinical development and the market demand for our product candidates for which we obtain regulatory approval;</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regulatory approval, either by collaborating with partners or, if launched independently, by establishing a sales force, marketing, sales operations and distribution infrastructure;</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for which we obtain regulatory approval as viable treatment options;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validating new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outside the United States to perform clinical trials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Regulatory Approval, Marketing, and Coverage and Reimbursement of our Product Candidates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programs are at an early stage of development. We must demonstrate our product candidates’ safety and efficacy in humans through extensive clinical testing, which is expensive and time-consuming and requires specialized knowledge and expertise.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trials are also expensive and difficult to design and implement, in part because they are subject to rigorous regulatory requirements. The clinical trial process is also time-consuming, and the outcome is not certain. We estimate that clinical trials of our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207"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other regulatory authority outside the United States on the design of a given trial, or in obtaining authorization to commence a trial;</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on acceptable terms with prospective CROs and clinical trial sites;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approval of an IRB or ethics committees before a clinical trial can be initiated at a given site;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shelter-in-place orders from local, state or federal governments or clinical trial site policies resulting from the COVID-19 pandemic that determine essential and non-essential functions and staff, which may impact the ability of the staff to conduct assessments or result in delays to the conduct of the assessments as part of our clinical trial protocols, or impact the ability to enter assessment results into clinical trial databases in a timely manner;</w:t>
      </w:r>
    </w:p>
    <w:p>
      <w:pPr>
        <w:spacing w:after="0" w:line="1"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including as a result of changing standards of care or the ineligibility of a site to participate;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subjects in our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having subjects complete a clinical trial or return for post-treatment follow up;</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or investigators deviating from trial protocol, failing to conduct the trial in accordance with applicable regulatory requirements, or dropping out of a trial;</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maintain a sufficient number of trial sites;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CROs to meet their contractual obligations or deadlines;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modify a trial protocol;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dosing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data during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of the indication being studied;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suppliers for the clinical trial supply of product candidates and failure by our third-party suppliers to comply with regulatory requirements or meet their contractual obligations to us in a timely manner, or at all;</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subjects adequately during or after treatment;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or our CROs’ ability to access and verify clinical trial data captured at clinical trial sites through monitoring and source document verification;</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funding to finance the clinical trials;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administrative action.</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cash flows and prospects significantly.</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Several of our current pre-clinical studies and clinical trials are being conducted outside the United States, and the FDA may not accept data from trials conducted in locations outside the United States.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of our current pre-clinical studies and clinical trials are being conducted outside the United States and we may conduct further pre-clinical studies and clinical trials outside the United States in the future. We are currently conducting clinical trials in Moldova, Thailand, Taiwan, South Korea, Hong Kong, the United Kingdom, Australia and New Zealand, among other countries. To the extent we do not conduct these clinical trials under an IND, the FDA may not accept data from such trials. Although the FDA may accept data from clinical trials conducted outside the United States that are not conducted under an IND, the FDA’s acceptance of these data is subject to certain conditions. For example, the clinical trial must be well designed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conducted and performed by qualified investigators in accordance with ethical principles. The trial population must also adequately represent the United States population, and the data must be applicable to the United States population and United States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ability to verify the data and its determination that the trials complied with all applicable United States laws and regulations. We cannot assure you that the FDA will accept data from trials conducted outside of the United States that are not conducted under an IND. If the FDA does not accept the data from such clinical trials, we likely would need to conduct additional trials, which would be costly and time-consuming and could delay or permanently halt our development of our product candidates.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Before we can commercialize our product candidates in the United States, we must obtain approval from the FDA. We must similarly obtain approvals from comparable regulatory authorities to commercialize our product candidates in jurisdictions outside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marketing approval, United States laws require:</w:t>
      </w:r>
    </w:p>
    <w:p>
      <w:pPr>
        <w:spacing w:after="0" w:line="6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research and human clinical testing that comply with GLP and GCP, as applicable;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safety and efficacy of the product for each use sought;</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 and approval of a submission containing, among other things, manufacturing, pre-clinical and clinical data;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GMP regulations.</w:t>
      </w: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of reviewing and approving a drug is time-consuming, unpredictable, and dependent on a variety of factors outside of our control. The FDA and corresponding regulatory authorities in jurisdictions outside the United States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31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our product candidate is safe and effective for the proposed indication;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 results to meet the level of statistical significance required for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the product candidate’s benefits outweigh its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pre-clinical or clinical data;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inadequacies in the manufacturing facilities or processes of third-party manufacturers.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or comparable regulatory authorities outside the United States may require us to conduct additional pre-clinical and clinical testing, which may delay or prevent approval of a product candidate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studies. Any of these scenarios could materially harm the commercial prospects of a product candidate, and our operations will be adversely effected.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particular product candidate causes undesirable side effects, then we may be unable to receive regulatory approval of or commercialize such product candidate.</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the testing process that could delay or prevent commercialization of any of our product candidates, including the occurrence of undesirable side effects. Such side effects could lead to clinical trial challenges, such as difficulties in subject recruitment, retention, and adherence, potential product liability claims, and possible termination by health authorities. These types of clinical trial challenges could in turn, delay or prevent regulatory approval of our product candidate. Side effects may also lead regulatory authorities to require stronger product warnings on the product label, costly post-marketing studies, and/or a Risk Evaluation and Mitigation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(“REMS”), among other possible requirements. If the product candidate has already been approved, such approval may be withdrawn. Any delay in, denial, or withdrawal of marketing approval for one of our product candidates will adversely affect our business, including our results of operations and financial position. Even if one or more of our product candidates receives marketing approval, undesirable side effects may limit such product’s commercial viability. Patients may not wish to use our product, physicians may not prescribe our product, and our reputation may suffer. Any of these events may significantly harm our business and financial prospects.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clinical trials of our product candidates.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achieve diversity in a clinical trial, or complete our clinical trials in a timely manner. Subject enrollment is affected by a variety factors including, among others:</w:t>
      </w:r>
    </w:p>
    <w:p>
      <w:pPr>
        <w:spacing w:after="0" w:line="18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of the disease/size of the patient population;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clinical trial in question;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or availability of patients to participate in the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clinical trial investigators with the appropriate competencies and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patients enrolled in clinical trials will drop out of the trials before completion;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patients are unwilling to participate in our clinical trials, the timeline for recruiting patients, conducting clinical trials and obtaining regulatory approval of potential products may be delayed. These delays could result in increased costs, delays in advancing or testing our product candidates or termination of the clinical trials altogether.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Several of our and our collaboration partner’s current and planned clinical trials have been impacted and could be further delayed or suspended as a result of the military action by Russia in Ukraine.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2022, Russia commenced a military invasion of Ukraine. A portion of our clinical trial evaluating AB-836 and a cohort of Antios Therapeutics, Inc.’s (“Antios”) clinical trial evaluating a triple combination including AB-729 were being conducted in Ukraine at that time. We had also planned to conduct a portion of the following clinical trials in Ukraine: (i) our Phase 2a clinical trial evaluating AB-729 in combination with ongoing NA therapy and short courses of PEG-IFNα-2a in cHBV patients and (ii) our planned Phase 2a clinical trial to evaluate a triple combination of AB-729 with Vaccitech’s VTP-300 and an NA therapy. As a result of such military invasion, we intend to utilize alternative clinical trial sites for our ongoing and planned clinical trials impacted by the military action in Ukraine.</w:t>
      </w: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Russia’s invasion and the ensuing response by Ukraine has disrupted our and our collaboration partners’ current clinical trials in such jurisdictions and could increase our costs and disrupt future planned clinical development activities. For example, enrollment was completed in a cohort of patients in Antios’ ongoing Phase 2a proof-of-concept clinical trial evaluating a triple combination of AB-729, Antios’ proprietary Active Site Polymerase Inhibitor Nucleotide (ASPIN), ATI-2173, and Viread (tenofovir disoproxil fumarate), a nucleos(t)ide reverse transcriptase inhibitor. However, the majority of patients in this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were enrolled in Ukraine and, as a result, these patients have been lost to follow-up before completing the clinical trial. Antios terminated this clinical trial and we have terminated our clinical collaboration agreement with Antios.</w:t>
      </w:r>
    </w:p>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length and impact of Russia’s military action is highly unpredictable, actions by Russia, or potentially other countries, against Ukraine and surrounding areas may adversely affect our ability to adequately conduct or complete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Alternative sites to fully and timely compensate for our clinical trial activities in Ukraine may not be available and we may need to find other countries to conduct these clinical trials. If these clinical trials are further interrupted, our clinical development plans for these product candidates could be significantly delayed, which would increase our costs, slow down our product candidate development and approval process and jeopardize our ability to commence product sales and generate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obtain regulatory approval, they will remain subject to ongoing regulatory requirements and oversight.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GMP and GCP requirements for any clinical trials that we conduct post-approval. If we or any of the third parties on which we rely fail to meet those requirements, the FDA or comparable regulatory authorities outside the United States could initiate enforcement actions.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United States becomes aware of new safety information, it can impose additional restrictions on how the product is marketed or may seek to withdraw marketing approval altogether.</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U.S. and state governments have shown significant interest in establishing cost containment measures to limit the growth of government-paid health care costs, including price controls, restrictions on reimbursement, and requirements for substitution of generic products for branded prescription drugs. For example, in March 2010, the Patient Protection and Affordable Care Act, as amended (the “ACA”), became law in the United States. A primary goal of the ACA is to reduce the cost of health care, and it has substantially changed the way health care is financed by both government and private insurers. While we cannot predict with certainty what impact on federal and other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Legislative changes to and regulatory changes under the ACA remain possible, but the nature and extent of such potential additional changes are uncertain at this time. We expect that the ACA, its implementation, efforts to modify or invalidate the ACA, or portions thereof, or its implementation, and other healthcare reform measures, including those that may be adopted in the future, could have a material adverse effect on our industry generally and on our ability to successfully commercialize our product candidates, if approved.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payors fail to provide adequate coverage and reimbursement. In addition, cost containment measures in the United States has been an area or increasing emphasis, and we expect they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adopted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targeting HBV and coronaviruses, including COVID-19.</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significant unmet medical need exists for HBV, there are several large and small pharmaceutical companies focused on delivering therapeutics for treatment of HBV. These companies include, but are not limited to Roche, Vir Biotechnology, GlaxoSmithKline, Gilead Sciences, Assembly, Enanta Pharmaceuticals, Aligos Therapeutics and Vaccitech. Further, in addition to current investigational therapeutics in development, it is likely that additional drugs will become available in the future for the treatment of HBV.</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given the severity of the global coronavirus pandemic, several companies are developing or commercializing therapeutics for the treatment of coronaviruses. These companies include, but are not limited to, Pfizer, Merck, Gilead, Vir Biotechnology, Shionogi, PardesBio, Enanta Pharmaceuticals, Aligos Therapeutics and Cocrystal Pharma.</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other countries. Many of our current and potential future competitors also have significantly more experience commercializing drugs that have been approved for marketing.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significant competition in the HBV and coronavirus markets, with several early and late phase product candidates announced. We will also face competition for other product candidates that we expect to develop in the future. Competition may increase further as a result of advances in the commercial applicability of technologies and greater availability of capital for investment in these industries. Our competitors may succeed in developing, acquiring or licensing, on an exclusive basis, product candidates that are more effective or less costly than any product candidate that we may develop.</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successfully develop product candidates, and obtain approval for them, we will face competition based on many different factors, including the following:</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effectiveness of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with which our products can be administered and the extent to which patients and physicians accept new routes of administration;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scope of regulatory approvals for these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manufacturing, marketing and sales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position.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and commercialize obsolete or uncompetitive before we can recover the expenses of developing and commercializing such products. Such competitors could also recruit our employees, which could negatively impact our level of expertise and the ability to execute on our business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largely dependent on the future commercial success of our HBV and coronavirus product candidates.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generate revenues and become profitable will depend in large part on the future commercial success of our HBV and coronavirus product candidates, if they are approved for marketing. If any product that we commercialize in the future does not gain an adequate level of acceptance among physicians, patients and third parties, or our estimates of the number of people who have cHBV or are infected with coronaviruses are lower than expected, we may not generate significant product revenues or become profitable. Market acceptance by physicians, patients and third party payors of the products we may commercialize will depend on a number of factors, some of which are beyond our control, including:</w:t>
      </w:r>
    </w:p>
    <w:p>
      <w:pPr>
        <w:spacing w:after="0" w:line="21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in relation to alternative treatments;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relative convenience and ease of administration in relation to alternative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2" w:lineRule="exact"/>
        <w:rPr>
          <w:sz w:val="20"/>
          <w:szCs w:val="20"/>
          <w:color w:val="auto"/>
        </w:rPr>
      </w:pPr>
    </w:p>
    <w:p>
      <w:pPr>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cost of treatment in relation to alternative treatments, including generic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 party manufacturer and supplier support;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marketing and distribution support;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or warnings contained in a product’s approved labeling;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other regulatory authorities outside the United States or that are part of a REMS or voluntary risk management plan.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even if our products have been approved by the FDA, physicians and patients may not immediately be receptive to them and may be slow to adopt them. If our products do not achieve an adequate level of acceptance among physicians, patients and third party payors, we may not generate meaningful revenues and we may not become profitable.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which is an example of just one possible product liability claim that may be brought against us.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Further, even if our agreements 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 candidates, which could make it difficult for us to sell our products profitably.</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 acceptance and sales of any products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products will 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product candidates that we develop.</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there have been a number of legislative and regulatory proposals to change the healthcare system in the United States and in some jurisdictions outside the United States that could affect our ability to sell any future products profitably. These legislative and regulatory changes may negatively impact the reimbursement for any future products, following approval.</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United States and Canadian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Healthcare providers, physicians and others will play a primary role in the recommendation and prescription of any products for which we obtain marketing approval. Our future arrangements with healthcare providers, patients and third party payors will expose us to broadly applicable United States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federal and state healthcare laws and regulations are described in further detail in the section entitled </w:t>
      </w:r>
      <w:r>
        <w:rPr>
          <w:rFonts w:ascii="Times New Roman" w:cs="Times New Roman" w:eastAsia="Times New Roman" w:hAnsi="Times New Roman"/>
          <w:sz w:val="18"/>
          <w:szCs w:val="18"/>
          <w:i w:val="1"/>
          <w:iCs w:val="1"/>
          <w:color w:val="auto"/>
        </w:rPr>
        <w:t>Government Regulation – Post-Approval Regulation</w:t>
      </w:r>
      <w:r>
        <w:rPr>
          <w:rFonts w:ascii="Times New Roman" w:cs="Times New Roman" w:eastAsia="Times New Roman" w:hAnsi="Times New Roman"/>
          <w:sz w:val="18"/>
          <w:szCs w:val="18"/>
          <w:color w:val="auto"/>
        </w:rPr>
        <w:t xml:space="preserve"> and include the following:</w:t>
      </w:r>
    </w:p>
    <w:p>
      <w:pPr>
        <w:spacing w:after="0" w:line="201" w:lineRule="exact"/>
        <w:rPr>
          <w:sz w:val="20"/>
          <w:szCs w:val="20"/>
          <w:color w:val="auto"/>
        </w:rPr>
      </w:pPr>
    </w:p>
    <w:p>
      <w:pPr>
        <w:jc w:val="both"/>
        <w:ind w:left="660" w:hanging="328"/>
        <w:spacing w:after="0"/>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21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False Claims Act imposes civil penalties, sometimes pursued through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98"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liability for knowingly and willfully executing a scheme to defraud any healthcare benefit program,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and its implementing regulations also impose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202" w:lineRule="exact"/>
        <w:rPr>
          <w:rFonts w:ascii="Times New Roman" w:cs="Times New Roman" w:eastAsia="Times New Roman" w:hAnsi="Times New Roman"/>
          <w:sz w:val="17"/>
          <w:szCs w:val="17"/>
          <w:color w:val="auto"/>
        </w:rPr>
      </w:pPr>
    </w:p>
    <w:p>
      <w:pPr>
        <w:jc w:val="both"/>
        <w:ind w:left="660" w:hanging="328"/>
        <w:spacing w:after="0"/>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federal and state laws and regulations that address privacy and data security, including state data breach notifications laws, state health information and/or genetic privacy laws, and federal and state consumer protection laws (e.g., Section 5 of the Federal Trade Commission Act, or FTC Act, and the CCPA), govern the collection, use, disclosure and protection of health-related and other personal information, many of which differ from each other in significant ways, thus complicating the compliance efforts. Compliance with these laws is difficult, constantly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evolving, and time-consuming, and companies that do not comply with these laws may face government enforcement actions, civil and/or criminal penalties, or private action, as well as adverse publicity that could negatively affect our operating results and business;</w:t>
      </w:r>
    </w:p>
    <w:p>
      <w:pPr>
        <w:spacing w:after="0" w:line="176" w:lineRule="exact"/>
        <w:rPr>
          <w:sz w:val="20"/>
          <w:szCs w:val="20"/>
          <w:color w:val="auto"/>
        </w:rPr>
      </w:pPr>
    </w:p>
    <w:p>
      <w:pPr>
        <w:jc w:val="both"/>
        <w:ind w:left="660" w:hanging="328"/>
        <w:spacing w:after="0" w:line="24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outside of the U.S. implicate local and national data protection standards, impose additional compliance requirements and generate additional risks of enforcement for non-compliance. The European Union’s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beginning as of 2022), as well as ownership and investment interests held in the company by physicians and their immediate family members;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reporting requirements under the Medicaid Drug Rebate Program and the 340B Program and with respect to average sales price reporting under the Medicare Part B program, and rebate or discount liability under the Medicaid Drug Rebate Program, the 340B Program, and Medicare Part D, with respect to which we could be subject to civil monetary penalties for a failure to comply with our reporting or rebate or discount obligations, or termination from the Medicaid Drug Rebate Program or 340B program, which, in turn, could jeopardize the availability of federal funds for our products under Medicaid and Medicare Part B;</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which, among other things, requires the U.S. Secretary of Health and Human Services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and</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laws and regulations outside the United States, such as state anti-kickback and false claims laws, which may apply to sales or marketing arrangements and claims involving healthcare items or services reimbursed by non-governmental third-party payors, including private insurers; state laws and laws outside the United States that require pharmaceutical companies to comply with the pharmaceutical industry’s voluntary compliance guidelines and the relevant compliance guidance promulgated by the federal government or otherwise restrict payments that may be made to certain healthcare providers; state laws and laws outside the United States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Efforts to ensure that our collaborations with third parties, and our business generally, will comply with applicable United States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United States Foreign Corrupt Practices Act (“FCPA”), and potentially other global anti-corruption and anti-bribery laws such as the Canadian Corruption of Foreign Public Officials Act, could subject us to penalties and other adverse consequences.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FCPA, and potentially other applicable domestic or foreign anti-corruption or anti-bribery laws, which generally prohibit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these anti-corruption laws and anti-bribery laws may be expensive and difficult, particularly in countries in which corruption is a recognized problem. In addition, these laws present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 that our employees or other agents will not engage in prohibited conduct under our policies and procedures and anti-corruption laws and anti-bribery laws such as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license agreement with Alnylam for the commercialization of ONPATTRO™ (Patisiran).</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mid-single-digit royalty payments escalating based on sales performance and received our first royalty payment in the fourth quarter of 2018. In July 2019, we sold this royalty entitlement to OMERS, the defined benefit pension plan for municipal employees based in the Province of Ontario, Canada, effective as of January 1, 2019, for $20 million in gross proceeds before advisory fees. OMERS will retain this royalty entitlement until it has received $30 million in royalties, at which point 100% of this royalty entitlement on future global net sales of ONPATTRO will revert to us. From the inception of the royalty sale through December 31, 2022, an aggregate of $18.9 million of royalties have been collected by OMERS. The possibility and timing of any possible reversion of the royalty entitlement is affected by many factors including:</w:t>
      </w:r>
    </w:p>
    <w:p>
      <w:pPr>
        <w:spacing w:after="0" w:line="22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Alnylam’s and its distributors’ and sublicensees’ ability to effectively market and sell ONPATTRO in each country where sold;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sale, whether directly by Alnylam or by sublicensees or distributors, and the terms of sublicensing and distribution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sales of Alnylam in each country;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appropriate labeling, and desirable pricing, insurance coverage and reimbursement;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marketing in additional countries.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Alnylam’s commercialization of ONPATTRO does not continue to be successful, the royalty entitlement may never revert back to us.</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we will depend in part on our licensing agreements with Alnylam, Qilu and Gritstone to provide revenue to partially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 candidates or other products based upon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technology. We may be unable to continue to establish such licensing agreements, and any licensing agreements we do establish may be unsuccessful, or we may not receive milestone payments or royalties as anticipated.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 alternative technologies or develop alternative products either on their own or in collaboration with others, including our competitors.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collaboration and licensing partners and, therefore, are subject to the efforts of these parties and our ability to successfully collaborate with them.</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 number of clinical collaboration agreements, including with Assembly and Vaccitech. We are responsible for managing the clinical trial under the collaboration agreement with Vaccitech, while Assembly is responsible for managing the clinical trials under the collaboration we have with them. The success of our collaborations depend on not only our efforts, but also on the efforts of our counterparties. Because we are not responsible for managing the clinical trials with Assembly, the success of those collaborations also depend on whether Assembly is successful in performance of its activities, to the extent it is responsible for performance of collaboration activities. Additionally, these counterparties could change their strategic focus or pursue alternative technologies, which could materially and adversely affect our business. Similarly, we are dependent on X-Chem and Proteros pursuant to our discovery and research agreement to work toward the development of pan-coronavirus agents to treat COVID-19 and potential future coronavirus outbreaks.</w:t>
      </w:r>
    </w:p>
    <w:p>
      <w:pPr>
        <w:spacing w:after="0" w:line="2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example, through the clinical collaboration agreement with Assembly that we entered into in August 2020, Assembly conducted a clinical trial evaluating AB-729 in combination with its first-generation HBV core inhibitor (capsid inhibitor) candidate VBR and standard-of-care NA therapy for the treatment of cHBV in HBeAg negative patients with cHBV to evaluate the safety, pharmacokinetics, and antiviral activity of the triple combination of AB-729, VBR, and an NA (n=32). In July 2022, Assembly announced its plans to discontinue development of VBR. Despite this, in consultation with Assembly, we continued this Phase 2a proof-of-concept clinical trial in order to fully and accurately assess the results.</w:t>
      </w:r>
    </w:p>
    <w:p>
      <w:pPr>
        <w:spacing w:after="0" w:line="2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if we have a dispute or enter into litigation with any of these parties in the future, it could delay development programs, distract management from other business activities, and generate substantial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depend on Qilu for the development and commercialization of AB-729 in China, Hong Kong, Macau and Taiwan.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2021, we entered into the License Agreement with Qilu, pursuant to which we granted Qilu an exclusive (except as to certain retained rights), sublicensable, royalty-bearing license, under certain intellectual property owned by us, to develop, manufacture and commercialize AB-729 in the Territory. The timing and amount of any milestone and royalty payments we may receive under the License Agreement will depend, in part, on the efforts of Qilu. We will depend on Qilu to comply with all applicable laws relative to the development and commercialization of AB-729 in the Territory. Under the License Agreement, Qilu is required to use commercially reasonable efforts to develop, seek regulatory approval for, and commercialize at least one AB-729 product candidate in the Territory. Any failure by Qilu to use such commercially reasonable efforts could have a material adverse impact on financial results and operations. Additionally, if Qilu were to violate, or was alleged to have violated, any laws or regulations during the performance of its obligations to us, we could suffer financial and reputational harm or other negative outcomes. Any termination, breach or expiration of the License Agreement could also have a material adverse impact on our business by reducing or eliminating the potential for us to receive milestone and royalty payments. If that were to occur, we may be required to devote additional time, costs and attention to pursue the manufacture, development and commercialization of AB-729 in the Territory. In certain situations, Qilu has the ability to terminate the License Agreement and retain all rights to manufacture, develop and commercialize AB-729 in the Territory with no obligation to make any additional milestone or royalty payments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our collaboration or licensing partners and us, our collaboration or licensing partners may act in their best interest and not in our best interest, which could adversely affect our business.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Conflicts may arise with our collaboration or licensing partners, including Alnylam, Qilu, Gritstone, Assembly and Vaccitech if they pursue alternative therapies for the diseases that we have targeted or develop alternative products either on their own or in collaboration with others. Competing products, either developed by our present collaboration or licensing partners or any future partners or to which our present partners or any future partners have rights, may result in development delays or the withdrawal of their support for one or more of our product candidates.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the collaborative arrangement. Similarly, the parties to a licensing agreement may disagree as to which party owns newly developed products. If an agreement is terminated as a result of a dispute and before we have realized the benefits of the collaboration or licensing arrangement, our reputation could be harmed and we might not obtain revenues that we anticipated receiving.</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independent clinical investigators, CROs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 such third parties otherwise fail to meet deadlines or follow legal or regulatory requirements, our development plans may be delayed or terminated.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our relationships with these third-parties terminate, we may not be able to enter into arrangements with alternative third parties on commercially reasonable terms or at all. Switching or adding additional third-party service providers involves additional cost and requires management time and focus. In addition, there is a natural transition period when a new third-party service provider begins work. As a result, delays may occur, which can materially impact our ability to meet our desired development timelines.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limited experience in drug formulation or manufacturing and we lack the resources and expertise to formulate or manufacture our own product candidates internally. Therefore, we rely on, and expect to continue to rely on, third-party expertise to support us in this area. We have entered into contracts with third-party manufacturers to manufacture, supply, store and distribute supplies of our product candidates for our clinical trials. If any of our product candidates receive FDA approval, we expect to rely on third-party contractors to manufacture our products. We have no current plans to build internal manufacturing capacity for any product candidate, and we have no long-term supply arrangements.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reliance on third-party manufacturers exposes us to potential risks, such as the following:</w:t>
      </w:r>
    </w:p>
    <w:p>
      <w:pPr>
        <w:spacing w:after="0" w:line="239" w:lineRule="exact"/>
        <w:rPr>
          <w:sz w:val="20"/>
          <w:szCs w:val="20"/>
          <w:color w:val="auto"/>
        </w:rPr>
      </w:pPr>
    </w:p>
    <w:p>
      <w:pPr>
        <w:jc w:val="both"/>
        <w:ind w:left="660" w:hanging="328"/>
        <w:spacing w:after="0" w:line="24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spacing w:after="0" w:line="3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formulate and manufacture our product candidates and products in the volume and of the quality required to meet our clinical and commercial needs,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 w:lineRule="exact"/>
        <w:rPr>
          <w:sz w:val="20"/>
          <w:szCs w:val="20"/>
          <w:color w:val="auto"/>
        </w:rPr>
      </w:pPr>
    </w:p>
    <w:p>
      <w:pPr>
        <w:ind w:left="66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jc w:val="both"/>
        <w:ind w:lef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third-party manufacturer makes improvements in the manufacturing process for our product candidates, we may not own, or may have to share, the intellectual property rights to such improvements; and</w:t>
      </w:r>
    </w:p>
    <w:p>
      <w:pPr>
        <w:ind w:lef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manufacturer may gain knowledge from working with us that could be used to supply one of our competitors with a product that competes with ours.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these risks could delay or have other adverse impacts on our clinical trials and the approval and commercialization of our product candidates, potentially resulting in higher costs, reduced revenues or both.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assert patent rights that prevent us from developing or commercializing our products.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RNAi, capsid inhibitors and RNA destabilizer, as well as our other novel HBV assets,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It is likely that there could be litigation and other proceedings, such as inter partes review and opposition proceedings in various patent offices, relating to patent rights in RNAi, capsid inhibitors, RNA destabilizer and other small molecule compounds targeted at HBV. We are aware of patents and patent applications owned by third parties that may in the future be alleged by such third parties to cover the use of one or more of our products. We may need to acquire or obtain a license from such third parties to any such issued patents to market or sell any such products, which may not be available on commercially acceptable terms or at all. If such third parties obtain valid and enforceable patents and successfully prove infringement of an approved Arbutus product, and we are not able to acquire such issued patents or negotiate a license on acceptable terms, and if such approved Arbutus product is determined to infringe any such issued patents, then we may be forced to pay royalties, damages and costs, or we may be prevented from commercializing such approved Arbutus product altogether, which could have a material adverse impact on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and patent applications may be challenged and may be found to be invalid, which could adversely affect our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United States, Canadian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USPTO or enforced by the United States federal courts. In addition, the coverage claimed in a patent application can be significantly reduced before a patent is issued. Also, we face at least the following intellectual property risks:</w:t>
      </w:r>
    </w:p>
    <w:p>
      <w:pPr>
        <w:spacing w:after="0" w:line="20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some or all patent applications may not result in the issuance of a patent;</w:t>
      </w:r>
    </w:p>
    <w:p>
      <w:pPr>
        <w:spacing w:after="0" w:line="1"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patents issued </w:t>
      </w:r>
      <w:r>
        <w:rPr>
          <w:rFonts w:ascii="Times New Roman" w:cs="Times New Roman" w:eastAsia="Times New Roman" w:hAnsi="Times New Roman"/>
          <w:sz w:val="21"/>
          <w:szCs w:val="21"/>
          <w:color w:val="auto"/>
        </w:rPr>
        <w:t>to us</w:t>
      </w:r>
      <w:r>
        <w:rPr>
          <w:rFonts w:ascii="Times New Roman" w:cs="Times New Roman" w:eastAsia="Times New Roman" w:hAnsi="Times New Roman"/>
          <w:sz w:val="18"/>
          <w:szCs w:val="18"/>
          <w:color w:val="auto"/>
        </w:rPr>
        <w:t xml:space="preserve"> may not provide </w:t>
      </w:r>
      <w:r>
        <w:rPr>
          <w:rFonts w:ascii="Times New Roman" w:cs="Times New Roman" w:eastAsia="Times New Roman" w:hAnsi="Times New Roman"/>
          <w:sz w:val="21"/>
          <w:szCs w:val="21"/>
          <w:color w:val="auto"/>
        </w:rPr>
        <w:t>us</w:t>
      </w:r>
      <w:r>
        <w:rPr>
          <w:rFonts w:ascii="Times New Roman" w:cs="Times New Roman" w:eastAsia="Times New Roman" w:hAnsi="Times New Roman"/>
          <w:sz w:val="18"/>
          <w:szCs w:val="18"/>
          <w:color w:val="auto"/>
        </w:rPr>
        <w:t xml:space="preserve"> with any competitive advantages;</w:t>
      </w:r>
    </w:p>
    <w:p>
      <w:pPr>
        <w:ind w:left="660" w:hanging="328"/>
        <w:spacing w:after="0" w:line="203"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patents could be challenged by third parties;</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competitors may find ways to design around our patents; and</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competitors could independently develop products which duplicate our products.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we could incur substantial costs in filing suits against others to have such patents declared invalid. As publication of discoveries in the scientific or patent literature often lags behind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actual discoveries, we cannot be certain we or any licensor was the first creator of inventions covered by pending patent 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including collaborators, may not adequately prevent disclosure of trade secrets and other proprietary information</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offer only limited protection, and as such may not effectively prevent disclosure of confidential information and also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common share ownership will likely limit the ability of the other shareholders to influence corporate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2023, executive officers, directors, five percent or greater shareholders, and their respective affiliated entities beneficially owned, in the aggregate, approximately 26% of our outstanding common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Entities associated with Roivant Sciences Ltd. (“Roivant”) collectively held as a group approximately 25% of our outstanding common shares as of February 28, 2023.</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acquirer than other investors, or they may want us to pursue strategies that deviate from the interests of other shareholders. Such concentration of ownership control may also:</w:t>
      </w:r>
    </w:p>
    <w:p>
      <w:pPr>
        <w:spacing w:after="0" w:line="19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2"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and/or the board of directors; or</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shareholders may desire.</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incorporated in Canada, with our assets located both in Canada and the United States, with the result that it may be difficult for investors to enforce judgments obtained against us or some of our officers.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the Province of British Columbia and some of our assets are located outside the United States. While we have appointed National Registered Agents, Inc. as our agent for service of process to effect service of process within the United States upon us, it may not be possible for you to enforce against us or our insiders in the United States, judgments obtained in United States courts based upon the civil liability provisions of the United States federal securities laws or other laws of the United States. In addition, there is doubt as to whether original action could be brought in Canada against us or our directors or officers based solely upon United States federal or state securities laws and as to the enforceability in Canadian courts of judgments of United States courts obtained in actions based upon the civil liability provisions of United States federal or state securities laws.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Conversely, all of our directors and officers reside outside Canada, and the majority of our physical assets are also located outside Canada. While we have appointed Farris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generally will be a “passive foreign investment company” under the meaning of Section 1297 of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2022, however recent changes to Treasury regulations under the Code have made this determination more challenging for us, and we cannot provide any assurances that we will not become a PFIC in the future. If we are a PFIC for any taxable year during which a United States person holds our common shares, it would likely result in materially adverse United States federal income tax consequences for such United States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United States persons to fully or partially mitigate such tax consequences by making a “qualifying electing fund election,” as defined in the Code (a “QEF Election”), but although we have provided this information in the past, there is no requirement that we do so.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articles and certain Canadian laws could delay or deter a change of control.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Tribunal if the Commissioner believes that it would, or would be likely to, result in a substantial lessening or prevention of competition in any market in Canada. The Investment Canada Act subjects an acquisition of control of a Canadian-company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scientific staff, consultants and advisors, our ability to implement our business plan may be adversely affected.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William H. Collier, our President and Chief Executive Officer, and Michael J. Sofia, our Chief Scientific Officer, may adversely affect our ability to develop our technology, add to our pipeline, advance our product candidates and manage our operations. We do not carry key person life insurance on any of our employees.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liability from our controlled use of hazardous and radioactive materials in our research and development processes.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certain radioactive materials, biological materials and chemicals, including organic solvents, acids and gases stored under pressure, in our research and development activities. Our use of radioactive materials is regulated by the United States Nuclear Regulatory Commission and Pennsylvania Department of Environmental Protection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or penalized with fines, and any such liability could exceed our resources. We are not specifically insured with respect to this liability.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reputation, and operations could suffer in the event of information technology system failures, such as a cybersecurity breach.</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sophisticated software applications and computing infrastructure to conduct critical operations. We depend on both our own systems, networks, and technology as well as the systems, networks and technology of our contractors, consultants, vendors and other business partners. Disruption, degradation, or manipulation of systems, networks or technology through intentional or accidental means could materially adversely impact key business processes. Despite the implementation of security measures, our systems, networks and technology and those of our contractors and consultants are vulnerable to damage from computer viruses (including ransomware), cybersecurity breaches and other forms of unauthorized access, as well as natural disasters, terrorism, war, telecommunication and electrical failures, cyberattacks, phishing or other fraudulent schemes, persons inside our organization, or persons with access to systems inside our organization or those with whom we do business. The risk of a cyberattack or other cybersecurity incidents has generally increased as the number, intensity and sophistication of attempted attacks and intrusions from around the world have increased. Although to date the cybersecurity incidents we have experienced have not resulted in any material losses, such events impacting either our own systems, networks and technology, or those of our contractors, consultants, vendors, or other business partners could threaten the confidentiality, integrity and availability of regulated personal information, confidential information or intellectual property. This could result in the modification of critical data, the loss of Company funds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There can be no assurance that our efforts to protect data and systems will prevent service interruption or the loss of critical or sensitive information from our or third party providers’ databases or systems. Additionally, while we have implemented security measures that we believe are appropriate and continue to enhance cybersecurity protections, a regulator could deem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 measures not to be appropriate given the lack of prescriptive measures in certain data protection laws. To the extent that any disruption or cybersecurity incident results or appears to result in such interruption or loss, we could incur material financial, legal, business or reputational harm, including regulatory fines, penalties or intervention, or claims by third parties that we have breached privacy- or confidentiality-related obligations. Furthermore, the development of our product candidates could be delayed, and our insurance may not provide any or adequate coverage of any such losses.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assets or businesses, or strategic alliances or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or cash flows. We may not be able to find suitable acquisition candidates, and if we make any acquisitions, we may not be able to integrate these acquisitions successfully into our existing business and we may incur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collaboration partners or identify other investment opportunities, and we may experience losses related to any such investments.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finance any acquisitions or collaborations, we may choose to issue debt or equity securities as consideration. Any such issuance of shares would dilute the ownership of our shareholders. If the price of our common shares is low or volatile, we may not be able to acquire other assets or businesses or fund a transaction using our equity securities as consideration. Alternatively, it may be necessary for us to raise additional capital for acquisitions through public or private financings. Additional capital may not be available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unresolved staff comments.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November 1, 2016, we have had a lease agreement for our headquarters at 701 Veterans Circle, Warminster, Pennsylvania. The building has approximately 35,000 square feet of laboratory facilities and office space. The lease expires on April 30, 2027. We also have the option of extending the lease for two further five-year terms.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January 2019 through June 2021, we leased approximately 8,500 square feet of office space at 626 Jacksonville Rd, Warminster, Pennsylvania. In mid-2021, we amended the contract to relet a portion of the leased space and , as the initial three-year lease term was set to expire on December 31, 2021, we extended the lease through December 31, 2022. On August 31, 2022, we terminated the lease early in full.</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total space available to us under our current leases will meet our needs for the foreseeable future and that additional space would be available to us on commercially reasonable terms if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the Company seeks fair compensation for Moderna’s use of its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Arbutus and Genevant filed their Answer to Moderna’s Counterclaims on December 21, 2022. On February 14, 2023, the U.S. Dept. of Justice filed a Statement of Interest in the action. On February 16, 2023, the Court held an Initial Pretrial Conference after which it issued an Order, dated February 16, 2023, ordering that within 14 days of the issuance of the Order, the parties and the U.S. Government are to submit letters regarding the impact of the Governments’ Statement of Interest on the scheduling of the matter.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Acuitas Declaratory Judgment Lawsuit</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The motion is now fully briefed. No case schedule is yet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British Columbia</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early work on lipid nanoparticle delivery systems and related inventions was undertaken at the University of British Columbia (“UBC”), as well as by us that was subsequently assigned to UBC. These inventions are licensed to us by UBC under a license agreement, initially entered into in 1998 and as amended in 2001, 2006 and 2007. We granted sublicenses under the UBC license to certain third parties, including Alnylam. In November 2014, UBC filed a demand for arbitration against us which alleged entitlement to unpaid royalties. In August 2019, the arbitrator issued his decision for the second phase of the arbitration, awarding UBC $5.9 million, which included interest of approximately $2.6 million. We paid the $5.9 million award to UBC in September 2019 and paid an additional $0.2 million award for costs and attorneys’ fees in March 2021, and this matter is now fully resolved.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2020, UBC delivered to us a notice of arbitration alleging that under its cross license with us, it is due royalties of $2.0 million plus interest arising from our sale to OMERS of part of our royalty interest on future global net sales of ONPATTRO, currently being sold by Alnylam. Oral hearings for this matter were held in April 2022 and, on July 11, 2022, the arbitrator issued his decision fully dismissing UBC’s claim for royalties. As a result, no payments are owed to UBC. In September 2022, the arbitrator awarded the Company $0.5 million for reimbursement of costs and attorneys’ fees, which the Company received from UBC in October 2022. This matter is now fully resolved.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shares trade on the Nasdaq Global Select Market under the symbol “ABUS” following our name change to Arbutus Biopharma Corporation on July 31, 2015. As of February 28, 2023, there were 103 registered holders of common shares and 162,570,989 common shares issued and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securities authorized for issuance under equity compensation plans is incorporated by reference into the information in Part III, Item 12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than as previously disclosed on our Current Reports on Form 8-K or Quarterly Reports on Form 10-Q, we did not issue any unregistered equity securities during the twelve months ended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year ended December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To address HBV, we are developing an RNA interference (“RNAi”) therapeutic, an oral PD-L1 inhibitor, and an oral RNA destabilizer to potentially identify a combination regimen with the aim of providing a functional cure for patients with chronic HBV infection (“cHBV”) by suppressing viral replication, reducing surface antigen and reawakening the immune system. We believe our lead compound, AB-729, is the only RNAi therapeutic with evidence of immune re-awakening. AB-729 is currently being evaluated in multiple phase 2 clinical trials. We also have an ongoing drug discovery and development program directed to identifying novel, orally active agents for treating coronaviruses, including SARS-CoV-2, where we have nominated a compound and have begun IND-enabling pre-clinical studies. In addition, we are also exploring oncology applications for our internal PD-L1 portfolio.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pipeline consists of the following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AB-729, our proprietary subcutaneously-delivered RNAi therapeutic product candidate that suppresses HBsAg expression, which is thought to be a key prerequisite to enable reawakening of a patient’s immune system to respond to HBV, is currently in two Phase 2a proof-of-concept clinical trials in combination with other agents with potentially complementary mechanisms of action and we are continuing to follow patients from our Phase 1a/1b clinical trial (“AB-729-001”). Preliminary data from AB-729-001 has shown that treatment with AB-729 resulted in meaningful declines in HBsAg while being well tolerated with no serious adverse events (SAEs) noted after both single and repeat dosing. Preliminary data also suggests that long-term suppression of HBsAg with AB-729 results in increased HBV-specific immune response. The clinical data for AB-729 continues to support its development as a potential cornerstone agent for the treatment of cHBV infection.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AB-101 is our oral PD-L1 inhibitor that has the potential to reawaken patients’ HBV-specific immune response by inhibiting PD-L1. Preclinical data in an HBV mouse model was presented at the 2022 AASLD Liver Meeting showing that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We are also exploring potential oncology applications for our internal PD-L1 portfolio.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AB-161 is our next-generation oral HBV specific RNA destabilizer. We have conducted extensive non-clinical safety evaluations with AB-161 that gives us confidence in this molecule’s ability to circumvent the peripheral neuropathy findings seen in non-clinical safety studies with our first-generation oral RNA destabilizer, AB-452. We recently presented preclinical data at the Discovery on Target Conference showing that AB-161 reduced HBV RNA and HBsAg in multiple preclinical models, with favorable liver centricity and lack of observed peripheral neuropathy.</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AB-343 is our lead candidate that inhibits the SARS-CoV-2 nsp5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We also intend to nominate a nsp12 clinical candidate and initiate IND-enabling studies in the second half of 2023. An nsp12 viral polymerase could potentially be combined with AB-343 to achieve better patient treatment outcomes and for use in prophylactic settings.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continue to monitor the effects of COVID-19, which has caused significant disruptions around the world. Measures implemented around the world in attempts to slow the spread of COVID-19 have had, and will likely continue to have, a major impact on clinical development, at least in the near-term,</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Royalty Entitlements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Qilu Pharmaceutical Co., Ltd. (“Qilu”)</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AB-729 necessary for Qilu to develop and commercialize in the Territory until we have completed manufacturing technology transfer to Qilu and Qilu has received all approvals required for it or its designated contract manufacturing organization to manufacture AB-729 in the Territory.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and Acuitas Therapeutics, Inc</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royalty entitlement on ONPATTRO® (Patisiran) (“ONPATTRO”), a drug developed by Alnylam Pharmaceuticals, Inc. (“Alnylam”) under a license agreement with us that incorporates our lipid nanoparticle delivery (“LNP”) technology. In July 2019, we received $20 million in gross proceeds before advisory fees from the sale of this royalty interest to Ontario Municipal Employees Retirement System (“OMERS”), effective as of January 1, 2019. The royalty interest will revert back to us after OMERS receives $30 million in royalty payments from Alnylam. We also have rights to a second, lower royalty interest on global net sales of ONPATTRO originating from a settlement agreement and subsequent license agreement with Acuitas Therapeutics, Inc. (“Acuitas”). The royalty entitlement from Acuitas has been retained by us and was not part of the royalty entitlement sale to 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Genevant Sciences, Ltd.</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we owned approximately 16% of the common equity of Genevant Sciences Ltd. (“Genevant”), a company we launched with Roivant Sciences, Ltd. and to which we licensed rights to our lipid nanoparticle ("LNP") and ligand conjugate delivery platforms for RNA-based applications outside of HBV, except to the extent certain rights had already been licensed to other third parties (the “Genevant License”). We retained all rights to our LNP and conjugate delivery platforms for HBV. 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“Item 1. Business.” and Note 9 of the Consolidated Financial Statements for a discussion of our clinical collaborations and other royalty entitlements.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for our contingent consideration and our License Agreement with Qilu are significant accounting policies that we believe are critical in fully understanding and evaluating our financial results. These accounting policies require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the calculation of our net income or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Enantigen Therapeutics, Inc. (“Enantigen”) in October 2014, we have obligations to make potential future payments of up to $102.5 million upon the achievement of certain commercial milestones. The sales milestones are tied to the first commercial sales by us of a product indicated for the treatment of cHBV. These potential contingent payments are recorded as a liability and remeasured to fair value as of each reporting date. In assessing the fair value of the liability, significant judgments are required to be made by management to estimate the probability of program success, the timing and extent of future product sales, appropriate discount rates, and other estimates and assumptions that could materially affect the determination of fair value.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estimate the probability of program success, we evaluate the status and progress of our clinical trials with our lead product candidate, AB-729, in comparison to actual historical success rates for other clinical trials. We update our assumptions related to probability of success as AB-729 advances through clinical trials. For the timing and extent of future product sales, we also consider the status and progress of AB-729, future revenue forecasts and other macroeconomic indicators that forecast market conditions. The discount rate at which we calculate the present value of our potential future liability is based on consideration of market-comparative data, market-based discount rates, and company-specific risk premiums.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assumptions related to the probability of program success and timing and amount of potential future product sales are highly uncertain due to the unpredictable nature of product development, we assessed the sensitivity of the fair value measurement to changes in assumptions, and determined that changes within a reasonable range would not result in a materially different assessment of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collaborations and licenses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primarily through collaboration agreements and license agreements. Such agreements may require us to deliver various rights and/or services, including intellectual property rights or licenses and research, development and manufacturing services. Under such agreements, we are generally eligible to receive non-refundable upfront payments, funding for research, development and manufacturing services, milestone payments, and royalties.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collaboration agreements fall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(“ASC 808”) when both parties are active participants in the arrangement and are exposed to significant risks and rewards. For certain arrangements under the scope of ASC 808, we analogize to ASC 606 for some aspects, including for the delivery of a good or service (i.e., a unit of account).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contracts where we have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our best estimate of what the selling price would be if the deliverable was regularly sold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stand-alone basis and is determined by reference to market rates for the good or service when sold to others or by using an adjusted market assessment approach if the selling price on a stand-alone basis is not available.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These estimates are re-assessed each reporting period as required.</w:t>
      </w:r>
    </w:p>
    <w:p>
      <w:pPr>
        <w:spacing w:after="0" w:line="20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performance obligations satisfied over time, we estimate the efforts needed to complete the performance obligation and recognize revenue by measuring the progress towards complete satisfaction of the performance obligation using an input measure.</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may be required to exercise considerable judgment in estimating revenue to be recognized. Judgment is required in identifying performance obligations, estimating the transaction price, estimating the stand-alone selling price of identified performance obligations, and estimating the progress towards satisfaction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results of operations for the year ended December 31, 2022 compared to the year ended 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7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r>
      <w:tr>
        <w:trPr>
          <w:trHeight w:val="23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84,510</w:t>
            </w:r>
          </w:p>
        </w:tc>
      </w:tr>
      <w:tr>
        <w:trPr>
          <w:trHeight w:val="22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(73,522)</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2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accretion of convertible preferred shares</w:t>
            </w:r>
          </w:p>
        </w:tc>
        <w:tc>
          <w:tcPr>
            <w:tcW w:w="1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w:t>
            </w:r>
          </w:p>
        </w:tc>
      </w:tr>
      <w:tr>
        <w:trPr>
          <w:trHeight w:val="223"/>
        </w:trPr>
        <w:tc>
          <w:tcPr>
            <w:tcW w:w="7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shares</w:t>
            </w:r>
          </w:p>
        </w:tc>
        <w:tc>
          <w:tcPr>
            <w:tcW w:w="114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(88,386)</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2022, our net loss attributable to common shares was $69.5 million, or a loss of $0.46 per basic and diluted common share, as compared to a net loss of $88.4 million, or a loss of $0.83 per basic and diluted common share,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years ended December 31, 2022 and 2021 is summarized in the following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bottom w:val="single" w:sz="8" w:color="auto"/>
            </w:tcBorders>
          </w:tcPr>
          <w:p>
            <w:pPr>
              <w:spacing w:after="0"/>
              <w:rPr>
                <w:sz w:val="16"/>
                <w:szCs w:val="16"/>
                <w:color w:val="auto"/>
              </w:rPr>
            </w:pPr>
          </w:p>
        </w:tc>
      </w:tr>
      <w:tr>
        <w:trPr>
          <w:trHeight w:val="196"/>
        </w:trPr>
        <w:tc>
          <w:tcPr>
            <w:tcW w:w="5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Pr>
          <w:p>
            <w:pPr>
              <w:spacing w:after="0"/>
              <w:rPr>
                <w:sz w:val="17"/>
                <w:szCs w:val="17"/>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consists mainly of royalties received from other companies for sales of products that utilize our licensed technologies.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revenue increased $28.0 million for the year ended December 31, 2022 compared to 2021, due primarily to $26.0 million in license revenue recognized related to our progress towards the satisfaction of our performance obligations with respect to our technology transfer and licensing agreement with Qilu, which closed in January 2022, as well as a $2.2 million increase in license royalty revenue from Alnylam and Acuitas due to the growth of Alnylam’s sales of ONPATTRO.</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royalty interest for ONPATTRO from Alnylam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back to us. OMERS has assumed the risk of collecting up to $30 million of future royalty payments from Alnylam and we are not obligated to reimburse OMERS if they fail to collect any such future royalties. During the term of this agreement, we recognize non-cash royalty revenue related to the sales of ONPATTRO. From the inception of the royalty sale through December 31, 2022, we have recorded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$18.9 million of non-cash royalty revenue for royalties earned by OMERS. The royalty interest for ONPATTRO from Acuitas was not part of the royalty sale to OMERS and we have retained the rights to receive those royalties. Revenue contracts are described in more detail in “Item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years ended December 31, 2022 and 2021 are summarized in the following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r>
      <w:tr>
        <w:trPr>
          <w:trHeight w:val="196"/>
        </w:trPr>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6"/>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60" w:type="dxa"/>
            <w:vAlign w:val="bottom"/>
          </w:tcPr>
          <w:p>
            <w:pPr>
              <w:spacing w:after="0"/>
              <w:rPr>
                <w:sz w:val="17"/>
                <w:szCs w:val="17"/>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$18.9 million in 2022 compared to 2021 due primarily to an increase in expenses for our ongoing AB-729 Phase 2a clinical trials, an increase in expenses for our early-stage development programs, including AB-101 and AB-161, and an increase in compensation costs due to hiring several new employees for our research and development team in early 2022, partially offset by a decrease in expenses for our AB-836 Phase 1a/1b clinical trial, which we discontinued during the fourth quarter of 2022.</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are not tracked by project, as they benefit multiple projects or our overall technology platform.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$0.7 million in 2022 compared to 2021, due primarily to increases in employee compensation costs and non-cash stock-based compensation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2014, Arbutus Inc., our wholly-owned subsidiary, acquired all of the outstanding shares of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increases in the fair value of the contingent consideration are related to the progress of our programs as they get closer to triggering these contingent payments. In 2022 and 2021, the fair value of our contingent consideration liability increased $2.2 million and $1.9 million, respectively, related to fair value adjustments for the passage of time and the progression of our programs through clinical trials and our assessment of the probability of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(losses) for the years ended December 31, 2022 and 2021 are summarized in the following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7"/>
                <w:szCs w:val="17"/>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(loss)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increased $2.1 million in 2022 compared to 2021 due primarily to a general increase in market interest rates related to our investments in marketable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$1.1 million in 2022 compared to 2021 due primarily to a decrease in the non-cash amortization of discount and issuance costs related to the sale of a portion of our ONPATTRO royalty interest to OMERS in July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accretion of convertible preferred shares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accretion of convertible preferred shares decreased to zero in 2022 compared to $12.1 million in 2021. The dividend accretion on the convertible preferred shares previously held by Roivant was equal to 8.75% per annum, compounded annually. All convertible preferred shares mandatorily converted into 22,833,922 common shares on October 18,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years ended December 31, 2022 and 2021 are summarized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4,444</w:t>
            </w:r>
          </w:p>
        </w:tc>
        <w:tc>
          <w:tcPr>
            <w:tcW w:w="22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100 %  $</w:t>
            </w:r>
          </w:p>
        </w:tc>
        <w:tc>
          <w:tcPr>
            <w:tcW w:w="76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recognized income tax expense of $4.4 million during 2022 for withholding taxes paid to the Chinese taxing authority by Qilu on our behalf in connection with the upfront license fee Qilu paid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the sales of equity, debt, revenues from research and development collaborations and licenses with corporate partners, a royalty monetization, interest income on funds available for investment, and government contracts, grants and tax credits.</w:t>
      </w: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$30.8 million and investments in marketable securities of $153.5 million, totaling $184.3 million. We had no outstanding debt as of December 31,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Agreement</w:t>
      </w:r>
    </w:p>
    <w:p>
      <w:pPr>
        <w:spacing w:after="0" w:line="3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with Jefferies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3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23, 2019, we filed a shelf registration statement on Form S-3 with the SEC (File No. 333-235674) and accompanying base prospectus, declared effective by the SEC on January 10, 2020 (the “January 2020 Registration Statement”), for the offer and sale of up to $150 million of our securities.</w:t>
      </w: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28, 2020, we filed a shelf registration statement on Form S-3 with the SEC (File No. 333-248467) and accompanying base prospectus, declared effective by the SEC on October 22, 2020 (the “October 2020 Registration Statement”), for the offer and sale of up to $200 million of our securities. On March 4, 2021, we filed a prospectus supplement with the SEC in connection with the offering of up to an additional $75.0 million of our common shares pursuant to the Sale Agreement under the October 2020 Registration Statement, which we fully utilized during 2021. On October 8, 2021, we filed a prospectus supplement with the SEC for the offer and sale of up to an additional $75.0 million of our common shares pursuant to the Sale Agreement under the October 2020 Registration Statement.</w:t>
      </w:r>
    </w:p>
    <w:p>
      <w:pPr>
        <w:spacing w:after="0" w:line="3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2021, we filed a shelf registration statement on Form S-3 with the SEC (File No. 333-248467) and accompanying base prospectus, declared effective by the SEC on November 18, 2021 (the “November 2021 Registration Statement”), for the offer and sale of up to $250 million of our securities.</w:t>
      </w: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w:t>
      </w:r>
    </w:p>
    <w:p>
      <w:pPr>
        <w:spacing w:after="0" w:line="3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we issued 8,645,426 and 31,571,036 common shares, respectively, under the Sale Agreement resulting in net proceeds of approximately $20.3 million and $134.7 million, respectively. As of December 31, 2022, we had an aggregate of $131.1 million remaining available under the October 2021 Prospectus Supplement and the March 2022 Prospectus Supplement.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Entitlements</w:t>
      </w: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From the inception of the royalty sale through December 31, 2022, we have recorded an aggregate of $18.9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AB-729 for the treatment or prevention of cHBV in the Territory. In partial consideration for the rights granted by us, Qilu paid us a one-time upfront cash payment of $40 million and made an equity investment of $15.0 million, both received in January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$184.3 million of cash, cash equivalents and investments in marketable securities as of December 31, 2022 will be sufficient to fund our operations into the fourth quarter of 2024 based on our expectation of a net cash burn between $95.0 million and $100.0 million in 2023. In the future, substantial additional funds will be required to continue with the active development of our pipeline products and technologies. In particular, our funding needs may vary depending on a number of factors including:</w:t>
      </w:r>
    </w:p>
    <w:p>
      <w:pPr>
        <w:spacing w:after="0" w:line="315" w:lineRule="exact"/>
        <w:rPr>
          <w:sz w:val="20"/>
          <w:szCs w:val="20"/>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on our business, the medical community and the global economy;</w:t>
      </w:r>
    </w:p>
    <w:p>
      <w:pPr>
        <w:spacing w:after="0" w:line="6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ONPATTRO;</w:t>
      </w:r>
    </w:p>
    <w:p>
      <w:pPr>
        <w:spacing w:after="0" w:line="44"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6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requirement to make milestone payments related to our legacy agreements;</w:t>
      </w:r>
    </w:p>
    <w:p>
      <w:pPr>
        <w:spacing w:after="0" w:line="63" w:lineRule="exact"/>
        <w:rPr>
          <w:rFonts w:ascii="Times New Roman" w:cs="Times New Roman" w:eastAsia="Times New Roman" w:hAnsi="Times New Roman"/>
          <w:sz w:val="18"/>
          <w:szCs w:val="18"/>
          <w:color w:val="auto"/>
        </w:rPr>
      </w:pPr>
    </w:p>
    <w:p>
      <w:pPr>
        <w:ind w:left="660" w:hanging="490"/>
        <w:spacing w:after="0" w:line="28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 candidates due to pre-clinical and clinical findings;</w:t>
      </w:r>
    </w:p>
    <w:p>
      <w:pPr>
        <w:spacing w:after="0" w:line="6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product candidates or technology for development;</w:t>
      </w:r>
    </w:p>
    <w:p>
      <w:pPr>
        <w:spacing w:after="0" w:line="63" w:lineRule="exact"/>
        <w:rPr>
          <w:rFonts w:ascii="Times New Roman" w:cs="Times New Roman" w:eastAsia="Times New Roman" w:hAnsi="Times New Roman"/>
          <w:sz w:val="18"/>
          <w:szCs w:val="18"/>
          <w:color w:val="auto"/>
        </w:rPr>
      </w:pPr>
    </w:p>
    <w:p>
      <w:pPr>
        <w:ind w:left="660" w:right="20" w:hanging="490"/>
        <w:spacing w:after="0" w:line="28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1" w:lineRule="exact"/>
        <w:rPr>
          <w:rFonts w:ascii="Times New Roman" w:cs="Times New Roman" w:eastAsia="Times New Roman" w:hAnsi="Times New Roman"/>
          <w:sz w:val="18"/>
          <w:szCs w:val="18"/>
          <w:color w:val="auto"/>
        </w:rPr>
      </w:pPr>
    </w:p>
    <w:p>
      <w:pPr>
        <w:ind w:left="660" w:right="20" w:hanging="490"/>
        <w:spacing w:after="0" w:line="28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product candidates that we manufacture fail to meet specifications resulting in clinical trial delays and investigational and remanufacturing costs;</w:t>
      </w:r>
    </w:p>
    <w:p>
      <w:pPr>
        <w:spacing w:after="0" w:line="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 candidates;</w:t>
      </w:r>
    </w:p>
    <w:p>
      <w:pPr>
        <w:spacing w:after="0" w:line="6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product candidates and technological and market developments; and</w:t>
      </w:r>
    </w:p>
    <w:p>
      <w:pPr>
        <w:spacing w:after="0" w:line="63" w:lineRule="exact"/>
        <w:rPr>
          <w:rFonts w:ascii="Times New Roman" w:cs="Times New Roman" w:eastAsia="Times New Roman" w:hAnsi="Times New Roman"/>
          <w:sz w:val="18"/>
          <w:szCs w:val="18"/>
          <w:color w:val="auto"/>
        </w:rPr>
      </w:pPr>
    </w:p>
    <w:p>
      <w:pPr>
        <w:ind w:left="660" w:hanging="490"/>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COVID-19 pandemic has also led to severe disruption and volatility in the global capital markets, which could increase our cost of capital and adversely affect our ability to access the capital markets in the future.</w:t>
      </w: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84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196"/>
        </w:trPr>
        <w:tc>
          <w:tcPr>
            <w:tcW w:w="7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gridSpan w:val="3"/>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license revenue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operating items</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3"/>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w:t>
            </w: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Share Purchase Agreement</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exercise of ESPP</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other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136,775</w:t>
            </w:r>
          </w:p>
        </w:tc>
      </w:tr>
      <w:tr>
        <w:trPr>
          <w:trHeight w:val="223"/>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137,236</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(78,506)</w:t>
            </w:r>
          </w:p>
        </w:tc>
        <w:tc>
          <w:tcPr>
            <w:tcW w:w="12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57,031</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52,251</w:t>
            </w: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2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109,282</w:t>
            </w:r>
          </w:p>
        </w:tc>
      </w:tr>
    </w:tbl>
    <w:p>
      <w:pPr>
        <w:spacing w:after="0" w:line="3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 2022 decreased $32.2 million compared to 2021 due primarily to a January 2022 upfront cash payment of $40.0 million from Qilu in connection with the License Agreement and a $4.0 million premium paid by Qilu as part of their $15.0 million equity investment. These cash inflows were offset by $79.4 million of cash used in operations.</w:t>
      </w: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increased by $62.3 million compared to 2021 due primarily to the timing of acquisitions and maturities of investments in marketable securities.</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 decreased $105.4 million compared to 2021. Cash provided by financing activities in 2022 consisted primarily of $20.3 million of proceeds from sales of common shares under the Sale Agreement and $11.0 million for the fair value of shares purchased by Qilu as part of their $15.0 million equity investment, of which the remaining $4.0 million was a premium paid by Qilu on the equity investment and was allocated to deferred revenue.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financing activities in 2021 consisted primarily of $134.7 million of proceeds from sales of common shares under the Sale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2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104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Ernst &amp; Young, LLP, Independent Registered Public Accounting Firm </w:t>
            </w:r>
            <w:r>
              <w:rPr>
                <w:rFonts w:ascii="Times New Roman" w:cs="Times New Roman" w:eastAsia="Times New Roman" w:hAnsi="Times New Roman"/>
                <w:sz w:val="18"/>
                <w:szCs w:val="18"/>
                <w:color w:val="000000"/>
              </w:rPr>
              <w:t>- PCAOB ID: 42</w:t>
            </w:r>
          </w:p>
        </w:tc>
        <w:tc>
          <w:tcPr>
            <w:tcW w:w="78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2022 and 2021</w:t>
            </w:r>
          </w:p>
        </w:tc>
        <w:tc>
          <w:tcPr>
            <w:tcW w:w="1340" w:type="dxa"/>
            <w:vAlign w:val="bottom"/>
          </w:tcPr>
          <w:p>
            <w:pPr>
              <w:spacing w:after="0"/>
              <w:rPr>
                <w:sz w:val="18"/>
                <w:szCs w:val="18"/>
                <w:color w:val="auto"/>
              </w:rPr>
            </w:pPr>
          </w:p>
        </w:tc>
        <w:tc>
          <w:tcPr>
            <w:tcW w:w="4640" w:type="dxa"/>
            <w:vAlign w:val="bottom"/>
            <w:gridSpan w:val="4"/>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2022 and 2021</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and 2021</w:t>
            </w:r>
          </w:p>
        </w:tc>
        <w:tc>
          <w:tcPr>
            <w:tcW w:w="1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and 2021</w:t>
            </w:r>
          </w:p>
        </w:tc>
        <w:tc>
          <w:tcPr>
            <w:tcW w:w="680" w:type="dxa"/>
            <w:vAlign w:val="bottom"/>
          </w:tcPr>
          <w:p>
            <w:pPr>
              <w:spacing w:after="0"/>
              <w:rPr>
                <w:sz w:val="18"/>
                <w:szCs w:val="18"/>
                <w:color w:val="auto"/>
              </w:rPr>
            </w:pPr>
          </w:p>
        </w:tc>
        <w:tc>
          <w:tcPr>
            <w:tcW w:w="3220" w:type="dxa"/>
            <w:vAlign w:val="bottom"/>
            <w:gridSpan w:val="2"/>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60" w:type="dxa"/>
            <w:vAlign w:val="bottom"/>
            <w:gridSpan w:val="3"/>
          </w:tcPr>
          <w:p>
            <w:pPr>
              <w:spacing w:after="0"/>
              <w:rPr>
                <w:sz w:val="18"/>
                <w:szCs w:val="18"/>
                <w:color w:val="auto"/>
              </w:rPr>
            </w:pPr>
          </w:p>
        </w:tc>
        <w:tc>
          <w:tcPr>
            <w:tcW w:w="3900" w:type="dxa"/>
            <w:vAlign w:val="bottom"/>
            <w:gridSpan w:val="3"/>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25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Arbutus Biopharma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Arbutus Biopharma Corporation (the Company) as of December 31, 2022 and 2021, and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contingent consideration liability</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10 to the consolidated financial statements, the Company’s contingent consideration liability, which consists of sales-based milestones and royalties, resulting from the acquisition of Enantigen in 2014, is remeasured to its estimated fair value each reporting period. As of December 31, 2022, the contingent consideration liability was $7.5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the valuation of the contingent consideration liability was complex and highly judgmental due to the significant estimation required in determining the fair value. In particular, the fair value estimate was sensitive to significant assumptions such as the probability of successfully commercializing a treatment for the hepatitis B virus, the timing and amount of future revenues related to commercial sales, and the discount rate. These assumptions are affected by expectations about future industry, regulatory, market or economic conditions and are forward-looking and inherently uncertain.</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also compared the significant assumptions to current industry, market and economic trends to corroborate the Company’s estimates and performed sensitivity analyses of significant assumptions to evaluate the changes in the contingent consideration liability that would result from changes in the significant assumptions. We also involved our valuation specialists to assist us in testing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20" w:space="500"/>
            <w:col w:w="8820"/>
          </w:cols>
          <w:pgMar w:left="340" w:top="1440" w:right="419" w:bottom="1440" w:gutter="0" w:footer="0" w:header="0"/>
        </w:sectPr>
      </w:pPr>
    </w:p>
    <w:bookmarkStart w:id="74" w:name="page75"/>
    <w:bookmarkEnd w:id="74"/>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right="120"/>
        <w:spacing w:after="0" w:line="263"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Qilu</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in December 2021, the Company entered into a technology transfer and license agreement with Qilu Pharmaceuticals Co., Ltd. (Qilu). Under the agreement, the Company granted Qilu an exclusive right to develop and commercialize AB-729 for the treatment and prevention of hepatitis B in the People's Republic of China, Hong Kong, Macau, and Taiwan. The Company agreed to provide clinical supply of the licensed product to Qilu until the Company has completed the manufacturing technology transfer to Qilu. The Company received a $40.0 million up-front payment, net of withholding taxes, during 2022 in connection with this arrangement and is also eligible to receive additional development and regulatory milestone payments, sales-based milestones and royalties as well as additional payments for clinical supply under the arrangement. The Company identified two commitments under the arrangement: (i) rights to develop, use, sell, have sold, offer for sale and import any product comprised of Licensed Product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combined these commitments into one performance obligation to which the transaction price is allocated and recognized over time using an inputs method based on labor hours expended by the Company on its Manufacturing Obligations.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the Company's revenue recognition for the Qilu collaboration and license agreement was challenging, as significant judgment was required to apply the authoritative accounting guidance to the arrangement. The Company exercised significant judgment in determining the revenue recognition for this arrangement, including as it relates to the identification of performance obligations, as well as estimating the total number of labor hours that will be expended to complete the Manufacturing Obligations.</w:t>
      </w: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 procedures to test the Company's determination of revenue recognition for the Qilu collaboration and license agreement included, among others, reading the contractual agreement, testing management's identification of significant terms for completeness, including identification of performance obligations, and evaluating the appropriateness of management's application of authoritative guidance and existing accounting policies. We also discussed the judgments inherent in the Company's determination of revenue recognition, including the identification of the performance obligations and estimating the total number of expected hours required to complete the Manufacturing Obligations, with research and development personnel responsible for overseeing the satisfaction of the Company's Manufacturing Obligations. We also tested a sample of actual hours expended during 2022 on the Manufacturing Obligations and performed a lookback analysis, comparing the total actual hours expended throughout the year to the total number of future expected hours as of December 31, 2022, based on the progress to date and the nature of the future activities to be performed.</w:t>
      </w:r>
    </w:p>
    <w:p>
      <w:pPr>
        <w:spacing w:after="0" w:line="990" w:lineRule="exact"/>
        <w:rPr>
          <w:sz w:val="20"/>
          <w:szCs w:val="20"/>
          <w:color w:val="auto"/>
        </w:rPr>
      </w:pPr>
    </w:p>
    <w:p>
      <w:pPr>
        <w:sectPr>
          <w:pgSz w:w="11900" w:h="16838" w:orient="portrait"/>
          <w:cols w:equalWidth="0" w:num="2">
            <w:col w:w="1840" w:space="500"/>
            <w:col w:w="8820"/>
          </w:cols>
          <w:pgMar w:left="320" w:top="1440" w:right="419" w:bottom="144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75" w:name="page76"/>
    <w:bookmarkEnd w:id="75"/>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109,282</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marketable securities, 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46,035</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160,661</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 non-current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204,485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license revenue, 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current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11,221</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license revenue, non-current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5,298</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35,046</w:t>
            </w: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Authorized: unlimited number without par value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Issued and outstanding: 157,455,363 (December 31, 2021: 144,987,736)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1,286,636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65,485</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Deficit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(1,134,347)</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(48,335)</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169,439</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204,485</w:t>
            </w:r>
          </w:p>
        </w:tc>
      </w:tr>
      <w:tr>
        <w:trPr>
          <w:trHeight w:val="21"/>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7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Collaborations and licenses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w:t>
            </w:r>
          </w:p>
        </w:tc>
        <w:tc>
          <w:tcPr>
            <w:tcW w:w="2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royalty revenue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84,510</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(69,456)</w:t>
            </w:r>
          </w:p>
        </w:tc>
        <w:tc>
          <w:tcPr>
            <w:tcW w:w="2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Items applicable to preferred shares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accretion of convertible preferred shares</w:t>
            </w:r>
          </w:p>
        </w:tc>
        <w:tc>
          <w:tcPr>
            <w:tcW w:w="2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0" w:type="dxa"/>
            <w:vAlign w:val="bottom"/>
          </w:tcPr>
          <w:p>
            <w:pPr>
              <w:spacing w:after="0"/>
              <w:rPr>
                <w:sz w:val="1"/>
                <w:szCs w:val="1"/>
                <w:color w:val="auto"/>
              </w:rPr>
            </w:pPr>
          </w:p>
        </w:tc>
      </w:tr>
      <w:tr>
        <w:trPr>
          <w:trHeight w:val="248"/>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150,939,337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106,242,452</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(71,609)</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7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9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 Preferred Shares</w:t>
            </w:r>
          </w:p>
        </w:tc>
        <w:tc>
          <w:tcPr>
            <w:tcW w:w="21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149,408</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89,678,722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985,939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(1,045,961)</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101,966</w:t>
            </w: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Accretion of accumulated dividends on</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12,139</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(12,139)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Conversion of Preferred Shares into</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(161,547)</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22,833,922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Certain fair value adjustments to</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stock option awards</w:t>
            </w: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31,571,036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134,665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134,665</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Open Market Sales Agreement</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196,335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ESPP</w:t>
            </w: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707,721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(76,247)</w:t>
            </w:r>
          </w:p>
        </w:tc>
        <w:tc>
          <w:tcPr>
            <w:tcW w:w="0" w:type="dxa"/>
            <w:vAlign w:val="bottom"/>
          </w:tcPr>
          <w:p>
            <w:pPr>
              <w:spacing w:after="0"/>
              <w:rPr>
                <w:sz w:val="1"/>
                <w:szCs w:val="1"/>
                <w:color w:val="auto"/>
              </w:rPr>
            </w:pPr>
          </w:p>
        </w:tc>
      </w:tr>
      <w:tr>
        <w:trPr>
          <w:trHeight w:val="219"/>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144,987,736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1,286,636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(1,134,347)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169,439</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vMerge w:val="continue"/>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Certain fair value adjustments to</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stock option awards</w:t>
            </w: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8,645,426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20,324</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Open Market Sales Agreement</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ESPP</w:t>
            </w: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3,579,952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Purchase Agreement</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shares pursuant to</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(69,456)</w:t>
            </w: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157,455,363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1,318,737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72,406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(1,203,803)</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136,852</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4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(69,456)</w:t>
            </w:r>
          </w:p>
        </w:tc>
        <w:tc>
          <w:tcPr>
            <w:tcW w:w="12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(76,247)</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items: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royalty revenue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accretion and amortization of investments in marketable securities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operating items: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license revenue</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investments in marketable securities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(130,430)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(82,219)</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Disposition of investments in marketable securities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70,350</w:t>
            </w:r>
          </w:p>
        </w:tc>
      </w:tr>
      <w:tr>
        <w:trPr>
          <w:trHeight w:val="21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shares pursuant to Share Purchase Agreement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shares pursuant to the ATM</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134,665</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shares pursuant to exercise of stock options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r>
      <w:tr>
        <w:trPr>
          <w:trHeight w:val="21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Issuance of common shares pursuant to exercise of ESPP</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137,236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increase in cash and cash equivalents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109,282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52,251</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109,282</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8"/>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shares dividends accrued</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w:t>
            </w:r>
          </w:p>
        </w:tc>
      </w:tr>
    </w:tbl>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80" w:name="page81"/>
    <w:bookmarkEnd w:id="80"/>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Arbutus Biopharma Corporation (“Arbutus” or the “Company”) is a clinical-stage biopharmaceutical company leveraging its extensive virology expertise to develop novel therapeutics that target specific viral diseases. The Company’s current focus areas include Hepatitis B virus (“HBV”), SARS-CoV-2 and other coronaviruses. To address HBV, the Company is developing an RNA interference (“RNAi”) therapeutic, an oral PD-L1 inhibitor, and an oral RNA destabilizer to potentially identify a combination regimen with the aim of providing a functional cure for patients with chronic HBV infection (“cHBV”) by suppressing viral replication, reducing surface antigen and reawakening the immune system. The Company believes its lead compound, AB-729, is the only RNAi therapeutic with evidence of immune re-awakening. AB-729 is currently being evaluated in multiple phase 2 clinical trials. The Company also has an ongoing drug discovery and development program directed to identifying novel, orally active agents for treating coronaviruses, including SARS-CoV-2, where the Company has nominated a compound and has begun IND-enabling pre-clinical studies. In addition, the Company is also exploring oncology applications for its internal PD-L1 portfolio.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had an aggregate of $184.3 million in cash, cash equivalents and investments in marketable securities. The Company had no outstanding debt as of December 31, 2022. The Company believes it has sufficient cash resources to fund its operations for at least the next 12 months.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continues to monitor the effects of COVID-19, which has caused significant disruptions around the world. Measures implemented around the world in attempts to slow the spread of COVID-19 have had, and will likely continue to have, a major impact on clinical development, at least in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near-term, including shortages and delays in the supply chain, and prohibitions in certain countries on enrolling patients in new clinical trials. While the Company has been able to progress with its clinical and pre-clinical activities to date, it is not possible to predict if the COVID-19 pandemic will materially impact the Company’s plans and timelines in the future.</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(“GAAP”) and include the accounts of Arbutus Biopharma Corporation and its one wholly-owned subsidiary, Arbutus Biopharma, Inc. All intercompany balances and transactions have been eliminated. Certain prior year amounts have been reclassified to conform to the current year presentation. In February 2021, Arbutus Biopharma US Holdings, Inc., which was another wholly-owned subsidiary, merged into Arbutus Biopharma, Inc. with Arbutus Biopharma, Inc. continuing its legal existence and Arbutus Biopharma US Holdings, Inc. ceasing to exist.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about future events that affect the reported amounts of assets, liabilities, revenue, expenses and contingent liabilities as of the end or during the reporting period. Actual results could significantly differ from those estimates. Significant estimates in the accompanying consolidated financial statements impact contingent consideration, income tax recoveries, stock-based compensation, clinical trial accruals and the sale of future royalties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short-term investments consist of marketable securities that have original maturities exceeding three months and remaining maturities of less than one year. The Company classifies investments with remaining maturities of one year or longer as non-current. These investments are accounted for as available-for-sale securities and are reported at fair value, with unrealized gains and losses reported in other comprehensive loss until their disposition. Realized gains and losses from the sale of marketable securities, if any, are calculated using the specific-identification method, and are recorded as a component of other income or loss. The Company reviews its available-for-sale securities at each period end to determine if they remain available-for-sale based on the Company’s current intent and ability to sell the security if it is required to do so. Declines in value judged to be other-than-temporary are included in interest expense in the Company’s statements of operations and comprehensive loss. As of December 31, 2022, the recorded value of the Company’s investments in marketable securities was deemed to be recoverable in all respects.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investments are governed by the Company’s Investment Policy approved by the Company’s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functional currency conversion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functional currency is the United States dollar. Monetary assets and liabilities denominated in foreign currencies are translated into United States dollars using exchange rates in effect at the balance sheet date. Opening balances related to non-monetary assets and liabilities are based on prior period translated amounts, and non-monetary assets and non-monetary liabilities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 or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Genevant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Arbutus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similar Genevant securities. As of December 31, 2022, Arbutus owned approximately 16% of the common equity of Genevant and the carrying value of Arbutus’ investment in Genevant was zero.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is recorded at cost less impairment losses and accumulated depreciation. The Company records depreciation using the straight-line method over the estimated useful lives of the capital assets as follows:</w:t>
      </w:r>
    </w:p>
    <w:p>
      <w:pPr>
        <w:spacing w:after="0" w:line="7"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b w:val="1"/>
          <w:bCs w:val="1"/>
          <w:color w:val="auto"/>
        </w:rPr>
        <w:t>Useful Life (Years)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top w:val="single" w:sz="8" w:color="auto"/>
            </w:tcBorders>
            <w:shd w:val="clear" w:color="auto" w:fill="CCEEFF"/>
          </w:tcPr>
          <w:p>
            <w:pPr>
              <w:spacing w:after="0"/>
              <w:rPr>
                <w:sz w:val="21"/>
                <w:szCs w:val="21"/>
                <w:color w:val="auto"/>
              </w:rPr>
            </w:pP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Leasehold improvements are depreciated over their estimated useful lives but in no case longer than the lease term, except where lease renewal is reasonably assured.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reviewed for impairment whenever events or changes in circumstances indicate that the carrying amount of such assets may not be recoverable. If such a review should indicate that the carrying amount of long-lived assets is not recoverable, then such assets are written down to their fair values.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collaborations and licenses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development and manufacturing services. Under such agreements, the Company is generally eligible to receive non-refundable upfront payments, funding for research, development and manufacturing services, milestone payments, and royalties.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collaboration agreements fall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(“ASC 808”) when both parties are active participants in the arrangement and are exposed to significant risks and rewards. For certain arrangements under the scope of ASC 808, the Company analogizes to ASC 606 for some aspects, including for the delivery of a good or service (i.e., a unit of account).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generally requires the recognition of operating and financing lease liabilities with corresponding right-of-use assets on the balance sheet. See note 6 for more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compensation and benefits for research and development employees, an allocation of overhead expenses and costs associated with materials and supplies used in clinical trials and research and development, outside contracted services including clinical and pre-clinical study costs, legal, regulatory compliance and fees paid to consultants or outside parties for research and development activities performed on the Company’s behalf. Such costs are charged to expense in the period in which they are incurred.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that are paid in advance of performance or receipt are recorded as prepaid expense and are amortized over the period that the services are performed.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common shareholders per share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years ended December 31, 2022 and 2021, since the effect of including potential common shares would be anti-dilutive. For the year ended December 31, 2022, potential common shares of 15.5 million pertaining to outstanding stock options were excluded from the calculation of net loss attributable to common shareholders per share. A total of approximately 11.4 million outstanding stock options were excluded from the calculation for the year ended December 31, 2021.</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2021, the Company’s outstanding Series A participating convertible preferred shares (“ Preferred Shares”) were converted into 22,833,922 common shares. Prior to that date, the Company followed the two-class method when computing net loss attributable to common shareholders per share as the Preferred Shares, as further described in note 12, met the definition of participating securities. The Company’s Preferred Shares entitled the holders to participate in dividends but did not require the holders to participate in losses of the Company. Accordingly, net losses attributable to holders of the Company’s common shares were not allocated to holders of the Preferred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and note 13 for more information about the Company’s common shares.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share-based compensation arrangements based on estimated fair values. The Company uses the Black-Scholes option valuation model to estimate the fair value of stock options at the date of grant. The Black-Scholes option valuation model requires the input of subjective assumptions to calculate the value of stock options. For those assumptions, the Company uses historical data and other information to estimate the expected price volatility and risk free interest rate for all awards. The expected life of stock options granted are estimated to be five years for employees and six years for directors and executives, based on the Company’s historical experience. Assumptions on the dividend yield are based on the fact that the Company has never paid cash dividends and has no present intention to pay cash dividends. Expense is recognized over the vesting period for all awards and commences at the grant date for time-based awards and upon the Company’s determination that the achievement of such performance conditions is probable for performance-based awards. Forfeitures are recognized as they occur.</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Company’s Employee Stock Purchase Plan, the fair value of the right to acquire stock at a discounted price under the plan is calculated using the Black-Scholes valuation model. Expense is recognized over the period the employee contributes to the plan through payroll deductions.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liability-classified stock option awards (“liability options”) under ASC 718 </w:t>
      </w:r>
      <w:r>
        <w:rPr>
          <w:rFonts w:ascii="Times New Roman" w:cs="Times New Roman" w:eastAsia="Times New Roman" w:hAnsi="Times New Roman"/>
          <w:sz w:val="18"/>
          <w:szCs w:val="18"/>
          <w:i w:val="1"/>
          <w:iCs w:val="1"/>
          <w:color w:val="auto"/>
        </w:rPr>
        <w:t>- Compensation - Stock Compensation</w:t>
      </w:r>
      <w:r>
        <w:rPr>
          <w:rFonts w:ascii="Times New Roman" w:cs="Times New Roman" w:eastAsia="Times New Roman" w:hAnsi="Times New Roman"/>
          <w:sz w:val="18"/>
          <w:szCs w:val="18"/>
          <w:color w:val="auto"/>
        </w:rPr>
        <w:t xml:space="preserve">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As of January 1, 2016, the Company changed its functional currency to US dollars, which resulted in certain stock option awards with exercise prices denominated in Canadian dollars having an exercise price that is not denominated in the Company’s functional currency. As such, the historic equity classification of these stock option awards changed to liability classification effective January 1, 2016. The change in classification resulted in reclassification of these awards from additional paid-in capital to a liability.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its Preferred Shares under ASC 480 –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which provides guidance for equity instruments with conversion features. The Company classified the Preferred Shares in its consolidated balance sheet wholly as equity, with no bifurcation of conversion feature from the host contract, given that the Preferred Shares could not be cash-settled and the redemption features, which included a fixed conversion ratio with predetermined timing and proceeds, were within the Company’s control. The Company accrued for the 8.75% per annum compounding accrual at each reporting period-end date as an increase to share capital, and an increase to deficit. The Company’s Preferred Shares were converted into 22,833,922 common shares on October 18,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viewed its operations and managed its business as one operating segment consistent with how its chief operating decision-maker, the Chief Executive Officer, makes decisions regarding resource allocation and assessing performance. Substantially all of the Company’s premises, property and equipment are located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adjustments for the change in unrealized gains and losses on investments in available-for-sale marketable securities. The Company includes comprehensive loss and its components in the consolidated statements of operations and comprehensive loss, net of tax effects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Measurement of Credit Losses on Financial Instruments (ASC 326). The guidance is effective for the Company beginning January 1, 2023 and it changes how entities account for credit losses on financial assets and other instruments that are not measured at fair value through net income, including available-for-sale debt securities. The Company does not anticipate that the new guidance will have a material impact on its results of operations or financial position.</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3" w:lineRule="exact"/>
        <w:rPr>
          <w:sz w:val="20"/>
          <w:szCs w:val="20"/>
          <w:color w:val="auto"/>
        </w:rPr>
      </w:pPr>
    </w:p>
    <w:p>
      <w:pPr>
        <w:ind w:left="980" w:hanging="486"/>
        <w:spacing w:after="0" w:line="281"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 The Company’s cash and cash equivalents are measured using Level 1 inputs.</w:t>
      </w:r>
    </w:p>
    <w:p>
      <w:pPr>
        <w:spacing w:after="0" w:line="1"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 The Company’s investments in marketable securities are measured using Level 2 inputs.</w:t>
      </w:r>
    </w:p>
    <w:p>
      <w:pPr>
        <w:spacing w:after="0" w:line="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 The Company’s liability-classified options and contingent consideration are measured using Level 3 inputs.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determine the fair value of the contingent consideration (note 10),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that the fair value of the contingent consideration was $7.5 million as of December 31, 2022 and the increase of $2.2 million has been recorded within operating expenses in the statement of operations and comprehensive loss for the year ended December 31, 2022. The assumptions used in the discounted cash flow model are level 3 inputs as defined above.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assessed the sensitivity of the fair value measurement to changes in these unobservable inputs, and determined that changes within a reasonable range would not result in a materially different assessment of fair value.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liability-classified stock option awards: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Liability at beginning of</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of liability-classified</w:t>
            </w:r>
          </w:p>
        </w:tc>
        <w:tc>
          <w:tcPr>
            <w:tcW w:w="176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Decrease in fair value of</w:t>
            </w:r>
          </w:p>
        </w:tc>
        <w:tc>
          <w:tcPr>
            <w:tcW w:w="180" w:type="dxa"/>
            <w:vAlign w:val="bottom"/>
          </w:tcPr>
          <w:p>
            <w:pPr>
              <w:spacing w:after="0"/>
              <w:rPr>
                <w:sz w:val="13"/>
                <w:szCs w:val="13"/>
                <w:color w:val="auto"/>
              </w:rPr>
            </w:pP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Liability at end of the</w:t>
            </w:r>
          </w:p>
        </w:tc>
      </w:tr>
      <w:tr>
        <w:trPr>
          <w:trHeight w:val="196"/>
        </w:trPr>
        <w:tc>
          <w:tcPr>
            <w:tcW w:w="3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options exercised in the period</w:t>
            </w: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96"/>
        </w:trPr>
        <w:tc>
          <w:tcPr>
            <w:tcW w:w="3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2"/>
          </w:tcPr>
          <w:p>
            <w:pPr>
              <w:jc w:val="center"/>
              <w:ind w:left="10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center"/>
              <w:ind w:left="1539"/>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center"/>
              <w:ind w:left="1499"/>
              <w:spacing w:after="0"/>
              <w:rPr>
                <w:sz w:val="20"/>
                <w:szCs w:val="20"/>
                <w:color w:val="auto"/>
              </w:rPr>
            </w:pPr>
            <w:r>
              <w:rPr>
                <w:rFonts w:ascii="Times New Roman" w:cs="Times New Roman" w:eastAsia="Times New Roman" w:hAnsi="Times New Roman"/>
                <w:sz w:val="18"/>
                <w:szCs w:val="18"/>
                <w:color w:val="auto"/>
                <w:w w:val="99"/>
              </w:rPr>
              <w:t>(96)</w:t>
            </w:r>
          </w:p>
        </w:tc>
        <w:tc>
          <w:tcPr>
            <w:tcW w:w="44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3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Liability at beginning of the period</w:t>
            </w:r>
          </w:p>
        </w:tc>
        <w:tc>
          <w:tcPr>
            <w:tcW w:w="240" w:type="dxa"/>
            <w:vAlign w:val="bottom"/>
          </w:tcPr>
          <w:p>
            <w:pPr>
              <w:spacing w:after="0"/>
              <w:rPr>
                <w:sz w:val="16"/>
                <w:szCs w:val="16"/>
                <w:color w:val="auto"/>
              </w:rPr>
            </w:pPr>
          </w:p>
        </w:tc>
        <w:tc>
          <w:tcPr>
            <w:tcW w:w="22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Increase in fair value of liability</w:t>
            </w:r>
          </w:p>
        </w:tc>
        <w:tc>
          <w:tcPr>
            <w:tcW w:w="280" w:type="dxa"/>
            <w:vAlign w:val="bottom"/>
          </w:tcPr>
          <w:p>
            <w:pPr>
              <w:spacing w:after="0"/>
              <w:rPr>
                <w:sz w:val="16"/>
                <w:szCs w:val="16"/>
                <w:color w:val="auto"/>
              </w:rPr>
            </w:pPr>
          </w:p>
        </w:tc>
        <w:tc>
          <w:tcPr>
            <w:tcW w:w="21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Liability at end of the period</w:t>
            </w:r>
          </w:p>
        </w:tc>
      </w:tr>
      <w:tr>
        <w:trPr>
          <w:trHeight w:val="23"/>
        </w:trPr>
        <w:tc>
          <w:tcPr>
            <w:tcW w:w="39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0"/>
        </w:trPr>
        <w:tc>
          <w:tcPr>
            <w:tcW w:w="3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3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2,233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1,872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line="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Investments in marketable securities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and cash equivalents consisted of the following:</w:t>
      </w:r>
    </w:p>
    <w:p>
      <w:pPr>
        <w:spacing w:after="0" w:line="134"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3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34"/>
        </w:trPr>
        <w:tc>
          <w:tcPr>
            <w:tcW w:w="152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120" w:type="dxa"/>
            <w:vAlign w:val="bottom"/>
          </w:tcPr>
          <w:p>
            <w:pPr>
              <w:spacing w:after="0"/>
              <w:rPr>
                <w:sz w:val="19"/>
                <w:szCs w:val="19"/>
                <w:color w:val="auto"/>
              </w:rPr>
            </w:pP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23,218</w:t>
            </w:r>
          </w:p>
        </w:tc>
      </w:tr>
      <w:tr>
        <w:trPr>
          <w:trHeight w:val="223"/>
        </w:trPr>
        <w:tc>
          <w:tcPr>
            <w:tcW w:w="39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w:t>
            </w:r>
          </w:p>
        </w:tc>
      </w:tr>
      <w:tr>
        <w:trPr>
          <w:trHeight w:val="19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6"/>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r>
      <w:tr>
        <w:trPr>
          <w:trHeight w:val="229"/>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26,841</w:t>
            </w:r>
          </w:p>
        </w:tc>
      </w:tr>
      <w:tr>
        <w:trPr>
          <w:trHeight w:val="229"/>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r>
      <w:tr>
        <w:trPr>
          <w:trHeight w:val="230"/>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54,567</w:t>
            </w:r>
          </w:p>
        </w:tc>
      </w:tr>
      <w:tr>
        <w:trPr>
          <w:trHeight w:val="223"/>
        </w:trPr>
        <w:tc>
          <w:tcPr>
            <w:tcW w:w="39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117,674</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116,137</w:t>
            </w:r>
          </w:p>
        </w:tc>
      </w:tr>
      <w:tr>
        <w:trPr>
          <w:trHeight w:val="19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Investments in marketable long-term securities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6"/>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29"/>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25,097</w:t>
            </w:r>
          </w:p>
        </w:tc>
      </w:tr>
      <w:tr>
        <w:trPr>
          <w:trHeight w:val="229"/>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r>
      <w:tr>
        <w:trPr>
          <w:trHeight w:val="228"/>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38,129</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37,363</w:t>
            </w:r>
          </w:p>
        </w:tc>
      </w:tr>
    </w:tbl>
    <w:p>
      <w:pPr>
        <w:spacing w:after="0" w:line="112" w:lineRule="exact"/>
        <w:rPr>
          <w:sz w:val="20"/>
          <w:szCs w:val="20"/>
          <w:color w:val="auto"/>
        </w:rPr>
      </w:pPr>
    </w:p>
    <w:p>
      <w:pPr>
        <w:ind w:left="540" w:hanging="163"/>
        <w:spacing w:after="0"/>
        <w:tabs>
          <w:tab w:leader="none" w:pos="54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Gross unrealized gain (loss) is pre-tax and is reported in accumulated other comprehensive loss.</w:t>
      </w:r>
    </w:p>
    <w:p>
      <w:pPr>
        <w:spacing w:after="0" w:line="200" w:lineRule="exact"/>
        <w:rPr>
          <w:sz w:val="20"/>
          <w:szCs w:val="20"/>
          <w:color w:val="auto"/>
        </w:rPr>
      </w:pPr>
    </w:p>
    <w:p>
      <w:pPr>
        <w:spacing w:after="0" w:line="209"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3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34"/>
        </w:trPr>
        <w:tc>
          <w:tcPr>
            <w:tcW w:w="152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93,211</w:t>
            </w:r>
          </w:p>
        </w:tc>
        <w:tc>
          <w:tcPr>
            <w:tcW w:w="120" w:type="dxa"/>
            <w:vAlign w:val="bottom"/>
          </w:tcPr>
          <w:p>
            <w:pPr>
              <w:spacing w:after="0"/>
              <w:rPr>
                <w:sz w:val="19"/>
                <w:szCs w:val="19"/>
                <w:color w:val="auto"/>
              </w:rPr>
            </w:pP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93,211</w:t>
            </w:r>
          </w:p>
        </w:tc>
      </w:tr>
      <w:tr>
        <w:trPr>
          <w:trHeight w:val="223"/>
        </w:trPr>
        <w:tc>
          <w:tcPr>
            <w:tcW w:w="39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93,211</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93,211</w:t>
            </w:r>
          </w:p>
        </w:tc>
      </w:tr>
      <w:tr>
        <w:trPr>
          <w:trHeight w:val="19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6"/>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3"/>
              </w:rPr>
              <w:t>(11)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29"/>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37,915</w:t>
            </w:r>
          </w:p>
        </w:tc>
      </w:tr>
      <w:tr>
        <w:trPr>
          <w:trHeight w:val="223"/>
        </w:trPr>
        <w:tc>
          <w:tcPr>
            <w:tcW w:w="39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r>
      <w:tr>
        <w:trPr>
          <w:trHeight w:val="196"/>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Investments in marketable long-term securities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6"/>
        </w:trPr>
        <w:tc>
          <w:tcPr>
            <w:tcW w:w="3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r>
      <w:tr>
        <w:trPr>
          <w:trHeight w:val="223"/>
        </w:trPr>
        <w:tc>
          <w:tcPr>
            <w:tcW w:w="394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35,688</w:t>
            </w:r>
          </w:p>
        </w:tc>
      </w:tr>
    </w:tbl>
    <w:p>
      <w:pPr>
        <w:spacing w:after="0" w:line="123" w:lineRule="exact"/>
        <w:rPr>
          <w:sz w:val="20"/>
          <w:szCs w:val="20"/>
          <w:color w:val="auto"/>
        </w:rPr>
      </w:pPr>
    </w:p>
    <w:p>
      <w:pPr>
        <w:ind w:left="500" w:hanging="168"/>
        <w:spacing w:after="0"/>
        <w:tabs>
          <w:tab w:leader="none" w:pos="50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Gross unrealized gain (loss) is pre-tax and is reported in accumulated other comprehensive loss.</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contractual maturity of the $116.1 million of short-term marketable securities held by the Company as of December 31, 2022 is less than one year. As of December 31, 2022, the Company held $37.4 million of long-term marketable securities with contractual maturities of more than one year, but less than five years. As of December 31, 2021, the Company’s $46.0 million of short-term marketable securities had contractual maturities of less than one year, while the Company’s $35.7 million of long-term marketable securities had maturities of more than one year, but less than five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realized gains on investments of less than $0.1 million and zero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Investment in Genevant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2018, the Company entered into an agreement with Roivant Sciences Ltd. (“Roivant”), its largest shareholder, to launch Genevant Sciences Ltd. (“Genevant”), a company focused on a broad range of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December 31, 2022, the carrying value of the Company’s investment in Genevant was zero and the Company owned approximately 16% of the common equity of Genevant.</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one operating lease for its office and laboratory space as of December 31, 2022. The Company’s corporate headquarters is located at 701 Veterans Circle, Warminster, Pennsylvania. The lease expires on April 30, 2027, and the Company has the option of extending the lease for two further five-year terms. The Company also previously leased office space located at 626 Jacksonville Road, Warminster, Pennsylvania under a lease that terminated on August 31, 2022.</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 value of lease payments, the Company utilized its incremental borrowing rate for the applicable lease, which was 9.0% for the 701 Veterans Circle lease and 7.6% for the 626 Jacksonville Road lease. The Company recognizes lease expense on a straight-line basis over the remaining lease term.</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each of the years ended December 31, 2022 and 2021, the Company incurred total operating lease expenses of $0.7 million, which included lease expenses associated with fixed lease payments of $0.6 million, and variable payments associated with common area maintenance and similar expenses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540" w:type="dxa"/>
            <w:vAlign w:val="bottom"/>
          </w:tcPr>
          <w:p>
            <w:pPr>
              <w:spacing w:after="0"/>
              <w:rPr>
                <w:sz w:val="16"/>
                <w:szCs w:val="16"/>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shd w:val="clear" w:color="auto" w:fill="CCEEFF"/>
          </w:tcPr>
          <w:p>
            <w:pPr>
              <w:spacing w:after="0"/>
              <w:rPr>
                <w:sz w:val="19"/>
                <w:szCs w:val="19"/>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9.0%</w:t>
            </w:r>
          </w:p>
        </w:tc>
        <w:tc>
          <w:tcPr>
            <w:tcW w:w="540" w:type="dxa"/>
            <w:vAlign w:val="bottom"/>
          </w:tcPr>
          <w:p>
            <w:pPr>
              <w:spacing w:after="0"/>
              <w:rPr>
                <w:sz w:val="20"/>
                <w:szCs w:val="20"/>
                <w:color w:val="auto"/>
              </w:rPr>
            </w:pPr>
          </w:p>
        </w:tc>
      </w:tr>
      <w:tr>
        <w:trPr>
          <w:trHeight w:val="373"/>
        </w:trPr>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did not include options to extend its lease terms as part of its ROU asset and lease liabilities.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8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7"/>
        </w:trPr>
        <w:tc>
          <w:tcPr>
            <w:tcW w:w="764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24"/>
                <w:szCs w:val="24"/>
                <w:color w:val="auto"/>
              </w:rPr>
            </w:pPr>
          </w:p>
        </w:tc>
      </w:tr>
      <w:tr>
        <w:trPr>
          <w:trHeight w:val="23"/>
        </w:trPr>
        <w:tc>
          <w:tcPr>
            <w:tcW w:w="7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641</w:t>
            </w:r>
          </w:p>
        </w:tc>
        <w:tc>
          <w:tcPr>
            <w:tcW w:w="13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554"/>
        </w:trPr>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that have remaining terms as of December 31, 2022 are as follows: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0"/>
        </w:trPr>
        <w:tc>
          <w:tcPr>
            <w:tcW w:w="7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7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1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1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r>
    </w:tbl>
    <w:p>
      <w:pPr>
        <w:spacing w:after="0" w:line="3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property and equipment balances as of the years ended December 31, 2022 and 2021 are as follows: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3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6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340" w:type="dxa"/>
            <w:vAlign w:val="bottom"/>
          </w:tcPr>
          <w:p>
            <w:pPr>
              <w:spacing w:after="0"/>
              <w:rPr>
                <w:sz w:val="12"/>
                <w:szCs w:val="12"/>
                <w:color w:val="auto"/>
              </w:rPr>
            </w:pPr>
          </w:p>
        </w:tc>
        <w:tc>
          <w:tcPr>
            <w:tcW w:w="1680" w:type="dxa"/>
            <w:vAlign w:val="bottom"/>
          </w:tcPr>
          <w:p>
            <w:pPr>
              <w:jc w:val="center"/>
              <w:ind w:left="88"/>
              <w:spacing w:after="0" w:line="14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2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1" w:name="page92"/>
    <w:bookmarkEnd w:id="91"/>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$1.4 million and $1.8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6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gridSpan w:val="4"/>
          </w:tcPr>
          <w:p>
            <w:pPr>
              <w:jc w:val="right"/>
              <w:ind w:right="14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Sale of future royalties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 an RNA interference therapeutic currently being sold by Alnylam.</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 From the inception of the royalty sale through December 31, 2022, an aggregate of $18.9 million of royalties have been collected by OMERS.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Management estimated an effective annual interest rate of approximately 8%.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non-cash royalty revenue related to the sales of ONPATTRO during the term of the Agreement. As royalties are remitted to OMERS from Alnylam, the balance of the recognized liability is effectively repaid over the life of the Agreement. There are a number of factors that could materially affect the amount and timing of royalty payments from Alnylam, none of which are within the Company’s control.</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non-cash royalty revenue of $7.7 million and $1.7 million of related non-cash interest expense. During the year ended December 31, 2021, the Company recognized non-cash royalty revenue of $6.1 million and related non-cash interest expense of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activity related to the net liability for the years ended December 31, 2022 and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78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7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40" w:type="dxa"/>
            <w:vAlign w:val="bottom"/>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beginning balance</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ending balance</w:t>
            </w: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tcPr>
          <w:p>
            <w:pPr>
              <w:spacing w:after="0"/>
              <w:rPr>
                <w:sz w:val="19"/>
                <w:szCs w:val="19"/>
                <w:color w:val="auto"/>
              </w:rPr>
            </w:pP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Contingencies and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Arbitration with the University of British Columbia</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2014, UBC filed a demand for arbitration against the Company which alleged entitlement to unpaid royalties. In August 2019, the arbitrator issued its decision for the second phase of the arbitration, awarding UBC $5.9 million, which included interest of approximately $2.6 million. The Company paid the $5.9 million award to UBC in September 2019 and paid an additional $0.2 million for costs and attorneys’ fees in March 2021, and this matter is now fully resolved.</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18, 2020, UBC delivered to the Company a notice of arbitration alleging that under the cross license between UBC and Arbutus, it was due royalties of $2.0 million plus interest arising from the Company’s sale to OMERS of part of its royalty interest on future global net sales of ONPATTRO, currently being sold by Alnylam. Oral hearings for this matter were held in April 2022 and, on July 11, 2022, the arbitrator issued his decision fully dismissing UBC’s claim for royalties. As a result, no payments are owed to UBC. In September 2022, the arbitrator awarded the Company $0.5 million for reimbursement of costs and attorneys’ fees, which the Company received from UBC in October 2022. This matter is now fully resolved.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Enantigen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Arbutus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milestone payment obligations. Certain other development milestones related to the acquisition were tied to programs which are no longer under development by Arbutus, and therefore the contingency related to those development milestones is zero.</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consideration is a financial liability and is measured at its fair value at each reporting period, with any changes in fair value from the previous reporting period recorded in the statement of operations and comprehensive loss (note 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consideration was $7.5 million as of December 31,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3" w:name="page94"/>
    <w:bookmarkEnd w:id="93"/>
    <w:p>
      <w:pPr>
        <w:spacing w:after="0" w:line="28" w:lineRule="exact"/>
        <w:rPr>
          <w:sz w:val="20"/>
          <w:szCs w:val="20"/>
          <w:color w:val="auto"/>
        </w:rPr>
      </w:pPr>
    </w:p>
    <w:p>
      <w:pPr>
        <w:ind w:left="400" w:hanging="392"/>
        <w:spacing w:after="0"/>
        <w:tabs>
          <w:tab w:leader="none" w:pos="4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and royalty entitlements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Qilu Pharmaceuticals Co, Ltd.</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2021, the Company entered into a technology transfer and exclusive licensing agreement (the “License Agreement”) with Qilu, pursuant to which the Company granted Qilu an exclusive (except as to certain retained rights), sublicensable, royalty-bearing license, under certain intellectual property owned by the Company, to develop, manufacture and commercialize AB-729, including pharmaceutical products that include AB-729, for the treatment or prevention of hepatitis B in China, Hong Kong, Macau and Taiwan (the “Territory”).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partial consideration for the rights granted by the Company, Qilu paid the Company a one-time upfront cash payment of $40.0 million on January 5, 2022 and agreed to pay the Company milestone payments totaling up to $245 million, net of withholding taxes, upon the achievement of certain technology transfer, development, regulatory and commercialization milestones (the “Milestone Payments”). Qilu paid $4.4 million of withholding taxes to the Chinese taxing authority on the Company’s behalf, related to the upfront cash payment. In addition, Qilu also agreed to pay the Company double digit royalties into the low twenties percent based upon annual net sales of AB-729 in the Territory. The royalties are payable on a product-by-product and region-by-region basis, subject to certain limitations.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AB-729 necessary for Qilu to develop and commercialize in the Territory until the Company has completed manufacturing technology transfer to Qilu and Qilu has received all approvals required for it or its designated contract manufacturing organization to manufacture AB-729 in the Territory.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without par value (the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initial transaction price of the combined performance obligation to be $49.3 million, which includes the $40.0 million upfront fee, $4.4 million of withholding taxes paid by Qilu on behalf of the Company, the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paid for the Share Transaction of $4.1 million, and $0.8 million associated with certain manufacturing costs expected to be reimbursed by Qilu.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transaction price and the changes to the related asset and liability balances during the twelve months ended December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3200" w:type="dxa"/>
            <w:vAlign w:val="bottom"/>
            <w:tcBorders>
              <w:bottom w:val="single" w:sz="8" w:color="auto"/>
            </w:tcBorders>
            <w:gridSpan w:val="4"/>
            <w:shd w:val="clear" w:color="auto" w:fill="CCEEFF"/>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Twelve Months Ended December 31, 2022</w:t>
            </w:r>
          </w:p>
        </w:tc>
        <w:tc>
          <w:tcPr>
            <w:tcW w:w="2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Price</w:t>
            </w:r>
          </w:p>
        </w:tc>
        <w:tc>
          <w:tcPr>
            <w:tcW w:w="600" w:type="dxa"/>
            <w:vAlign w:val="bottom"/>
          </w:tcPr>
          <w:p>
            <w:pPr>
              <w:spacing w:after="0"/>
              <w:rPr>
                <w:sz w:val="11"/>
                <w:szCs w:val="11"/>
                <w:color w:val="auto"/>
              </w:rPr>
            </w:pPr>
          </w:p>
        </w:tc>
        <w:tc>
          <w:tcPr>
            <w:tcW w:w="24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Cumulative Collaboration Revenue</w:t>
            </w:r>
          </w:p>
        </w:tc>
        <w:tc>
          <w:tcPr>
            <w:tcW w:w="200" w:type="dxa"/>
            <w:vAlign w:val="bottom"/>
          </w:tcPr>
          <w:p>
            <w:pPr>
              <w:spacing w:after="0"/>
              <w:rPr>
                <w:sz w:val="11"/>
                <w:szCs w:val="11"/>
                <w:color w:val="auto"/>
              </w:rPr>
            </w:pPr>
          </w:p>
        </w:tc>
        <w:tc>
          <w:tcPr>
            <w:tcW w:w="2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Deferred License Revenue</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940" w:type="dxa"/>
            <w:vAlign w:val="bottom"/>
            <w:shd w:val="clear" w:color="auto" w:fill="CCEEFF"/>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performance obligation</w:t>
            </w:r>
          </w:p>
        </w:tc>
        <w:tc>
          <w:tcPr>
            <w:tcW w:w="1660" w:type="dxa"/>
            <w:vAlign w:val="bottom"/>
          </w:tcPr>
          <w:p>
            <w:pPr>
              <w:jc w:val="right"/>
              <w:ind w:right="14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96"/>
              </w:rPr>
              <w:t>49,270</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26,015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asset</w:t>
            </w:r>
          </w:p>
        </w:tc>
        <w:tc>
          <w:tcPr>
            <w:tcW w:w="1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license revenue</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deferred license revenue</w:t>
            </w:r>
          </w:p>
        </w:tc>
        <w:tc>
          <w:tcPr>
            <w:tcW w:w="1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0" w:type="dxa"/>
            <w:vAlign w:val="bottom"/>
          </w:tcPr>
          <w:p>
            <w:pPr>
              <w:spacing w:after="0"/>
              <w:rPr>
                <w:sz w:val="1"/>
                <w:szCs w:val="1"/>
                <w:color w:val="auto"/>
              </w:rPr>
            </w:pPr>
          </w:p>
        </w:tc>
      </w:tr>
      <w:tr>
        <w:trPr>
          <w:trHeight w:val="22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license revenue</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$26.0 million of revenue based on labor hours expended by the Company on its Manufacturing Obligations during the twelve months ended December 31,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balance of the deferred license revenue was $23.3 million, which, in accordance with ASC 210-20, was partially offset by the contract asset associated with the manufacturing cost reimbursement of $0.8 million, resulting in a net deferred license revenue liability of $22.5 million. The $4.4 million of withholding taxes paid by Qilu on behalf of the Company was recorded as income tax expense during the twelve months ended December 31, 2022.</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$0.3 million of related amortization expense for the twelve months ended December 31, 2022.</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Assembly Biosciences, Inc.</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a clinical collaboration agreement with Assembly Biosciences, Inc. (“Assembly”) to evaluate AB-729 in combination with Assembly’s first-generation HBV core inhibitor (capsid inhibitor) candidate vebicorvir (“VBR”) and standard-of-care NA therapy for the treatment of patients with HBV infection. Assembly has completed enrollment in the clinical trial. In July 2022, Assembly announced its plan to discontinue development of VBR. Despite this, in consultation with Assembly, the Company continued dosing patients in this Phase 2a proof-of-concept clinical trial in order to fully and accurately assess the results. Preliminary data from 65 patients indicated that adding VBR to AB-729 and NA therapy does not positively or negatively impact the reduction of HBsAg compared to AB-729 and NA therapy alone. Accordingly, the Company and Assembly mutually agreed to discontinue the clinical trial following completion of the final, on-treatment visit at week 48. The Company and Assembly shared in the costs of the collaboration. The Company incurred $2.8 million and $2.6 million of costs related to the collaboration during the years ended December 31, 2022 and 2021, respectively, and reflected those costs in research and development in the statements of operations and comprehensive loss. Except to the extent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carry out Assembly’s responsibilities with respect to the collaboration trial, the Company has not provided any license grant to Assembly for use of the Company’s AB-729 compound.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Vaccitech plc</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2021, the Company entered into a clinical collaboration agreement with Vaccitech plc (“Vaccitech”) to evaluate AB-729 followed by Vaccitech’s VTP-300, a proprietary T-cell stimulating antigen-specific immunotherapeutic, in NrtI-suppressed patients with cHBV.</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responsible for managing this Phase 2a proof-of-concept clinical trial, subject to oversight by a joint development committee comprised of representatives from the Company and Vaccitech. The Company and Vaccitech retain full rights to their respective product candidates and will split all costs associated with the clinical trial. The Company incurred $0.8 million and $0.5 million of costs related to the collaboration, net of Vaccitech’s 50% share, during the years ended December 31, 2022 and 2021, respectively, and reflected those net costs in research and development in the statements of operations and comprehensive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X-Chem, Inc. and Proteros biostructures GmbH</w:t>
      </w:r>
    </w:p>
    <w:p>
      <w:pPr>
        <w:spacing w:after="0" w:line="25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 March 2021, the Company entered into a discovery research and license agreement, as amended, with X-Chem, Inc. (“X-Chem”) and Proteros biostructures GmbH (“Proteros”) to focus on the discovery of novel inhibitors targeting the SARS-CoV-2 nsp5 main protease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The agreement is designed to accelerate the development of pan-coronavirus agents to treat COVID-19 and potential future coronavirus outbreaks. This collaboration brought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xml:space="preserve"> (an essential protein required for the virus to replicate itself) and the use of state-of-the-art structure guided methods to rapidly optimize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xml:space="preserve"> inhibitors to progress to clinical candidates. Through this collaboration, the Company has identified and obtained a worldwide exclusive license to several molecules that inhibit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a validated target for the treatment of COVID-19 and potential future coronavirus outbreaks. In the fourth quarter of 2022, the Company nominated AB-343 as its lead candidate that inhibits M</w:t>
      </w:r>
      <w:r>
        <w:rPr>
          <w:rFonts w:ascii="Times New Roman" w:cs="Times New Roman" w:eastAsia="Times New Roman" w:hAnsi="Times New Roman"/>
          <w:sz w:val="23"/>
          <w:szCs w:val="23"/>
          <w:color w:val="auto"/>
          <w:vertAlign w:val="superscript"/>
        </w:rPr>
        <w:t>pro</w:t>
      </w:r>
      <w:r>
        <w:rPr>
          <w:rFonts w:ascii="Times New Roman" w:cs="Times New Roman" w:eastAsia="Times New Roman" w:hAnsi="Times New Roman"/>
          <w:sz w:val="18"/>
          <w:szCs w:val="18"/>
          <w:color w:val="auto"/>
        </w:rPr>
        <w:t xml:space="preserve"> and the Company is also continuing lead optimization activities for an nsp12 viral polymerase candidate.</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provides for payments by the Company to X-Chem and Proteros upon satisfaction of certain development, regulatory and commercial milestones, as well as royalties on sales. The agreement with X-Chem and Proteros was amended effective March 31, 2022 primarily to extend the term of the collaboration and update the funding and fee structure. The Company incurred $1.3 million and $1.9 million of costs related to the collaboration during the years ended December 31, 2022 and 2021, respectively, and reflected those costs in research and development in the statements of operations and comprehensive loss.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Entitlements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and Acuitas Therapeutics,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Alnylam’s global net sales of ONPATTRO.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2012, the Company entered into a license agreement with Alnylam Pharmaceuticals, Inc. (“Alnylam”) that entitles Alnylam to develop and commercialize products with the Company’s LNP technology. Alnylam’s ONPATTRO, which represents the first approved application of the Company’s LNP technology, was launched by Alnylam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December 31, 2022, 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$18.9 million of royalties have been earned by OMERS. See note 9 for further details.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rights to a second royalty interest ranging from 0.75% to 1.125% on global net sales of ONPATTRO, with 0.75% applying to sales greater than $500 million, originating from a settlement agreement and subsequent license agreement with Acuitas Therapeutics, Inc. (“Acuitas”). This royalty entitlement from Acuitas has been retained by the Company and was not part of the royalty entitlement sale to OMERS.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Gritstone Oncology, Inc.</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16, 2017, the Company entered into a license agreement with Gritstone that granted them worldwide access to its portfolio of proprietary and clinically validated LNP technology and associated intellectual property to deliver Gritstone’s self-replicating, non-mRNA, RNA-based neoantigen immunotherapy products. Gritstone paid the Company an upfront payment, and will make payments for achievement of development, regulatory, and commercial milestones and royalties. As a result of the Company’s agreement with Genevant (see note 5 for details), from April 11, 2018 going forward, Genevant is entitled to 50% of the revenues earned by the Company from Gritstone. The Company is the agent in this arrangement and records revenue on a net basis. Milestone payments that are not within the control of the Company or the licensee, such as those that require regulatory approvals, are not considered probable of being achieved until those approvals are received. The Company did not receive any payments from Gritstone during the years ended December 31, 2022 or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the Company’s royalty entitlements are summarized in the following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0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196"/>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8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26,015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39,019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10,988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Open Market Sale Agreement with Jefferies LLC (“Jefferies”) dated December 20, 2018, as amended by Amendment No. 1, dated December 20, 2019, Amendment No. 2, dated August 7, 2020 and Amendment No. 3, dated March 4, 2021 (as amended, the “Sale Agreement”), under which the Company may issue and sell common shares, from time to time.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in connection with the offering of up to $50.0 million of the Company’s common shares pursuant to the Sale Agreement. This prospectus supplement was fully utilized during 2020. On August 7, 2020, the Company filed a prospectus supplement with the SEC (the “August 2020 Prospectus Supplement”) in connection with the offering of up to an additional $75.0 million of its common shares pursuant to the Sale Agreement under the January 2020 Registration Statement. The August 2020 Prospectus Supplement was fully utilized during 2020.</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in connection with the offering of up to an additional $75.0 million of its common shares pursuant to the Sale Agreement under October 2020 Registration Statement. The March 2021 Prospectus Supplement was fully utilized during 2021. On October 8, 2021, the Company filed a prospectus supplement with the SEC (the “October 2021 Prospectus Supplement”) in connection with the offering of up to an additional $75.0 million of its common shares pursuant to the Sale Agreement under the October 2020 Registration Statement.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2021, the Company filed a shelf registration statement on Form S-3 with the SEC (File No. 333-260782) and accompanying base prospectus, declared effective by the SEC on November 18, 2021 (the “November 2021 Registration Statement”), for the offer and sale of up to $250.0 million of the Company’s securities.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filed a prospectus supplement with the SEC (the “March 2022 Prospectus Supplement”) in connection with the offering of up to an additional $100.0 million of its common shares pursuant to the Sale Agreement under: (i) the January 2020 Registration Statement; (ii) the October 2020 Registration Statement; and (iii) the November 2021 Registration Statement.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issued 8,645,426 and 31,571,036 common shares, respectively, under the Sale Agreement, resulting in net proceeds of approximately $20.3 million and $134.7 million,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approximately $131.1 million remaining available in aggregate under the October 2021 Prospectus Supplement and the March 2022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2017, the Company entered into a subscription agreement with Roivant for the sale of Preferred Shares to Roivant for gross proceeds of $116.4 million. The Preferred Shares were non-voting and were convertible into common shares at a conversion price of $7.13 per share (which represented a 15% premium to the closing price of $6.20 per share). The purchase price for the Preferred Shares plus an amount equal to 8.75% per annum, compounded annually, was subject to mandatory conversion into common shares on October 18, 2021, at which time the Preferred Shares were converted into 22,833,922 common shares and both the lockup and standstill periods that Roivant had previously agreed to expired. As of December 31, 2022, Roivant owned approximately 25% of the Company’s outstanding common shares.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the Preferred Shares wholly as equity with no bifurcation of conversion feature from the host contract, given that the Preferred Shares could not be cash settled and the redemption features were within the Company’s control, which included a fixed conversion ratio with predetermined timing and proceeds. The Company accrued for the 8.75%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compounding coupon at each reporting period end date as an increase to share capital, and an increase to deficit (see statement of stockholder’s equity).</w:t>
      </w:r>
    </w:p>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outstanding and available for issuance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had stock options outstanding under the following plans (collectively, the “Plans”): the 2016 Omnibus Share and Incentive Plan (the “2016 Plan”), the 2011 Omnibus Share Compensation Plan (the “2011 Plan”); the 2019 inducement grant; and the OnCore Option Plan.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aggregate number of shares authorized for awards under all Plans was 28,290,202. As of December 31, 2022, the Company had 15,450,598 options outstanding and 8,842,931 awards available for issuance under the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issues new common shares of stock to settle options exercised.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2011 Plan expired in June 2021. Under the 2016 Plan, the Company’s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date of grant and the term may not exceed 10 years. Options granted generally vest over four years for employees and for directors’ initial grants, and immediately for directors’ annual grants.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2019, the Company provided an inducement grant of 1,112,000 options to its newly hired Chief Executive Officer. These options were awarded in a separate plan as non-qualified awards and are governed by the substantially the same terms as the 2016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Hereafter, information on options governed by the 2016 Plan, the 2011 Plan and the 2019 inducement grant (the “Arbutus Plans”) is presented on a consolidated basis as the terms of the plans are similar. Information on the OnCore Option Plan is presented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under the Arbutus Plans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Equity-classified stock options under the Arbutus Plans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the Company’s equity-classified stock options, including its performance options,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1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Vested Stock Options</w:t>
            </w:r>
          </w:p>
        </w:tc>
        <w:tc>
          <w:tcPr>
            <w:tcW w:w="30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Non-Vested Stock Options</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1"/>
                <w:szCs w:val="11"/>
                <w:color w:val="auto"/>
              </w:rPr>
            </w:pPr>
          </w:p>
        </w:tc>
        <w:tc>
          <w:tcPr>
            <w:tcW w:w="132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1"/>
                <w:szCs w:val="11"/>
                <w:color w:val="auto"/>
              </w:rPr>
            </w:pPr>
          </w:p>
        </w:tc>
        <w:tc>
          <w:tcPr>
            <w:tcW w:w="1320" w:type="dxa"/>
            <w:vAlign w:val="bottom"/>
          </w:tcPr>
          <w:p>
            <w:pPr>
              <w:jc w:val="right"/>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11,309,974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6,544,348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4,765,626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4,808,295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4,808,295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canceled or expired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(596,847)</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15,349,998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9,631,779</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5,718,219</w:t>
            </w:r>
          </w:p>
        </w:tc>
        <w:tc>
          <w:tcPr>
            <w:tcW w:w="12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options exercised under the Arbutus Plans during 2022 and 2021 are $0.1 million and $0.2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additional information related to the Company’s equity-classified stock options, including its performance options,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86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Options outstanding and expected to vest</w:t>
            </w:r>
          </w:p>
        </w:tc>
        <w:tc>
          <w:tcPr>
            <w:tcW w:w="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9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Number of stock options outstanding</w:t>
            </w:r>
          </w:p>
        </w:tc>
        <w:tc>
          <w:tcPr>
            <w:tcW w:w="56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15,349,998</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exercise price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20" w:type="dxa"/>
            <w:vAlign w:val="bottom"/>
          </w:tcPr>
          <w:p>
            <w:pPr>
              <w:spacing w:after="0"/>
              <w:rPr>
                <w:sz w:val="19"/>
                <w:szCs w:val="19"/>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Intrinsic value (in $000s)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term remaining</w:t>
            </w:r>
          </w:p>
        </w:tc>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years</w:t>
            </w:r>
          </w:p>
        </w:tc>
      </w:tr>
      <w:tr>
        <w:trPr>
          <w:trHeight w:val="189"/>
        </w:trPr>
        <w:tc>
          <w:tcPr>
            <w:tcW w:w="20" w:type="dxa"/>
            <w:vAlign w:val="bottom"/>
          </w:tcPr>
          <w:p>
            <w:pPr>
              <w:spacing w:after="0"/>
              <w:rPr>
                <w:sz w:val="16"/>
                <w:szCs w:val="16"/>
                <w:color w:val="auto"/>
              </w:rPr>
            </w:pPr>
          </w:p>
        </w:tc>
        <w:tc>
          <w:tcPr>
            <w:tcW w:w="8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Vested stock options</w:t>
            </w: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vested stock options</w:t>
            </w:r>
          </w:p>
        </w:tc>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9,631,779</w:t>
            </w:r>
          </w:p>
        </w:tc>
      </w:tr>
      <w:tr>
        <w:trPr>
          <w:trHeight w:val="229"/>
        </w:trPr>
        <w:tc>
          <w:tcPr>
            <w:tcW w:w="20" w:type="dxa"/>
            <w:vAlign w:val="bottom"/>
          </w:tcPr>
          <w:p>
            <w:pPr>
              <w:spacing w:after="0"/>
              <w:rPr>
                <w:sz w:val="19"/>
                <w:szCs w:val="19"/>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Weighted-average exercise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Intrinsic value (in $000s)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4"/>
        </w:trPr>
        <w:tc>
          <w:tcPr>
            <w:tcW w:w="20" w:type="dxa"/>
            <w:vAlign w:val="bottom"/>
          </w:tcPr>
          <w:p>
            <w:pPr>
              <w:spacing w:after="0"/>
              <w:rPr>
                <w:sz w:val="20"/>
                <w:szCs w:val="20"/>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Weighted-average term remaining</w:t>
            </w: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years</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for grants made during the years ended December 31, 2022 and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4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3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38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average option term</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years</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years</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1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93.4 %</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available information when estimating the fair value of its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under the other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also has 20,000 liability option awards outstanding with a weighted average exercise price of $12.10 and 80,600 stock option awards outstanding under the OnCore Option Plan with a weighted average exercise price of $0.56.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2020, the Company’s stockholders approved the 2020 Employee Stock Purchase Plan (the “ESPP”) which became effective on May 28, 2020. A total of 1,500,000 common shares were reserved for issuance under the ESPP. Company employees contribute funds via payroll deductions, which are used to buy Company common shares at a discount of up to 15% based on the lower of the price at the start of the offering period and at the end of the relevant purchase period within such offering period. The initial offering period under the ESPP was September 1, 2020 through August 31, 2021 with purchase dates set on February 26, 2021 and August 31, 2021, with subsequent offering periods beginning on September 1 and ending on August 31. The Company issued 171,224 and 196,335 shares under its ESPP for the years ended December 31, 2022 and 2021, respectively. As of December 31, 2022, there were 1,132,441 shares remaining for issuance under the ESPP. For the years ended December 31, 2022 and 2021, the Company recognized $0.2 million and $0.3 million, respectively, of stock-based compensation expense related to the ESPP. The fair value of the right to acquire stock at a discounted price under the ESPP is calculated using the Black-Scholes valuation model and recorded as stock-based compensation. Expense is recognized over the period the employee contributes to the plan through payroll deductions.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was comprised of: (1) vesting of options awarded to employees under the Arbutus and OnCore Plans calculated in accordance with the fair value method as described above; (2) fair value adjustments for the Company’s liability-classified stock options; and (3) amortization of compensation cost related to the ESPP.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forfeitures as they occur, and the effects of forfeitures are reflected in stock-based compensation expense.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has been recorded in the consolidated statement of operations and comprehensive loss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7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
        </w:trPr>
        <w:tc>
          <w:tcPr>
            <w:tcW w:w="7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2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there remained $13.2 million of unrecognized compensation expense related to unvested equity employee stock options to be recognized as expense over a weighted-average period of approximately 2.4 years</w:t>
      </w:r>
      <w:r>
        <w:rPr>
          <w:rFonts w:ascii="Times New Roman" w:cs="Times New Roman" w:eastAsia="Times New Roman" w:hAnsi="Times New Roman"/>
          <w:sz w:val="18"/>
          <w:szCs w:val="18"/>
          <w:b w:val="1"/>
          <w:bCs w:val="1"/>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years ended December 31, 2022 and 2021, the Company had zero performance based stock compensation expense.</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and files income tax returns in Canadian federal and provincial, United States federal and several state jurisdictions. In December 2022, the United States Internal Revenue service completed its examination of the Company’s federal tax return for 2018. In May 2022, The Canada Revenue Agency completed its examination of the Company’s Canadian tax returns for 2018 and 2019, with no adjustments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expense varies from the amounts that would be computed by applying the combined Canadian federal and provincial income tax rate of 27% (2021 - 27%) to the loss before income taxes as shown in the following tables: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4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7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taxes (benefits) at Canadian federal and provincial tax rates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(23,864)</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and other differences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 applied</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Provincial ITCs applied</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due to income taxed at foreign rates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investment tax credits available to reduce Canadian federal income taxes of $7.2 million, versus $7.4 million as of December 31, 2021, which expire between 2030 and 2037, and provincial income taxes of $2.0 million, versus $2.1 million as of December 31, 2021, which expire between 2024 and 2027. The investment tax credits are accounted for under a flow-through method. In addition, the Company had research and development credits of $3.7 million as of December 31, 2022, and $3.8 million as of December 31, 2021, which expire between 2031 and 2038 and which can be used to reduce future taxable income in the United States.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scientific research and experimental development expenditures of $62.2 million available for indefinite carry-forward, versus $62.8 million as of December 31, 2021. The Company also had net operating losses of $148.1 million as of December 31, 2022 and $177.7 million as of December 31, 2021, which are due to expire between 2028 and 2038 and which can be used to offset future taxable income in Canada.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and December 31, 2021, the Company had $11.7 million of net operating losses due to expire in 2035 which can be used to offset future taxable income in the United States. Future use of a portion of the United States loss carryforwards are subject to limitations under Internal Revenue Code Section 382. United States net operating loss carryforwards arising in 2019 and future periods have an indefinite carryforward period. As of December 31, 2022 and December 31, 2021, the Company had $203.9 million and $197.8 million, respectively, of total regular net operating losses which can be used to offset future taxable income in the United States.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ownership changes occurring on October 1, 2014 and March 4, 2015, the Company’s ability to use these losses may be limited. Losses incurred to date may be further limited if a subsequent change in control occurs.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generated $28.7 million and $93.7 million in pre-tax domestic and foreign losses, respectively, for the year ended December 31, 2022. The Company generated $7.7 million and $80.7 million in pre-tax domestic and foreign losses, respectively, for the year ended December 31, 2021.</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the 2017 Tax Cuts and Jobs Act and effective in 2022, the deferred tax asset as of December 31, 2022 included $16.5 million related to the mandatory capitalization and amortization of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shown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Non-capital losses carryforwards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research and development deductions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 amortization in excess of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 for tax purposes in excess of revenue recognized for accounting purposes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value in excess of accounting value in lease inducements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Canadian Federal investment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Provincial investment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accounted for investment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 research and development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Deductible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research and experimental expenditures capitalization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130,724</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 financing and related subscription agreement, the Company issued Roivant the Preferred Shares in October 2017. On October 18, 2021, the Preferred Shares were converted into 22,833,922 common shares. As of December 31, 2022, Roivant owned approximately 25% of the Company’s outstanding common shares. See note 12 for further details.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carrying value of the Company’s investment in Genevant was zero and the Company owned approximately 16% of the common equity of Genevant. See note 5 for further details.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each of the years ended December 31, 2022 and 2021, Genevant purchased certain administrative and transitional services from the Company totaling less than $0.1 million. These services were billed at agreed hourly rates and reflective of market rates for such services and these costs were netted in research and development in the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Chief Executive Officer (our principal executive officer) and Chief Financial Officer (our principal financial officer), concluded that, as of December 31, 2022,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2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changes in our internal control over financial reporting during the quarter ended December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5" w:name="page106"/>
    <w:bookmarkEnd w:id="105"/>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2023 Annual General Meeting of the Stockholders to be filed with the SEC within 120 days of the fiscal year ended December 31,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by posting such information on the website address and location specified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2023 Annual General Meeting of the Stockholders to be filed with the SEC within 120 days of the fiscal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2023 Annual General Meeting of the Stockholders to be filed with the SEC within 120 days of the fiscal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2023 Annual General Meeting of the Stockholders to be filed with the SEC within 120 days of the fiscal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for the 2023 Annual General Meeting of the Stockholders to be filed with the SEC within 120 days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gridSpan w:val="29"/>
          </w:tcPr>
          <w:p>
            <w:pPr>
              <w:ind w:left="26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59"/>
        </w:trPr>
        <w:tc>
          <w:tcPr>
            <w:tcW w:w="1118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r>
      <w:tr>
        <w:trPr>
          <w:trHeight w:val="301"/>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9840" w:type="dxa"/>
            <w:vAlign w:val="bottom"/>
            <w:gridSpan w:val="3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34"/>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Agreement and Plan of Merger and Reorganization, dated January 11, 2015, by and among Tekmira Pharmaceuticals Corporation, TKM</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Acquisition Corporation and OnCore Biopharma, Inc. (incorporated herein by reference to Exhibit 2.1 to the Registrant’s Current</w:t>
              </w:r>
            </w:hyperlink>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Report on Form 8-K/A, filed with the SEC on January 26, 2015).</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Notice of Articles and Articles of the Company, as amended (incorporated herein by reference to Exhibit 3.1 to the Registrant’s Annual</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Report on Form 10-K for the year ended December 31, 2017, filed with the SEC on March 16, 2018).</w:t>
              </w:r>
            </w:hyperlink>
          </w:p>
        </w:tc>
        <w:tc>
          <w:tcPr>
            <w:tcW w:w="24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Amendment to Articles of the Company (incorporated herein by reference to Exhibit 3.1 to the Registrant’s Quarterly Report on Form</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10-Q for the quarter ended September 30, 2018, filed with the SEC on November 7,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Description of Securities Registered Pursuant to Section 12 of the Securities Exchange Act of 1934.</w:t>
            </w: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2"/>
                <w:szCs w:val="22"/>
                <w:color w:val="auto"/>
              </w:rPr>
            </w:pPr>
          </w:p>
        </w:tc>
        <w:tc>
          <w:tcPr>
            <w:tcW w:w="94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Amended and Restated License Agreement, between Inex Pharmaceuticals Corporation and Hana Biosciences, Inc., dated April 30,</w:t>
              </w:r>
            </w:hyperlink>
          </w:p>
        </w:tc>
        <w:tc>
          <w:tcPr>
            <w:tcW w:w="360" w:type="dxa"/>
            <w:vAlign w:val="bottom"/>
            <w:gridSpan w:val="16"/>
          </w:tcPr>
          <w:p>
            <w:pPr>
              <w:spacing w:after="0"/>
              <w:rPr>
                <w:sz w:val="22"/>
                <w:szCs w:val="22"/>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2007 (incorporated herein by reference to Exhibit 4.2 to the Registrant’s Amendment No. 1 to Form 20-F for the year ended December</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31, 2010, filed with the SEC on January 31, 2012).</w:t>
              </w:r>
            </w:hyperlink>
          </w:p>
        </w:tc>
        <w:tc>
          <w:tcPr>
            <w:tcW w:w="60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1 to the Amended and Restated Agreement, between the Company (formerly Inex Pharmaceuticals Corporation) and</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Hana Biosciences, Inc., effective as of May 27, 2009 (incorporated herein by reference to Exhibit 4.1 to the Registrant’s Annual Report</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32"/>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on Form 20-F for the year ended December 31, 2010, filed with the SEC on June 3, 2011).</w:t>
              </w:r>
            </w:hyperlink>
          </w:p>
        </w:tc>
        <w:tc>
          <w:tcPr>
            <w:tcW w:w="40" w:type="dxa"/>
            <w:vAlign w:val="bottom"/>
            <w:gridSpan w:val="2"/>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2 to the Amended and Restated Agreement, between the Company (formerly Inex Pharmaceuticals Corporation) and</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Hana Biosciences, Inc., effective as of September 20, 2010 (incorporated herein by reference to Exhibit 4.21 to the Registrant’s Annual</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0"/>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Report on Form 20-F for the year ended December 31, 2010, filed with the SEC on June 3, 2011).</w:t>
              </w:r>
            </w:hyperlink>
          </w:p>
        </w:tc>
        <w:tc>
          <w:tcPr>
            <w:tcW w:w="80" w:type="dxa"/>
            <w:vAlign w:val="bottom"/>
            <w:gridSpan w:val="4"/>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Arbutus Biopharma Corporation Indemnity Agreement (incorporated herein by reference to Exhibit 10.4 to the Registrant’s</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Annual Report on Form 10-K for the year ended December 31,</w:t>
              </w:r>
            </w:hyperlink>
          </w:p>
        </w:tc>
        <w:tc>
          <w:tcPr>
            <w:tcW w:w="3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6"/>
              </w:rPr>
            </w:pPr>
            <w:hyperlink r:id="rId121">
              <w:r>
                <w:rPr>
                  <w:rFonts w:ascii="Times New Roman" w:cs="Times New Roman" w:eastAsia="Times New Roman" w:hAnsi="Times New Roman"/>
                  <w:sz w:val="18"/>
                  <w:szCs w:val="18"/>
                  <w:color w:val="0000FF"/>
                  <w:w w:val="96"/>
                </w:rPr>
                <w:t>2022, filed with the SEC on March 3, 2022).</w:t>
              </w:r>
            </w:hyperlink>
          </w:p>
        </w:tc>
        <w:tc>
          <w:tcPr>
            <w:tcW w:w="17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License Agreement between the University of British Columbia and Inex Pharmaceuticals Corporation executed on July 30, 2001</w:t>
              </w:r>
            </w:hyperlink>
          </w:p>
        </w:tc>
        <w:tc>
          <w:tcPr>
            <w:tcW w:w="500" w:type="dxa"/>
            <w:vAlign w:val="bottom"/>
            <w:gridSpan w:val="19"/>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4"/>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herein by reference to Exhibit 4.17 to the Registrant’s Annual Report on Form 20-F for the year ended December 31,</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2010, filed with the SEC on June 3, 2011).</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Amendment Agreement between the University of British Columbia and Inex Pharmaceuticals Corporation dated July 11, 2006</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herein by reference to Exhibit 4.18 to the Registrant’s Annual Report on Form 20-F for the year ended December</w:t>
              </w:r>
            </w:hyperlink>
          </w:p>
        </w:tc>
        <w:tc>
          <w:tcPr>
            <w:tcW w:w="340" w:type="dxa"/>
            <w:vAlign w:val="bottom"/>
            <w:gridSpan w:val="7"/>
          </w:tcPr>
          <w:p>
            <w:pPr>
              <w:jc w:val="right"/>
              <w:ind w:right="120"/>
              <w:spacing w:after="0" w:line="156" w:lineRule="exact"/>
              <w:rPr>
                <w:rFonts w:ascii="Times New Roman" w:cs="Times New Roman" w:eastAsia="Times New Roman" w:hAnsi="Times New Roman"/>
                <w:sz w:val="18"/>
                <w:szCs w:val="18"/>
                <w:color w:val="0000FF"/>
                <w:w w:val="88"/>
              </w:rPr>
            </w:pPr>
            <w:hyperlink r:id="rId123">
              <w:r>
                <w:rPr>
                  <w:rFonts w:ascii="Times New Roman" w:cs="Times New Roman" w:eastAsia="Times New Roman" w:hAnsi="Times New Roman"/>
                  <w:sz w:val="18"/>
                  <w:szCs w:val="18"/>
                  <w:color w:val="0000FF"/>
                  <w:w w:val="88"/>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2010, filed with the SEC on June 3, 2011).</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Second Amendment Agreement between the University of British Columbia and Inex Pharmaceuticals Corporation dated January 8,</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2007 (incorporated herein by reference to Exhibit 4.19 to the Registrant’s Annual Report on Form 20-F for the year ended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31, 2010, filed with the SEC on June 3, 2011).</w:t>
              </w:r>
            </w:hyperlink>
          </w:p>
        </w:tc>
        <w:tc>
          <w:tcPr>
            <w:tcW w:w="622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Consent Agreement of the University of British Columbia to Inex/Alnylam Sublicense Agreement dated January 8, 2007 (incorporated</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herein by reference to Exhibit 4.20 to the Registrant’s Annual Report on Form 20-F for the year ended December 31, 2010, filed with</w:t>
              </w:r>
            </w:hyperlink>
          </w:p>
        </w:tc>
        <w:tc>
          <w:tcPr>
            <w:tcW w:w="10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the SEC on June 3, 2011).</w:t>
              </w:r>
            </w:hyperlink>
          </w:p>
        </w:tc>
        <w:tc>
          <w:tcPr>
            <w:tcW w:w="77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Tekmira 2011 Omnibus Share Compensation Plan approved by shareholders on June 22, 2011 (incorporated herein by reference to</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Exhibit 4.25 to the Registrant’s Annual Report on Form 20-F for the year ended December 31, 2011, filed with the SEC on March</w:t>
              </w:r>
            </w:hyperlink>
          </w:p>
        </w:tc>
        <w:tc>
          <w:tcPr>
            <w:tcW w:w="300" w:type="dxa"/>
            <w:vAlign w:val="bottom"/>
            <w:gridSpan w:val="11"/>
          </w:tcPr>
          <w:p>
            <w:pPr>
              <w:jc w:val="right"/>
              <w:ind w:right="80"/>
              <w:spacing w:after="0" w:line="156" w:lineRule="exact"/>
              <w:rPr>
                <w:rFonts w:ascii="Times New Roman" w:cs="Times New Roman" w:eastAsia="Times New Roman" w:hAnsi="Times New Roman"/>
                <w:sz w:val="18"/>
                <w:szCs w:val="18"/>
                <w:color w:val="0000FF"/>
                <w:w w:val="88"/>
              </w:rPr>
            </w:pPr>
            <w:hyperlink r:id="rId126">
              <w:r>
                <w:rPr>
                  <w:rFonts w:ascii="Times New Roman" w:cs="Times New Roman" w:eastAsia="Times New Roman" w:hAnsi="Times New Roman"/>
                  <w:sz w:val="18"/>
                  <w:szCs w:val="18"/>
                  <w:color w:val="0000FF"/>
                  <w:w w:val="88"/>
                </w:rPr>
                <w:t>27,</w:t>
              </w:r>
            </w:hyperlink>
          </w:p>
        </w:tc>
        <w:tc>
          <w:tcPr>
            <w:tcW w:w="140" w:type="dxa"/>
            <w:vAlign w:val="bottom"/>
            <w:gridSpan w:val="7"/>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6">
              <w:r>
                <w:rPr>
                  <w:rFonts w:ascii="Times New Roman" w:cs="Times New Roman" w:eastAsia="Times New Roman" w:hAnsi="Times New Roman"/>
                  <w:sz w:val="18"/>
                  <w:szCs w:val="18"/>
                  <w:color w:val="0000FF"/>
                  <w:w w:val="94"/>
                </w:rPr>
                <w:t>2012).</w:t>
              </w:r>
            </w:hyperlink>
          </w:p>
        </w:tc>
        <w:tc>
          <w:tcPr>
            <w:tcW w:w="14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9840" w:type="dxa"/>
            <w:vAlign w:val="bottom"/>
            <w:gridSpan w:val="3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Settlement Agreement and General Release, by and among Tekmira Pharmaceuticals Corporation, Protiva Biotherapeutics Inc.,</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Alnylam Pharmaceuticals, Inc., and AlCana Technologies, Inc., dated November 12, 2012 (incorporated herein by reference to</w:t>
              </w:r>
            </w:hyperlink>
          </w:p>
        </w:tc>
        <w:tc>
          <w:tcPr>
            <w:tcW w:w="660" w:type="dxa"/>
            <w:vAlign w:val="bottom"/>
            <w:gridSpan w:val="2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Exhibit</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26</w:t>
              </w:r>
              <w:r>
                <w:rPr>
                  <w:rFonts w:ascii="Times New Roman" w:cs="Times New Roman" w:eastAsia="Times New Roman" w:hAnsi="Times New Roman"/>
                  <w:sz w:val="18"/>
                  <w:szCs w:val="18"/>
                  <w:color w:val="0000FF"/>
                  <w:w w:val="99"/>
                </w:rPr>
                <w:t xml:space="preserve"> to the Registrant’s Annual Report on Form 20-F for the year ended December 31, 2012, filed with the SEC on March 27, 2013).</w:t>
              </w:r>
            </w:hyperlink>
          </w:p>
        </w:tc>
        <w:tc>
          <w:tcPr>
            <w:tcW w:w="120" w:type="dxa"/>
            <w:vAlign w:val="bottom"/>
            <w:tcBorders>
              <w:top w:val="single" w:sz="8" w:color="0000FF"/>
            </w:tcBorders>
            <w:gridSpan w:val="5"/>
          </w:tcPr>
          <w:p>
            <w:pPr>
              <w:spacing w:after="0"/>
              <w:rPr>
                <w:sz w:val="13"/>
                <w:szCs w:val="13"/>
                <w:color w:val="auto"/>
              </w:rPr>
            </w:pPr>
          </w:p>
        </w:tc>
        <w:tc>
          <w:tcPr>
            <w:tcW w:w="140" w:type="dxa"/>
            <w:vAlign w:val="bottom"/>
            <w:gridSpan w:val="7"/>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7" w:name="page108"/>
    <w:bookmarkEnd w:id="107"/>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Cross-License Agreement by and among Alnylam Pharmaceuticals, Inc., Tekmira Pharmaceuticals Corporation and Protiva</w:t>
              </w:r>
            </w:hyperlink>
          </w:p>
        </w:tc>
      </w:tr>
      <w:tr>
        <w:trPr>
          <w:trHeight w:val="156"/>
        </w:trPr>
        <w:tc>
          <w:tcPr>
            <w:tcW w:w="1320" w:type="dxa"/>
            <w:vAlign w:val="bottom"/>
          </w:tcPr>
          <w:p>
            <w:pPr>
              <w:spacing w:after="0"/>
              <w:rPr>
                <w:sz w:val="13"/>
                <w:szCs w:val="13"/>
                <w:color w:val="auto"/>
              </w:rPr>
            </w:pPr>
          </w:p>
        </w:tc>
        <w:tc>
          <w:tcPr>
            <w:tcW w:w="89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Biotherapeutics Inc., dated November 12, 2012 (incorporated herein by reference to Exhibit 4.27 to the Registrant’s Annual</w:t>
              </w:r>
            </w:hyperlink>
          </w:p>
        </w:tc>
        <w:tc>
          <w:tcPr>
            <w:tcW w:w="920" w:type="dxa"/>
            <w:vAlign w:val="bottom"/>
            <w:gridSpan w:val="28"/>
          </w:tcPr>
          <w:p>
            <w:pPr>
              <w:jc w:val="center"/>
              <w:ind w:right="120"/>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Report on</w:t>
              </w:r>
            </w:hyperlink>
          </w:p>
        </w:tc>
      </w:tr>
      <w:tr>
        <w:trPr>
          <w:trHeight w:val="156"/>
        </w:trPr>
        <w:tc>
          <w:tcPr>
            <w:tcW w:w="1320" w:type="dxa"/>
            <w:vAlign w:val="bottom"/>
          </w:tcPr>
          <w:p>
            <w:pPr>
              <w:spacing w:after="0"/>
              <w:rPr>
                <w:sz w:val="13"/>
                <w:szCs w:val="13"/>
                <w:color w:val="auto"/>
              </w:rPr>
            </w:pPr>
          </w:p>
        </w:tc>
        <w:tc>
          <w:tcPr>
            <w:tcW w:w="96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20-F for the year ended December 31, 2012, filed with the SEC on March 27, 2013).</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Standstill Agreement (incorporated herein by reference to Exhibit 2.1 to the Registrant’s Current Report on Form 8-K/A, filed</w:t>
              </w:r>
            </w:hyperlink>
          </w:p>
        </w:tc>
      </w:tr>
      <w:tr>
        <w:trPr>
          <w:trHeight w:val="156"/>
        </w:trPr>
        <w:tc>
          <w:tcPr>
            <w:tcW w:w="1320" w:type="dxa"/>
            <w:vAlign w:val="bottom"/>
          </w:tcPr>
          <w:p>
            <w:pPr>
              <w:spacing w:after="0"/>
              <w:rPr>
                <w:sz w:val="13"/>
                <w:szCs w:val="13"/>
                <w:color w:val="auto"/>
              </w:rPr>
            </w:pPr>
          </w:p>
        </w:tc>
        <w:tc>
          <w:tcPr>
            <w:tcW w:w="97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with the SEC on January 26,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Executive Employment Agreement, dated effective as of February 25, 2016, between Arbutus Biopharma, Inc. and Elizabeth Howard</w:t>
              </w:r>
            </w:hyperlink>
          </w:p>
        </w:tc>
      </w:tr>
      <w:tr>
        <w:trPr>
          <w:trHeight w:val="156"/>
        </w:trPr>
        <w:tc>
          <w:tcPr>
            <w:tcW w:w="1320" w:type="dxa"/>
            <w:vAlign w:val="bottom"/>
          </w:tcPr>
          <w:p>
            <w:pPr>
              <w:spacing w:after="0"/>
              <w:rPr>
                <w:sz w:val="13"/>
                <w:szCs w:val="13"/>
                <w:color w:val="auto"/>
              </w:rPr>
            </w:pPr>
          </w:p>
        </w:tc>
        <w:tc>
          <w:tcPr>
            <w:tcW w:w="96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herein by reference to Exhibit 10.78 to the Registrant’s Annual Report on Form 10-K for the year ended December 31,</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5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2015, filed with the SEC on March 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Amending Agreement, dated as of November 2, 2015, among Arbutus Biopharma Corporation, Roivant Sciences Ltd., Patrick T.</w:t>
              </w:r>
            </w:hyperlink>
          </w:p>
        </w:tc>
      </w:tr>
      <w:tr>
        <w:trPr>
          <w:trHeight w:val="156"/>
        </w:trPr>
        <w:tc>
          <w:tcPr>
            <w:tcW w:w="13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Higgins, Michael J. McElhaugh, Michael J. Sofia and Bryce A. Roberts (incorporated herein by reference to Exhibit 10.3 to the</w:t>
              </w:r>
            </w:hyperlink>
          </w:p>
        </w:tc>
        <w:tc>
          <w:tcPr>
            <w:tcW w:w="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9380" w:type="dxa"/>
            <w:vAlign w:val="bottom"/>
            <w:tcBorders>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Registrant’s Quarterly Report on Form 10-Q for the quarter ended September 30, 2015, filed with the SEC on November 5, 2015).</w:t>
              </w:r>
            </w:hyperlink>
          </w:p>
        </w:tc>
        <w:tc>
          <w:tcPr>
            <w:tcW w:w="440" w:type="dxa"/>
            <w:vAlign w:val="bottom"/>
            <w:gridSpan w:val="19"/>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Stock Purchase Agreement by and among OnCore Biopharma, Inc. and each of the stockholders of Enantigen Therapeutics, Inc., dated</w:t>
              </w:r>
            </w:hyperlink>
          </w:p>
        </w:tc>
      </w:tr>
      <w:tr>
        <w:trPr>
          <w:trHeight w:val="155"/>
        </w:trPr>
        <w:tc>
          <w:tcPr>
            <w:tcW w:w="1320" w:type="dxa"/>
            <w:vAlign w:val="bottom"/>
          </w:tcPr>
          <w:p>
            <w:pPr>
              <w:spacing w:after="0"/>
              <w:rPr>
                <w:sz w:val="13"/>
                <w:szCs w:val="13"/>
                <w:color w:val="auto"/>
              </w:rPr>
            </w:pPr>
          </w:p>
        </w:tc>
        <w:tc>
          <w:tcPr>
            <w:tcW w:w="97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as of October 1, 2014 (incorporated herein by reference to Exhibit 10.3 to the Registrant’s Quarterly Report on Form 10-Q for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quarter ended March 31, 2015, filed with the SEC on May 6, 2015).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Executive Employment Agreement, dated effective as of July 11, 2015, between OnCore Biopharma, Inc. and Michael J. Sofia</w:t>
              </w:r>
            </w:hyperlink>
          </w:p>
        </w:tc>
      </w:tr>
      <w:tr>
        <w:trPr>
          <w:trHeight w:val="156"/>
        </w:trPr>
        <w:tc>
          <w:tcPr>
            <w:tcW w:w="1320" w:type="dxa"/>
            <w:vAlign w:val="bottom"/>
          </w:tcPr>
          <w:p>
            <w:pPr>
              <w:spacing w:after="0"/>
              <w:rPr>
                <w:sz w:val="13"/>
                <w:szCs w:val="13"/>
                <w:color w:val="auto"/>
              </w:rPr>
            </w:pPr>
          </w:p>
        </w:tc>
        <w:tc>
          <w:tcPr>
            <w:tcW w:w="91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(incorporated herein by reference to Exhibit 10.8 to the Registrant’s Quarterly Report on Form 10-Q for the quarter ended June</w:t>
              </w:r>
            </w:hyperlink>
          </w:p>
        </w:tc>
        <w:tc>
          <w:tcPr>
            <w:tcW w:w="320" w:type="dxa"/>
            <w:vAlign w:val="bottom"/>
            <w:gridSpan w:val="9"/>
          </w:tcPr>
          <w:p>
            <w:pPr>
              <w:jc w:val="center"/>
              <w:ind w:right="20"/>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2015, filed with the SEC on August 7, 2015).</w:t>
              </w:r>
            </w:hyperlink>
          </w:p>
        </w:tc>
        <w:tc>
          <w:tcPr>
            <w:tcW w:w="614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2011 Omnibus Share Compensation Plan (incorporated herein by reference to Exhibit 10.1 to the Registrant’s Quarterly</w:t>
              </w:r>
            </w:hyperlink>
          </w:p>
        </w:tc>
      </w:tr>
      <w:tr>
        <w:trPr>
          <w:trHeight w:val="156"/>
        </w:trPr>
        <w:tc>
          <w:tcPr>
            <w:tcW w:w="132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Report on Form 10-Q for the quarter ended June 30, 2016, filed with the SEC on August 4, 2016).</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Lease Agreement between the Company and ARE-PA Region No. 7, LLC dated August 9, 2016 (incorporated herein by reference to</w:t>
              </w:r>
            </w:hyperlink>
          </w:p>
        </w:tc>
      </w:tr>
      <w:tr>
        <w:trPr>
          <w:trHeight w:val="156"/>
        </w:trPr>
        <w:tc>
          <w:tcPr>
            <w:tcW w:w="1320" w:type="dxa"/>
            <w:vAlign w:val="bottom"/>
          </w:tcPr>
          <w:p>
            <w:pPr>
              <w:spacing w:after="0"/>
              <w:rPr>
                <w:sz w:val="13"/>
                <w:szCs w:val="13"/>
                <w:color w:val="auto"/>
              </w:rPr>
            </w:pPr>
          </w:p>
        </w:tc>
        <w:tc>
          <w:tcPr>
            <w:tcW w:w="95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Exhibit 10.1 to the Registrant’s Quarterly Report on Form 10-Q for the quarter ended September 30, 2016, filed with the SEC on</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2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November 3, 2016).</w:t>
              </w:r>
            </w:hyperlink>
          </w:p>
        </w:tc>
        <w:tc>
          <w:tcPr>
            <w:tcW w:w="4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3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First Amendment to Lease Agreement between Arbutus Biopharma, Inc. and ARE-PA Region No. 7, LLC dated October 7, 2016</w:t>
              </w:r>
            </w:hyperlink>
          </w:p>
        </w:tc>
        <w:tc>
          <w:tcPr>
            <w:tcW w:w="520" w:type="dxa"/>
            <w:vAlign w:val="bottom"/>
            <w:gridSpan w:val="22"/>
          </w:tcPr>
          <w:p>
            <w:pPr>
              <w:spacing w:after="0"/>
              <w:rPr>
                <w:sz w:val="24"/>
                <w:szCs w:val="24"/>
                <w:color w:val="auto"/>
              </w:rPr>
            </w:pPr>
          </w:p>
        </w:tc>
      </w:tr>
      <w:tr>
        <w:trPr>
          <w:trHeight w:val="155"/>
        </w:trPr>
        <w:tc>
          <w:tcPr>
            <w:tcW w:w="1320" w:type="dxa"/>
            <w:vAlign w:val="bottom"/>
          </w:tcPr>
          <w:p>
            <w:pPr>
              <w:spacing w:after="0"/>
              <w:rPr>
                <w:sz w:val="13"/>
                <w:szCs w:val="13"/>
                <w:color w:val="auto"/>
              </w:rPr>
            </w:pPr>
          </w:p>
        </w:tc>
        <w:tc>
          <w:tcPr>
            <w:tcW w:w="9820" w:type="dxa"/>
            <w:vAlign w:val="bottom"/>
            <w:gridSpan w:val="42"/>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herein by reference to Exhibit 10.2 to the Registrant’s Quarterly Report on Form 10-Q for the quarter ended September</w:t>
              </w:r>
            </w:hyperlink>
          </w:p>
        </w:tc>
      </w:tr>
      <w:tr>
        <w:trPr>
          <w:trHeight w:val="156"/>
        </w:trPr>
        <w:tc>
          <w:tcPr>
            <w:tcW w:w="1320" w:type="dxa"/>
            <w:vAlign w:val="bottom"/>
          </w:tcPr>
          <w:p>
            <w:pPr>
              <w:spacing w:after="0"/>
              <w:rPr>
                <w:sz w:val="13"/>
                <w:szCs w:val="13"/>
                <w:color w:val="auto"/>
              </w:rPr>
            </w:pPr>
          </w:p>
        </w:tc>
        <w:tc>
          <w:tcPr>
            <w:tcW w:w="95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30, 2016, filed with the SEC on November 3, 2016).</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Acknowledgment of Commencement Date in connection with Lease Agreement between the Company and ARE-PA Region No. 7,</w:t>
              </w:r>
            </w:hyperlink>
          </w:p>
        </w:tc>
      </w:tr>
      <w:tr>
        <w:trPr>
          <w:trHeight w:val="156"/>
        </w:trPr>
        <w:tc>
          <w:tcPr>
            <w:tcW w:w="13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LLC dated August 9, 2016 and as amended on October, 7, 2016 (incorporated herein by reference to Exhibit 10.3 to the Registrant’s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8480" w:type="dxa"/>
            <w:vAlign w:val="bottom"/>
            <w:tcBorders>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Quarterly Report on Form 10-Q for the quarter ended September 30, 2016, filed with the SEC on November 3, 2016).</w:t>
              </w:r>
            </w:hyperlink>
          </w:p>
        </w:tc>
        <w:tc>
          <w:tcPr>
            <w:tcW w:w="1020" w:type="dxa"/>
            <w:vAlign w:val="bottom"/>
            <w:gridSpan w:val="15"/>
          </w:tcPr>
          <w:p>
            <w:pPr>
              <w:spacing w:after="0"/>
              <w:rPr>
                <w:sz w:val="13"/>
                <w:szCs w:val="13"/>
                <w:color w:val="auto"/>
              </w:rPr>
            </w:pPr>
          </w:p>
        </w:tc>
        <w:tc>
          <w:tcPr>
            <w:tcW w:w="1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7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Master Contribution And Share Subscription Agreement, by and between the Company, Genevant Sciences Ltd. and Roivant Sciences</w:t>
              </w:r>
            </w:hyperlink>
          </w:p>
        </w:tc>
        <w:tc>
          <w:tcPr>
            <w:tcW w:w="120" w:type="dxa"/>
            <w:vAlign w:val="bottom"/>
            <w:gridSpan w:val="6"/>
          </w:tcPr>
          <w:p>
            <w:pPr>
              <w:spacing w:after="0"/>
              <w:rPr>
                <w:sz w:val="24"/>
                <w:szCs w:val="24"/>
                <w:color w:val="auto"/>
              </w:rPr>
            </w:pPr>
          </w:p>
        </w:tc>
      </w:tr>
      <w:tr>
        <w:trPr>
          <w:trHeight w:val="155"/>
        </w:trPr>
        <w:tc>
          <w:tcPr>
            <w:tcW w:w="1320" w:type="dxa"/>
            <w:vAlign w:val="bottom"/>
          </w:tcPr>
          <w:p>
            <w:pPr>
              <w:spacing w:after="0"/>
              <w:rPr>
                <w:sz w:val="13"/>
                <w:szCs w:val="13"/>
                <w:color w:val="auto"/>
              </w:rPr>
            </w:pPr>
          </w:p>
        </w:tc>
        <w:tc>
          <w:tcPr>
            <w:tcW w:w="9820" w:type="dxa"/>
            <w:vAlign w:val="bottom"/>
            <w:gridSpan w:val="4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LTD. (incorporated herein by reference Exhibit 10.1 to the Registrant's Quarterly Report on Form 10-Q for the quarter ended March 31,</w:t>
              </w:r>
            </w:hyperlink>
          </w:p>
        </w:tc>
      </w:tr>
      <w:tr>
        <w:trPr>
          <w:trHeight w:val="156"/>
        </w:trPr>
        <w:tc>
          <w:tcPr>
            <w:tcW w:w="1320" w:type="dxa"/>
            <w:vAlign w:val="bottom"/>
          </w:tcPr>
          <w:p>
            <w:pPr>
              <w:spacing w:after="0"/>
              <w:rPr>
                <w:sz w:val="13"/>
                <w:szCs w:val="13"/>
                <w:color w:val="auto"/>
              </w:rPr>
            </w:pPr>
          </w:p>
        </w:tc>
        <w:tc>
          <w:tcPr>
            <w:tcW w:w="980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2018, filed with the SEC on May 4, 2018).</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Open Market Sale AgreementSM, dated December 20, 2018, by and between the Company and Jefferies LLC (incorporated herein by</w:t>
              </w:r>
            </w:hyperlink>
          </w:p>
        </w:tc>
      </w:tr>
      <w:tr>
        <w:trPr>
          <w:trHeight w:val="156"/>
        </w:trPr>
        <w:tc>
          <w:tcPr>
            <w:tcW w:w="1320" w:type="dxa"/>
            <w:vAlign w:val="bottom"/>
          </w:tcPr>
          <w:p>
            <w:pPr>
              <w:spacing w:after="0"/>
              <w:rPr>
                <w:sz w:val="13"/>
                <w:szCs w:val="13"/>
                <w:color w:val="auto"/>
              </w:rPr>
            </w:pPr>
          </w:p>
        </w:tc>
        <w:tc>
          <w:tcPr>
            <w:tcW w:w="96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reference to Exhibit 1.1 of the Current Report on Form 8-K, filed with the SEC on December 20, 2018).</w:t>
              </w:r>
            </w:hyperlink>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960" w:type="dxa"/>
            <w:vAlign w:val="bottom"/>
            <w:gridSpan w:val="9"/>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1 to the Open Market Sale AgreementSM, dated December 20, 2019, by and between the Company and Jefferies LLC</w:t>
              </w:r>
            </w:hyperlink>
          </w:p>
        </w:tc>
      </w:tr>
      <w:tr>
        <w:trPr>
          <w:trHeight w:val="156"/>
        </w:trPr>
        <w:tc>
          <w:tcPr>
            <w:tcW w:w="1320" w:type="dxa"/>
            <w:vAlign w:val="bottom"/>
          </w:tcPr>
          <w:p>
            <w:pPr>
              <w:spacing w:after="0"/>
              <w:rPr>
                <w:sz w:val="13"/>
                <w:szCs w:val="13"/>
                <w:color w:val="auto"/>
              </w:rPr>
            </w:pPr>
          </w:p>
        </w:tc>
        <w:tc>
          <w:tcPr>
            <w:tcW w:w="978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herein by reference to Exhibit 1.3 to the Registrant’s Registration Statement on Form S-3,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December 20, 2019).</w:t>
              </w:r>
            </w:hyperlink>
          </w:p>
        </w:tc>
        <w:tc>
          <w:tcPr>
            <w:tcW w:w="7560" w:type="dxa"/>
            <w:vAlign w:val="bottom"/>
            <w:tcBorders>
              <w:top w:val="single" w:sz="8" w:color="0000FF"/>
            </w:tcBorders>
            <w:gridSpan w:val="12"/>
          </w:tcPr>
          <w:p>
            <w:pPr>
              <w:spacing w:after="0"/>
              <w:rPr>
                <w:sz w:val="13"/>
                <w:szCs w:val="13"/>
                <w:color w:val="auto"/>
              </w:rPr>
            </w:pPr>
          </w:p>
        </w:tc>
        <w:tc>
          <w:tcPr>
            <w:tcW w:w="36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8"/>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No. 2 to the Open Market Sale AgreementSM, dated August 7, 2020, by and between the Company and Jefferies LLC</w:t>
              </w:r>
            </w:hyperlink>
          </w:p>
        </w:tc>
      </w:tr>
      <w:tr>
        <w:trPr>
          <w:trHeight w:val="156"/>
        </w:trPr>
        <w:tc>
          <w:tcPr>
            <w:tcW w:w="132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herein by reference to Exhibit 1.1 to the Registrant’s Current Report on Form 8-K, filed with the SEC on August 7,</w:t>
              </w:r>
            </w:hyperlink>
          </w:p>
        </w:tc>
        <w:tc>
          <w:tcPr>
            <w:tcW w:w="380" w:type="dxa"/>
            <w:vAlign w:val="bottom"/>
            <w:tcBorders>
              <w:bottom w:val="single" w:sz="8" w:color="0000FF"/>
            </w:tcBorders>
            <w:gridSpan w:val="17"/>
          </w:tcPr>
          <w:p>
            <w:pPr>
              <w:jc w:val="center"/>
              <w:spacing w:after="0" w:line="156" w:lineRule="exact"/>
              <w:rPr>
                <w:rFonts w:ascii="Times New Roman" w:cs="Times New Roman" w:eastAsia="Times New Roman" w:hAnsi="Times New Roman"/>
                <w:sz w:val="18"/>
                <w:szCs w:val="18"/>
                <w:color w:val="0000FF"/>
                <w:w w:val="73"/>
              </w:rPr>
            </w:pPr>
            <w:hyperlink r:id="rId141">
              <w:r>
                <w:rPr>
                  <w:rFonts w:ascii="Times New Roman" w:cs="Times New Roman" w:eastAsia="Times New Roman" w:hAnsi="Times New Roman"/>
                  <w:sz w:val="18"/>
                  <w:szCs w:val="18"/>
                  <w:color w:val="0000FF"/>
                  <w:w w:val="73"/>
                </w:rPr>
                <w:t>2020).</w:t>
              </w:r>
            </w:hyperlink>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3 to the Open Market Sale AgreementSM, dated March 4, 2021, by and between Arbutus Biopharma Corporation and</w:t>
              </w:r>
            </w:hyperlink>
          </w:p>
        </w:tc>
      </w:tr>
      <w:tr>
        <w:trPr>
          <w:trHeight w:val="155"/>
        </w:trPr>
        <w:tc>
          <w:tcPr>
            <w:tcW w:w="1320" w:type="dxa"/>
            <w:vAlign w:val="bottom"/>
          </w:tcPr>
          <w:p>
            <w:pPr>
              <w:spacing w:after="0"/>
              <w:rPr>
                <w:sz w:val="13"/>
                <w:szCs w:val="13"/>
                <w:color w:val="auto"/>
              </w:rPr>
            </w:pPr>
          </w:p>
        </w:tc>
        <w:tc>
          <w:tcPr>
            <w:tcW w:w="97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Jefferies LLC (incorporated herein by reference to Exhibit 10.1 to the Registrant’s Current Report on Form 8-K, filed with the SEC on</w:t>
              </w:r>
            </w:hyperlink>
          </w:p>
        </w:tc>
        <w:tc>
          <w:tcPr>
            <w:tcW w:w="60" w:type="dxa"/>
            <w:vAlign w:val="bottom"/>
            <w:gridSpan w:val="3"/>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March 4, 2021.)</w:t>
              </w:r>
            </w:hyperlink>
          </w:p>
        </w:tc>
        <w:tc>
          <w:tcPr>
            <w:tcW w:w="8540" w:type="dxa"/>
            <w:vAlign w:val="bottom"/>
            <w:tcBorders>
              <w:top w:val="single" w:sz="8" w:color="0000FF"/>
            </w:tcBorders>
            <w:gridSpan w:val="34"/>
          </w:tcPr>
          <w:p>
            <w:pPr>
              <w:spacing w:after="0"/>
              <w:rPr>
                <w:sz w:val="13"/>
                <w:szCs w:val="13"/>
                <w:color w:val="auto"/>
              </w:rPr>
            </w:pPr>
          </w:p>
        </w:tc>
        <w:tc>
          <w:tcPr>
            <w:tcW w:w="4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820" w:type="dxa"/>
            <w:vAlign w:val="bottom"/>
            <w:gridSpan w:val="4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Executive Employment Agreement, dated June 11, 2018, by and between the Company and David Hastings (incorporated herein by</w:t>
              </w:r>
            </w:hyperlink>
          </w:p>
        </w:tc>
      </w:tr>
      <w:tr>
        <w:trPr>
          <w:trHeight w:val="156"/>
        </w:trPr>
        <w:tc>
          <w:tcPr>
            <w:tcW w:w="1320" w:type="dxa"/>
            <w:vAlign w:val="bottom"/>
          </w:tcPr>
          <w:p>
            <w:pPr>
              <w:spacing w:after="0"/>
              <w:rPr>
                <w:sz w:val="13"/>
                <w:szCs w:val="13"/>
                <w:color w:val="auto"/>
              </w:rPr>
            </w:pPr>
          </w:p>
        </w:tc>
        <w:tc>
          <w:tcPr>
            <w:tcW w:w="94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reference to Exhibit 10.52 of the Registrant’s Annual Report on Form 10-K for the year end December 31, 2018, filed with the SEC</w:t>
              </w:r>
            </w:hyperlink>
          </w:p>
        </w:tc>
        <w:tc>
          <w:tcPr>
            <w:tcW w:w="340" w:type="dxa"/>
            <w:vAlign w:val="bottom"/>
            <w:gridSpan w:val="15"/>
          </w:tcPr>
          <w:p>
            <w:pPr>
              <w:jc w:val="center"/>
              <w:ind w:right="40"/>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on</w:t>
              </w:r>
            </w:hyperlink>
          </w:p>
        </w:tc>
      </w:tr>
      <w:tr>
        <w:trPr>
          <w:trHeight w:val="155"/>
        </w:trPr>
        <w:tc>
          <w:tcPr>
            <w:tcW w:w="13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March 7, 2019).</w:t>
              </w:r>
            </w:hyperlink>
          </w:p>
        </w:tc>
        <w:tc>
          <w:tcPr>
            <w:tcW w:w="8580" w:type="dxa"/>
            <w:vAlign w:val="bottom"/>
            <w:tcBorders>
              <w:top w:val="single" w:sz="8" w:color="0000FF"/>
            </w:tcBorders>
            <w:gridSpan w:val="37"/>
          </w:tcPr>
          <w:p>
            <w:pPr>
              <w:spacing w:after="0"/>
              <w:rPr>
                <w:sz w:val="13"/>
                <w:szCs w:val="13"/>
                <w:color w:val="auto"/>
              </w:rPr>
            </w:pPr>
          </w:p>
        </w:tc>
        <w:tc>
          <w:tcPr>
            <w:tcW w:w="80" w:type="dxa"/>
            <w:vAlign w:val="bottom"/>
            <w:gridSpan w:val="4"/>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bookmarkStart w:id="108" w:name="page109"/>
    <w:bookmarkEnd w:id="108"/>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Employment Agreement, dated June 13, 2019, by and between the Company and William H. Collier (incorporated herein by reference</w:t>
              </w:r>
            </w:hyperlink>
          </w:p>
        </w:tc>
      </w:tr>
      <w:tr>
        <w:trPr>
          <w:trHeight w:val="156"/>
        </w:trPr>
        <w:tc>
          <w:tcPr>
            <w:tcW w:w="1320" w:type="dxa"/>
            <w:vAlign w:val="bottom"/>
          </w:tcPr>
          <w:p>
            <w:pPr>
              <w:spacing w:after="0"/>
              <w:rPr>
                <w:sz w:val="13"/>
                <w:szCs w:val="13"/>
                <w:color w:val="auto"/>
              </w:rPr>
            </w:pPr>
          </w:p>
        </w:tc>
        <w:tc>
          <w:tcPr>
            <w:tcW w:w="96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to Exhibit 10.3 to the Registrant’s Current Report on Form 8-K, filed with the SEC on June 18, 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Executive Employment Agreement, dated July 10, 2015, by and between the Company and Michael McElhaugh, as amended by the</w:t>
              </w:r>
            </w:hyperlink>
          </w:p>
        </w:tc>
      </w:tr>
      <w:tr>
        <w:trPr>
          <w:trHeight w:val="156"/>
        </w:trPr>
        <w:tc>
          <w:tcPr>
            <w:tcW w:w="13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First Amendment to Executive Employment Agreement, dated April 20, 2016, and the Second Amendment to Executive Employment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9660" w:type="dxa"/>
            <w:vAlign w:val="bottom"/>
            <w:gridSpan w:val="3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Agreement dated December 11, 2018 (incorporated herein by reference to Exhibit 10.5 to the Registrant’s Quarterly Report on Form</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95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10-Q for the quarter ended June 30, 2019, filed with the SEC on August 5,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Purchase and Sale Agreement, dated July 2, 2019, by and between the Company and OCM IP Healthcare Portfolio LP (incorporated</w:t>
              </w:r>
            </w:hyperlink>
          </w:p>
        </w:tc>
      </w:tr>
      <w:tr>
        <w:trPr>
          <w:trHeight w:val="155"/>
        </w:trPr>
        <w:tc>
          <w:tcPr>
            <w:tcW w:w="13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herein by reference to Exhibit 10.6 to the Registrant’s Quarterly Report on Form 10-Q for the quarter ended June 30, 2019, filed with</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9640" w:type="dxa"/>
            <w:vAlign w:val="bottom"/>
            <w:gridSpan w:val="3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the SEC on August 5, 2019).</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Arbutus Biopharma Corporation 2020 Employee Stock Purchase Plan (incorporated herein by reference to Exhibit 10.2 to the</w:t>
              </w:r>
            </w:hyperlink>
          </w:p>
        </w:tc>
      </w:tr>
      <w:tr>
        <w:trPr>
          <w:trHeight w:val="155"/>
        </w:trPr>
        <w:tc>
          <w:tcPr>
            <w:tcW w:w="1320" w:type="dxa"/>
            <w:vAlign w:val="bottom"/>
          </w:tcPr>
          <w:p>
            <w:pPr>
              <w:spacing w:after="0"/>
              <w:rPr>
                <w:sz w:val="13"/>
                <w:szCs w:val="13"/>
                <w:color w:val="auto"/>
              </w:rPr>
            </w:pPr>
          </w:p>
        </w:tc>
        <w:tc>
          <w:tcPr>
            <w:tcW w:w="90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Registrant’s Current Report on Form 8-K, filed with the SEC on June 1, 2020).</w:t>
              </w:r>
            </w:hyperlink>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Arbutus Biopharma Corporation Option Agreement (incorporated herein by reference to Exhibit 10.8 to the Registrant’s</w:t>
              </w:r>
            </w:hyperlink>
          </w:p>
        </w:tc>
      </w:tr>
      <w:tr>
        <w:trPr>
          <w:trHeight w:val="155"/>
        </w:trPr>
        <w:tc>
          <w:tcPr>
            <w:tcW w:w="13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Quarterly Report on Form 10-Q for the quarter ended June 30, 2019, filed with the SEC on August 5, 2019).</w:t>
              </w:r>
            </w:hyperlink>
          </w:p>
        </w:tc>
        <w:tc>
          <w:tcPr>
            <w:tcW w:w="14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Option Agreement, dated June 24, by and between the Company and William H. Collier (incorporated herein by reference to Exhibit</w:t>
              </w:r>
            </w:hyperlink>
          </w:p>
        </w:tc>
      </w:tr>
      <w:tr>
        <w:trPr>
          <w:trHeight w:val="156"/>
        </w:trPr>
        <w:tc>
          <w:tcPr>
            <w:tcW w:w="13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9</w:t>
              </w:r>
              <w:r>
                <w:rPr>
                  <w:rFonts w:ascii="Times New Roman" w:cs="Times New Roman" w:eastAsia="Times New Roman" w:hAnsi="Times New Roman"/>
                  <w:sz w:val="18"/>
                  <w:szCs w:val="18"/>
                  <w:color w:val="0000FF"/>
                  <w:w w:val="99"/>
                </w:rPr>
                <w:t xml:space="preserve"> to the Registrant’s Quarterly Report on Form 10-Q for the quarter ended June 30, 2019, filed with the SEC on August 5, 2019).</w:t>
              </w:r>
            </w:hyperlink>
          </w:p>
        </w:tc>
        <w:tc>
          <w:tcPr>
            <w:tcW w:w="80" w:type="dxa"/>
            <w:vAlign w:val="bottom"/>
            <w:tcBorders>
              <w:top w:val="single" w:sz="8" w:color="0000FF"/>
            </w:tcBorders>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Cross License Agreement, dated April 11, 2018, by and between the Company and Genevant Sciences Ltd. (incorporated herein by</w:t>
              </w:r>
            </w:hyperlink>
          </w:p>
        </w:tc>
      </w:tr>
      <w:tr>
        <w:trPr>
          <w:trHeight w:val="156"/>
        </w:trPr>
        <w:tc>
          <w:tcPr>
            <w:tcW w:w="1320" w:type="dxa"/>
            <w:vAlign w:val="bottom"/>
          </w:tcPr>
          <w:p>
            <w:pPr>
              <w:spacing w:after="0"/>
              <w:rPr>
                <w:sz w:val="13"/>
                <w:szCs w:val="13"/>
                <w:color w:val="auto"/>
              </w:rPr>
            </w:pPr>
          </w:p>
        </w:tc>
        <w:tc>
          <w:tcPr>
            <w:tcW w:w="94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reference to Exhibit 10.3 to the Registrant’s Quarterly Report on Form 10-Q for the quarter ended June 30, 2020, filed with the SEC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9"/>
          </w:tcPr>
          <w:p>
            <w:pPr>
              <w:jc w:val="right"/>
              <w:ind w:right="100"/>
              <w:spacing w:after="0"/>
              <w:rPr>
                <w:rFonts w:ascii="Times New Roman" w:cs="Times New Roman" w:eastAsia="Times New Roman" w:hAnsi="Times New Roman"/>
                <w:sz w:val="13"/>
                <w:szCs w:val="13"/>
                <w:color w:val="0000FF"/>
                <w:w w:val="76"/>
              </w:rPr>
            </w:pPr>
            <w:hyperlink r:id="rId151">
              <w:r>
                <w:rPr>
                  <w:rFonts w:ascii="Times New Roman" w:cs="Times New Roman" w:eastAsia="Times New Roman" w:hAnsi="Times New Roman"/>
                  <w:sz w:val="13"/>
                  <w:szCs w:val="13"/>
                  <w:color w:val="0000FF"/>
                  <w:w w:val="76"/>
                </w:rPr>
                <w:t>on</w:t>
              </w:r>
            </w:hyperlink>
          </w:p>
        </w:tc>
      </w:tr>
      <w:tr>
        <w:trPr>
          <w:trHeight w:val="156"/>
        </w:trPr>
        <w:tc>
          <w:tcPr>
            <w:tcW w:w="1320" w:type="dxa"/>
            <w:vAlign w:val="bottom"/>
          </w:tcPr>
          <w:p>
            <w:pPr>
              <w:spacing w:after="0"/>
              <w:rPr>
                <w:sz w:val="13"/>
                <w:szCs w:val="13"/>
                <w:color w:val="auto"/>
              </w:rPr>
            </w:pPr>
          </w:p>
        </w:tc>
        <w:tc>
          <w:tcPr>
            <w:tcW w:w="97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August 7,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First Amendment to Cross License Agreement, dated June 27, 2018, by and among the Company, Genevant Sciences Ltd and Genevant</w:t>
              </w:r>
            </w:hyperlink>
          </w:p>
        </w:tc>
      </w:tr>
      <w:tr>
        <w:trPr>
          <w:trHeight w:val="156"/>
        </w:trPr>
        <w:tc>
          <w:tcPr>
            <w:tcW w:w="1320" w:type="dxa"/>
            <w:vAlign w:val="bottom"/>
          </w:tcPr>
          <w:p>
            <w:pPr>
              <w:spacing w:after="0"/>
              <w:rPr>
                <w:sz w:val="13"/>
                <w:szCs w:val="13"/>
                <w:color w:val="auto"/>
              </w:rPr>
            </w:pPr>
          </w:p>
        </w:tc>
        <w:tc>
          <w:tcPr>
            <w:tcW w:w="97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Sciences GmbH. (incorporated herein by reference to Exhibit 10.4 to the Registrant’s Quarterly Report on Form 10-Q for the quarter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ended June 30, 2020, filed with the SEC on August 7, 2020).</w:t>
              </w:r>
            </w:hyperlink>
          </w:p>
        </w:tc>
        <w:tc>
          <w:tcPr>
            <w:tcW w:w="5220" w:type="dxa"/>
            <w:vAlign w:val="bottom"/>
            <w:tcBorders>
              <w:top w:val="single" w:sz="8" w:color="0000FF"/>
            </w:tcBorders>
            <w:gridSpan w:val="24"/>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Amendment to Cross License Agreement, dated June 27, 2018, by and among the Company, Genevant Sciences Ltd. and</w:t>
              </w:r>
            </w:hyperlink>
          </w:p>
        </w:tc>
      </w:tr>
      <w:tr>
        <w:trPr>
          <w:trHeight w:val="156"/>
        </w:trPr>
        <w:tc>
          <w:tcPr>
            <w:tcW w:w="1320" w:type="dxa"/>
            <w:vAlign w:val="bottom"/>
          </w:tcPr>
          <w:p>
            <w:pPr>
              <w:spacing w:after="0"/>
              <w:rPr>
                <w:sz w:val="13"/>
                <w:szCs w:val="13"/>
                <w:color w:val="auto"/>
              </w:rPr>
            </w:pPr>
          </w:p>
        </w:tc>
        <w:tc>
          <w:tcPr>
            <w:tcW w:w="93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Genevant Sciences GmbH. (incorporated herein by reference to Exhibit 10.5 to the Registrant’s Quarterly Report on Form 10-Q</w:t>
              </w:r>
            </w:hyperlink>
          </w:p>
        </w:tc>
        <w:tc>
          <w:tcPr>
            <w:tcW w:w="520" w:type="dxa"/>
            <w:vAlign w:val="bottom"/>
            <w:gridSpan w:val="18"/>
          </w:tcPr>
          <w:p>
            <w:pPr>
              <w:jc w:val="right"/>
              <w:ind w:right="100"/>
              <w:spacing w:after="0" w:line="156" w:lineRule="exact"/>
              <w:rPr>
                <w:rFonts w:ascii="Times New Roman" w:cs="Times New Roman" w:eastAsia="Times New Roman" w:hAnsi="Times New Roman"/>
                <w:sz w:val="18"/>
                <w:szCs w:val="18"/>
                <w:color w:val="0000FF"/>
                <w:w w:val="84"/>
              </w:rPr>
            </w:pPr>
            <w:hyperlink r:id="rId153">
              <w:r>
                <w:rPr>
                  <w:rFonts w:ascii="Times New Roman" w:cs="Times New Roman" w:eastAsia="Times New Roman" w:hAnsi="Times New Roman"/>
                  <w:sz w:val="18"/>
                  <w:szCs w:val="18"/>
                  <w:color w:val="0000FF"/>
                  <w:w w:val="84"/>
                </w:rPr>
                <w:t>for the</w:t>
              </w:r>
            </w:hyperlink>
          </w:p>
        </w:tc>
      </w:tr>
      <w:tr>
        <w:trPr>
          <w:trHeight w:val="155"/>
        </w:trPr>
        <w:tc>
          <w:tcPr>
            <w:tcW w:w="13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quarter ended June 30, 2020, filed with the SEC on August 7, 2020).</w:t>
              </w:r>
            </w:hyperlink>
          </w:p>
        </w:tc>
        <w:tc>
          <w:tcPr>
            <w:tcW w:w="4780" w:type="dxa"/>
            <w:vAlign w:val="bottom"/>
            <w:tcBorders>
              <w:top w:val="single" w:sz="8" w:color="0000FF"/>
            </w:tcBorders>
            <w:gridSpan w:val="28"/>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License Agreement, dated December 9, 2021, by and between the Company and Genevant Sciences GmbH (incorporated herein by</w:t>
              </w:r>
            </w:hyperlink>
          </w:p>
        </w:tc>
      </w:tr>
      <w:tr>
        <w:trPr>
          <w:trHeight w:val="155"/>
        </w:trPr>
        <w:tc>
          <w:tcPr>
            <w:tcW w:w="1320" w:type="dxa"/>
            <w:vAlign w:val="bottom"/>
          </w:tcPr>
          <w:p>
            <w:pPr>
              <w:spacing w:after="0"/>
              <w:rPr>
                <w:sz w:val="13"/>
                <w:szCs w:val="13"/>
                <w:color w:val="auto"/>
              </w:rPr>
            </w:pPr>
          </w:p>
        </w:tc>
        <w:tc>
          <w:tcPr>
            <w:tcW w:w="94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reference to Exhibit 10.1 to the Registrant’s Current Report on Form 8-K, filed with the SEC on December 10, 2021).</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88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Technology Transfer and Exclusive License Agreement, dated December 13, 2021, by and between the Company and Qilu</w:t>
              </w:r>
            </w:hyperlink>
          </w:p>
        </w:tc>
        <w:tc>
          <w:tcPr>
            <w:tcW w:w="980" w:type="dxa"/>
            <w:vAlign w:val="bottom"/>
            <w:gridSpan w:val="22"/>
          </w:tcPr>
          <w:p>
            <w:pPr>
              <w:spacing w:after="0"/>
              <w:rPr>
                <w:sz w:val="24"/>
                <w:szCs w:val="24"/>
                <w:color w:val="auto"/>
              </w:rPr>
            </w:pPr>
          </w:p>
        </w:tc>
      </w:tr>
      <w:tr>
        <w:trPr>
          <w:trHeight w:val="155"/>
        </w:trPr>
        <w:tc>
          <w:tcPr>
            <w:tcW w:w="1320" w:type="dxa"/>
            <w:vAlign w:val="bottom"/>
          </w:tcPr>
          <w:p>
            <w:pPr>
              <w:spacing w:after="0"/>
              <w:rPr>
                <w:sz w:val="13"/>
                <w:szCs w:val="13"/>
                <w:color w:val="auto"/>
              </w:rPr>
            </w:pPr>
          </w:p>
        </w:tc>
        <w:tc>
          <w:tcPr>
            <w:tcW w:w="9820" w:type="dxa"/>
            <w:vAlign w:val="bottom"/>
            <w:gridSpan w:val="39"/>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Pharmaceutical Co., Ltd. (incorporated herein by reference to Exhibit 10.41 to the Registrant’s Annual Report on Form 10-K for the</w:t>
              </w:r>
            </w:hyperlink>
          </w:p>
        </w:tc>
      </w:tr>
      <w:tr>
        <w:trPr>
          <w:trHeight w:val="155"/>
        </w:trPr>
        <w:tc>
          <w:tcPr>
            <w:tcW w:w="13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year ended December 31, 2022, filed with the SEC on March 3, 2022).</w:t>
              </w:r>
            </w:hyperlink>
          </w:p>
        </w:tc>
        <w:tc>
          <w:tcPr>
            <w:tcW w:w="44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820" w:type="dxa"/>
            <w:vAlign w:val="bottom"/>
            <w:gridSpan w:val="3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Arbutus Biopharma Corporation 2016 Omnibus Share and Incentive Plan, as supplemented and amended (incorporated herein by</w:t>
              </w:r>
            </w:hyperlink>
          </w:p>
        </w:tc>
      </w:tr>
      <w:tr>
        <w:trPr>
          <w:trHeight w:val="155"/>
        </w:trPr>
        <w:tc>
          <w:tcPr>
            <w:tcW w:w="132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to Exhibit 10.1 to the Registrant’s Current Report on Form 8-K, filed with the SEC on May 31, 2022)</w:t>
              </w:r>
              <w:r>
                <w:rPr>
                  <w:rFonts w:ascii="Times New Roman" w:cs="Times New Roman" w:eastAsia="Times New Roman" w:hAnsi="Times New Roman"/>
                  <w:sz w:val="18"/>
                  <w:szCs w:val="18"/>
                  <w:color w:val="000000"/>
                </w:rPr>
                <w:t>.</w:t>
              </w:r>
            </w:hyperlink>
          </w:p>
        </w:tc>
        <w:tc>
          <w:tcPr>
            <w:tcW w:w="220" w:type="dxa"/>
            <w:vAlign w:val="bottom"/>
            <w:gridSpan w:val="5"/>
          </w:tcPr>
          <w:p>
            <w:pPr>
              <w:spacing w:after="0"/>
              <w:rPr>
                <w:sz w:val="13"/>
                <w:szCs w:val="13"/>
                <w:color w:val="auto"/>
              </w:rPr>
            </w:pPr>
          </w:p>
        </w:tc>
        <w:tc>
          <w:tcPr>
            <w:tcW w:w="2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1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Third Amendment to Executive Employment Agreement, dated November 1, 2022, by and between the Company and Michael</w:t>
              </w:r>
            </w:hyperlink>
          </w:p>
        </w:tc>
        <w:tc>
          <w:tcPr>
            <w:tcW w:w="680" w:type="dxa"/>
            <w:vAlign w:val="bottom"/>
            <w:gridSpan w:val="20"/>
          </w:tcPr>
          <w:p>
            <w:pPr>
              <w:spacing w:after="0"/>
              <w:rPr>
                <w:sz w:val="24"/>
                <w:szCs w:val="24"/>
                <w:color w:val="auto"/>
              </w:rPr>
            </w:pPr>
          </w:p>
        </w:tc>
      </w:tr>
      <w:tr>
        <w:trPr>
          <w:trHeight w:val="155"/>
        </w:trPr>
        <w:tc>
          <w:tcPr>
            <w:tcW w:w="1320" w:type="dxa"/>
            <w:vAlign w:val="bottom"/>
          </w:tcPr>
          <w:p>
            <w:pPr>
              <w:spacing w:after="0"/>
              <w:rPr>
                <w:sz w:val="13"/>
                <w:szCs w:val="13"/>
                <w:color w:val="auto"/>
              </w:rPr>
            </w:pPr>
          </w:p>
        </w:tc>
        <w:tc>
          <w:tcPr>
            <w:tcW w:w="9820" w:type="dxa"/>
            <w:vAlign w:val="bottom"/>
            <w:gridSpan w:val="39"/>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McElhaugh (incorporated herein by reference to Exhibit 10.1 to the Registrant’s Current Report on Form 8-K, filed with the SEC on</w:t>
              </w:r>
            </w:hyperlink>
          </w:p>
        </w:tc>
      </w:tr>
      <w:tr>
        <w:trPr>
          <w:trHeight w:val="155"/>
        </w:trPr>
        <w:tc>
          <w:tcPr>
            <w:tcW w:w="1320" w:type="dxa"/>
            <w:vAlign w:val="bottom"/>
          </w:tcPr>
          <w:p>
            <w:pPr>
              <w:spacing w:after="0"/>
              <w:rPr>
                <w:sz w:val="13"/>
                <w:szCs w:val="13"/>
                <w:color w:val="auto"/>
              </w:rPr>
            </w:pPr>
          </w:p>
        </w:tc>
        <w:tc>
          <w:tcPr>
            <w:tcW w:w="95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October 24, 2022)</w:t>
              </w:r>
            </w:hyperlink>
          </w:p>
        </w:tc>
        <w:tc>
          <w:tcPr>
            <w:tcW w:w="26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982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Form of Arbutus Biopharma Corporation Restricted Stock Unit Agreement</w:t>
            </w:r>
            <w:r>
              <w:rPr>
                <w:rFonts w:ascii="Times New Roman" w:cs="Times New Roman" w:eastAsia="Times New Roman" w:hAnsi="Times New Roman"/>
                <w:sz w:val="18"/>
                <w:szCs w:val="18"/>
                <w:color w:val="000000"/>
              </w:rPr>
              <w:t>.</w:t>
            </w: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3960" w:type="dxa"/>
            <w:vAlign w:val="bottom"/>
            <w:tcBorders>
              <w:top w:val="single" w:sz="8" w:color="0000FF"/>
            </w:tcBorders>
            <w:gridSpan w:val="6"/>
          </w:tcPr>
          <w:p>
            <w:pPr>
              <w:spacing w:after="0"/>
              <w:rPr>
                <w:sz w:val="22"/>
                <w:szCs w:val="22"/>
                <w:color w:val="auto"/>
              </w:rPr>
            </w:pPr>
          </w:p>
        </w:tc>
        <w:tc>
          <w:tcPr>
            <w:tcW w:w="4420" w:type="dxa"/>
            <w:vAlign w:val="bottom"/>
            <w:gridSpan w:val="30"/>
          </w:tcPr>
          <w:p>
            <w:pPr>
              <w:spacing w:after="0"/>
              <w:rPr>
                <w:sz w:val="22"/>
                <w:szCs w:val="22"/>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Consent of Ernst and Young LLP, an Independent Registered Public Accounting Firm.</w:t>
            </w:r>
          </w:p>
        </w:tc>
      </w:tr>
      <w:tr>
        <w:trPr>
          <w:trHeight w:val="20"/>
        </w:trPr>
        <w:tc>
          <w:tcPr>
            <w:tcW w:w="1320" w:type="dxa"/>
            <w:vAlign w:val="bottom"/>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360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 or 15d-14 of the Securities Exchange Act of 1934, as adopted pursuant</w:t>
            </w:r>
          </w:p>
        </w:tc>
      </w:tr>
      <w:tr>
        <w:trPr>
          <w:trHeight w:val="155"/>
        </w:trPr>
        <w:tc>
          <w:tcPr>
            <w:tcW w:w="13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616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bookmarkStart w:id="109" w:name="page110"/>
    <w:bookmarkEnd w:id="109"/>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 or 15d-14 of the Securities Exchange Act of 1934, as adopted pursuant</w:t>
            </w:r>
          </w:p>
        </w:tc>
      </w:tr>
      <w:tr>
        <w:trPr>
          <w:trHeight w:val="156"/>
        </w:trPr>
        <w:tc>
          <w:tcPr>
            <w:tcW w:w="1320" w:type="dxa"/>
            <w:vAlign w:val="bottom"/>
          </w:tcPr>
          <w:p>
            <w:pPr>
              <w:spacing w:after="0"/>
              <w:rPr>
                <w:sz w:val="13"/>
                <w:szCs w:val="13"/>
                <w:color w:val="auto"/>
              </w:rPr>
            </w:pPr>
          </w:p>
        </w:tc>
        <w:tc>
          <w:tcPr>
            <w:tcW w:w="97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to Section 302 of the Sarbanes-Oxley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r>
      <w:tr>
        <w:trPr>
          <w:trHeight w:val="156"/>
        </w:trPr>
        <w:tc>
          <w:tcPr>
            <w:tcW w:w="13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56"/>
        </w:trPr>
        <w:tc>
          <w:tcPr>
            <w:tcW w:w="13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8780" w:type="dxa"/>
            <w:vAlign w:val="bottom"/>
            <w:tcBorders>
              <w:top w:val="single" w:sz="8" w:color="0000FF"/>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2426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Filed or furnished herewith, as applicable</w:t>
      </w:r>
    </w:p>
    <w:p>
      <w:pPr>
        <w:spacing w:after="0" w:line="63" w:lineRule="exact"/>
        <w:rPr>
          <w:sz w:val="20"/>
          <w:szCs w:val="20"/>
          <w:color w:val="auto"/>
        </w:rPr>
      </w:pPr>
    </w:p>
    <w:p>
      <w:pPr>
        <w:ind w:left="740" w:hanging="732"/>
        <w:spacing w:after="0" w:line="266" w:lineRule="auto"/>
        <w:tabs>
          <w:tab w:leader="none" w:pos="3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the agreement were omitted by means of marking such portions with brackets (due to the registrant customarily and actually treating such information as private or confidential and such omitted information not being material) pursuant to Item 601 of Regulation S-K promulgated by the SEC. Arbutus agrees to supplementally furnish a copy of any confidential portions to the SEC upon request.</w:t>
      </w:r>
    </w:p>
    <w:p>
      <w:pPr>
        <w:spacing w:after="0" w:line="1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Management Contract or Compensatory Arrangement.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Index to Consolidated Financial Statements under Item 8 of Part 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0" w:name="page111"/>
    <w:bookmarkEnd w:id="110"/>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2, 2023.</w:t>
      </w:r>
    </w:p>
    <w:p>
      <w:pPr>
        <w:spacing w:after="0" w:line="2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56" w:lineRule="exact"/>
        <w:rPr>
          <w:sz w:val="20"/>
          <w:szCs w:val="20"/>
          <w:color w:val="auto"/>
        </w:rPr>
      </w:pPr>
    </w:p>
    <w:tbl>
      <w:tblPr>
        <w:tblLayout w:type="fixed"/>
        <w:tblInd w:w="550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 Collier</w:t>
            </w:r>
          </w:p>
        </w:tc>
      </w:tr>
      <w:tr>
        <w:trPr>
          <w:trHeight w:val="218"/>
        </w:trPr>
        <w:tc>
          <w:tcPr>
            <w:tcW w:w="74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H. Collier</w:t>
            </w:r>
          </w:p>
        </w:tc>
      </w:tr>
      <w:tr>
        <w:trPr>
          <w:trHeight w:val="234"/>
        </w:trPr>
        <w:tc>
          <w:tcPr>
            <w:tcW w:w="74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2,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Signatures</w:t>
            </w:r>
          </w:p>
        </w:tc>
        <w:tc>
          <w:tcPr>
            <w:tcW w:w="57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Capacity in Which Signed</w:t>
            </w:r>
          </w:p>
        </w:tc>
      </w:tr>
      <w:tr>
        <w:trPr>
          <w:trHeight w:val="453"/>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Torti, M.D.</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(Chairman)</w:t>
            </w:r>
          </w:p>
        </w:tc>
      </w:tr>
      <w:tr>
        <w:trPr>
          <w:trHeight w:val="228"/>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Frank Torti, M.D.</w:t>
            </w:r>
          </w:p>
        </w:tc>
        <w:tc>
          <w:tcPr>
            <w:tcW w:w="5700" w:type="dxa"/>
            <w:vAlign w:val="bottom"/>
          </w:tcPr>
          <w:p>
            <w:pPr>
              <w:spacing w:after="0"/>
              <w:rPr>
                <w:sz w:val="19"/>
                <w:szCs w:val="19"/>
                <w:color w:val="auto"/>
              </w:rPr>
            </w:pPr>
          </w:p>
        </w:tc>
      </w:tr>
      <w:tr>
        <w:trPr>
          <w:trHeight w:val="454"/>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 Collier</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28"/>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H. Collier</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4"/>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C. Hastings</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 Hastings</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54"/>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Burgess</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Burgess</w:t>
            </w:r>
          </w:p>
        </w:tc>
        <w:tc>
          <w:tcPr>
            <w:tcW w:w="5700" w:type="dxa"/>
            <w:vAlign w:val="bottom"/>
          </w:tcPr>
          <w:p>
            <w:pPr>
              <w:spacing w:after="0"/>
              <w:rPr>
                <w:sz w:val="19"/>
                <w:szCs w:val="19"/>
                <w:color w:val="auto"/>
              </w:rPr>
            </w:pPr>
          </w:p>
        </w:tc>
      </w:tr>
      <w:tr>
        <w:trPr>
          <w:trHeight w:val="454"/>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C. Henriques</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C. Henriques</w:t>
            </w:r>
          </w:p>
        </w:tc>
        <w:tc>
          <w:tcPr>
            <w:tcW w:w="5700" w:type="dxa"/>
            <w:vAlign w:val="bottom"/>
          </w:tcPr>
          <w:p>
            <w:pPr>
              <w:spacing w:after="0"/>
              <w:rPr>
                <w:sz w:val="19"/>
                <w:szCs w:val="19"/>
                <w:color w:val="auto"/>
              </w:rPr>
            </w:pPr>
          </w:p>
        </w:tc>
      </w:tr>
      <w:tr>
        <w:trPr>
          <w:trHeight w:val="481"/>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Manchester, M.D.</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Keith Manchester, M.D.</w:t>
            </w:r>
          </w:p>
        </w:tc>
        <w:tc>
          <w:tcPr>
            <w:tcW w:w="5700" w:type="dxa"/>
            <w:vAlign w:val="bottom"/>
          </w:tcPr>
          <w:p>
            <w:pPr>
              <w:spacing w:after="0"/>
              <w:rPr>
                <w:sz w:val="19"/>
                <w:szCs w:val="19"/>
                <w:color w:val="auto"/>
              </w:rPr>
            </w:pPr>
          </w:p>
        </w:tc>
      </w:tr>
      <w:tr>
        <w:trPr>
          <w:trHeight w:val="454"/>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Meyers</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Meyers</w:t>
            </w:r>
          </w:p>
        </w:tc>
        <w:tc>
          <w:tcPr>
            <w:tcW w:w="5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111" w:name="page112"/>
    <w:bookmarkEnd w:id="111"/>
    <w:p>
      <w:pPr>
        <w:ind w:left="10360"/>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3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ind w:left="3260"/>
        <w:spacing w:after="0" w:line="197" w:lineRule="auto"/>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0" w:lineRule="exact"/>
        <w:rPr>
          <w:sz w:val="20"/>
          <w:szCs w:val="20"/>
          <w:color w:val="auto"/>
        </w:rPr>
      </w:pPr>
    </w:p>
    <w:p>
      <w:pPr>
        <w:spacing w:after="0" w:line="239" w:lineRule="exact"/>
        <w:rPr>
          <w:sz w:val="20"/>
          <w:szCs w:val="20"/>
          <w:color w:val="auto"/>
        </w:rPr>
      </w:pPr>
    </w:p>
    <w:p>
      <w:pPr>
        <w:jc w:val="both"/>
        <w:ind w:firstLine="445"/>
        <w:spacing w:after="0" w:line="224" w:lineRule="auto"/>
        <w:rPr>
          <w:sz w:val="20"/>
          <w:szCs w:val="20"/>
          <w:color w:val="auto"/>
        </w:rPr>
      </w:pPr>
      <w:r>
        <w:rPr>
          <w:rFonts w:ascii="Times New Roman" w:cs="Times New Roman" w:eastAsia="Times New Roman" w:hAnsi="Times New Roman"/>
          <w:sz w:val="18"/>
          <w:szCs w:val="18"/>
          <w:i w:val="1"/>
          <w:iCs w:val="1"/>
          <w:color w:val="auto"/>
        </w:rPr>
        <w:t>As of the date of the Annual Report on Form 10-K of which this exhibit forms a part, the only class of securities of Arbutus Biopharma Corporation (“we,” “us” and “our”) registered under Section 12 of the Securities Exchange Act of 1934, as amended (the “Exchange Act”), is our common shares,</w:t>
      </w:r>
    </w:p>
    <w:p>
      <w:pPr>
        <w:spacing w:after="0"/>
        <w:rPr>
          <w:sz w:val="20"/>
          <w:szCs w:val="20"/>
          <w:color w:val="auto"/>
        </w:rPr>
      </w:pPr>
      <w:r>
        <w:rPr>
          <w:rFonts w:ascii="Times New Roman" w:cs="Times New Roman" w:eastAsia="Times New Roman" w:hAnsi="Times New Roman"/>
          <w:sz w:val="18"/>
          <w:szCs w:val="18"/>
          <w:i w:val="1"/>
          <w:iCs w:val="1"/>
          <w:color w:val="auto"/>
        </w:rPr>
        <w:t>without par value.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description of our capital stock summarizes provisions of our Notice of Articles and Articles, as amended, or our Articles, the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Investment Canada Act (Canada), the Competition Act (Canada) and the Business Corporations Act (British Columbia). The following description does not purport to be complete and is subject to, and qualified in its entirety by, our Articles, which are incorporated by reference as exhibits to the Annual Report on Form 10-K of which this exhibit is a part, and to the applicable provisions of the Investment Canada Act, the Competition Act and the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Corporations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share capital consists of (i) an unlimited number of common shares, without par value, (ii) an unlimited number of preferred shares, without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par value, and (iii) 1,164,000 Series A Participating Convertible Preferred Shares. As of February 28, 2023 there were (a) 162,570,989 common shares outstanding and (b) 0 Series A Participating Convertible Preferred Shares outstanding. None of our common shares or preferred shares are held by us or on behalf of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holders of our common shares are entitled to receive notice of any meeting of our shareholders and to attend and vote thereat, except those meetings at which only the holders of shares of another class or of a particular series are entitled to vote. Each common share entitles its holder to one vote. There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cumulative voting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the rights of the holders of preferred shares, the holders of common shares are entitled to receive on a pro rata basis such dividends as our Board of Directors may declare out of funds legally available for payment of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event of the dissolution, liquidation, winding-up or other distribution of our assets, those holders are entitled to receive on a pro rata basis all of our assets remaining after payment of all of our liabilities, subject to the rights of holders of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terms of our common shares do not include any preemptive, conversion or subscription rights, nor any redemption or sinking fund provisions. The common shares are not subject to future calls or assessments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to Control due to Certain Provisions of Canadian and British Columbian Law and our Articles</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Unless such offer constitutes an exempt transaction, an offer made by a person, or an offeror, to acquire outstanding shares of a Canadian entity that, when aggregated with the offeror’s holdings (and those of persons or companies acting jointly with the offeror), would constitute 20% or more of the outstanding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shares,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take-over bid requirements noted above, the acquisition of shares may trigger the application of additional statutory regimes including amongst others, the Investment Canada Act (Canada) and the Competition Act (Canada).</w:t>
      </w:r>
    </w:p>
    <w:p>
      <w:pPr>
        <w:spacing w:after="0" w:line="176"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As well, under the Business Corporations Act (British Columbia), unless otherwise stated in our Articles, certain corporate actions require the approval of a special majority of shareholders, meaning holders of shares representing 66 2/3% of those votes cast in respect of a shareholder vote addressing such</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matter. Those items requiring the approval of a special majority generally relate to fundamental changes with respect to our business, and include amongst others, resolutions: (i) removing a</w:t>
      </w:r>
    </w:p>
    <w:p>
      <w:pPr>
        <w:sectPr>
          <w:pgSz w:w="11900" w:h="16838" w:orient="portrait"/>
          <w:cols w:equalWidth="0" w:num="1">
            <w:col w:w="11240"/>
          </w:cols>
          <w:pgMar w:left="320" w:top="887" w:right="339" w:bottom="1440" w:gutter="0" w:footer="0" w:header="0"/>
        </w:sectPr>
      </w:pPr>
    </w:p>
    <w:bookmarkStart w:id="112" w:name="page113"/>
    <w:bookmarkEnd w:id="112"/>
    <w:p>
      <w:pPr>
        <w:spacing w:after="0" w:line="237" w:lineRule="auto"/>
        <w:rPr>
          <w:sz w:val="20"/>
          <w:szCs w:val="20"/>
          <w:color w:val="auto"/>
        </w:rPr>
      </w:pPr>
      <w:r>
        <w:rPr>
          <w:rFonts w:ascii="Times New Roman" w:cs="Times New Roman" w:eastAsia="Times New Roman" w:hAnsi="Times New Roman"/>
          <w:sz w:val="18"/>
          <w:szCs w:val="18"/>
          <w:color w:val="auto"/>
        </w:rPr>
        <w:t>director prior to the expiry of his or her term; (ii) altering our Articles, (iii) approving an amalgamation; (iv) approving a plan of arrangement; and (v) providing for a sale of all or substantially all of our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“ABUS.”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shares is TSX Trust Company.</w:t>
      </w:r>
    </w:p>
    <w:p>
      <w:pPr>
        <w:sectPr>
          <w:pgSz w:w="11900" w:h="16838" w:orient="portrait"/>
          <w:cols w:equalWidth="0" w:num="1">
            <w:col w:w="10800"/>
          </w:cols>
          <w:pgMar w:left="320" w:top="877" w:right="77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ARBUTUS BIOPHARMA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2016 OMNIBUS SHARE AND INCENTIVE PLAN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 SHEET</w:t>
      </w:r>
    </w:p>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Arbutus Biopharma Corporation, a corporation incorporated under the laws of British Columbia, Canada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grants Restricted Stock Units (the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representing the right to receive common shares, without par value, of the Company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to</w:t>
      </w:r>
    </w:p>
    <w:p>
      <w:pPr>
        <w:spacing w:after="0" w:line="224" w:lineRule="auto"/>
        <w:rPr>
          <w:sz w:val="20"/>
          <w:szCs w:val="20"/>
          <w:color w:val="auto"/>
        </w:rPr>
      </w:pPr>
      <w:r>
        <w:rPr>
          <w:rFonts w:ascii="Times New Roman" w:cs="Times New Roman" w:eastAsia="Times New Roman" w:hAnsi="Times New Roman"/>
          <w:sz w:val="19"/>
          <w:szCs w:val="19"/>
          <w:color w:val="auto"/>
        </w:rPr>
        <w:t>the individual named below as Participant, subject to the vesting and other conditions set forth below. The terms and conditions of the RSUs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are set forth in this cover sheet, in the attachment (collectively,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 in the Company’s 2016 Omnibus Share and Incentive Plan (as it may be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Date: ______________________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 ______________________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Covered by RSUs: ______________________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Vesting Schedule:</w:t>
      </w:r>
    </w:p>
    <w:p>
      <w:pPr>
        <w:spacing w:after="0" w:line="1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RSUs vest in three equal annual installments beginning one year from the grant date, subject to the Reporting Person's continuous service as of each vesting date.</w:t>
      </w: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i w:val="1"/>
          <w:iCs w:val="1"/>
          <w:color w:val="auto"/>
        </w:rPr>
        <w:t>By signing this cover sheet, you agree to all of the terms and conditions described in this Agreement and in the Plan, a copy of which is also attached. You acknowledge that you have carefully reviewed the Plan, and you agree that the Plan will control in the event any provision of this Agreement should appear to be inconsistent. Certain capitalized terms used in this Agreement are defined in the Plan, and have the respective meanings set forth in the Plan.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-5715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Company:</w:t>
      </w:r>
      <w:r>
        <w:rPr>
          <w:sz w:val="20"/>
          <w:szCs w:val="20"/>
          <w:color w:val="auto"/>
        </w:rPr>
        <w:tab/>
      </w:r>
      <w:r>
        <w:rPr>
          <w:rFonts w:ascii="Times New Roman" w:cs="Times New Roman" w:eastAsia="Times New Roman" w:hAnsi="Times New Roman"/>
          <w:sz w:val="21"/>
          <w:szCs w:val="21"/>
          <w:color w:val="auto"/>
        </w:rPr>
        <w:t>______________________________________________________</w:t>
      </w: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document is not a stock certificate or a negotiable instrument.</w:t>
      </w:r>
    </w:p>
    <w:p>
      <w:pPr>
        <w:sectPr>
          <w:pgSz w:w="11900" w:h="16838" w:orient="portrait"/>
          <w:cols w:equalWidth="0" w:num="1">
            <w:col w:w="11240"/>
          </w:cols>
          <w:pgMar w:left="320" w:top="9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8580" w:type="dxa"/>
            <w:vAlign w:val="bottom"/>
          </w:tcPr>
          <w:p>
            <w:pPr>
              <w:jc w:val="center"/>
              <w:ind w:right="2521"/>
              <w:spacing w:after="0"/>
              <w:rPr>
                <w:sz w:val="20"/>
                <w:szCs w:val="20"/>
                <w:color w:val="auto"/>
              </w:rPr>
            </w:pPr>
            <w:r>
              <w:rPr>
                <w:rFonts w:ascii="Times New Roman" w:cs="Times New Roman" w:eastAsia="Times New Roman" w:hAnsi="Times New Roman"/>
                <w:sz w:val="20"/>
                <w:szCs w:val="20"/>
                <w:b w:val="1"/>
                <w:bCs w:val="1"/>
                <w:color w:val="auto"/>
                <w:w w:val="98"/>
              </w:rPr>
              <w:t>ARBUTUS BIOPHARMA CORPORATION</w:t>
            </w:r>
          </w:p>
        </w:tc>
        <w:tc>
          <w:tcPr>
            <w:tcW w:w="0" w:type="dxa"/>
            <w:vAlign w:val="bottom"/>
          </w:tcPr>
          <w:p>
            <w:pPr>
              <w:spacing w:after="0"/>
              <w:rPr>
                <w:sz w:val="1"/>
                <w:szCs w:val="1"/>
                <w:color w:val="auto"/>
              </w:rPr>
            </w:pPr>
          </w:p>
        </w:tc>
      </w:tr>
      <w:tr>
        <w:trPr>
          <w:trHeight w:val="262"/>
        </w:trPr>
        <w:tc>
          <w:tcPr>
            <w:tcW w:w="2560" w:type="dxa"/>
            <w:vAlign w:val="bottom"/>
          </w:tcPr>
          <w:p>
            <w:pPr>
              <w:spacing w:after="0"/>
              <w:rPr>
                <w:sz w:val="22"/>
                <w:szCs w:val="22"/>
                <w:color w:val="auto"/>
              </w:rPr>
            </w:pPr>
          </w:p>
        </w:tc>
        <w:tc>
          <w:tcPr>
            <w:tcW w:w="8580" w:type="dxa"/>
            <w:vAlign w:val="bottom"/>
          </w:tcPr>
          <w:p>
            <w:pPr>
              <w:jc w:val="center"/>
              <w:ind w:right="2521"/>
              <w:spacing w:after="0"/>
              <w:rPr>
                <w:sz w:val="20"/>
                <w:szCs w:val="20"/>
                <w:color w:val="auto"/>
              </w:rPr>
            </w:pPr>
            <w:r>
              <w:rPr>
                <w:rFonts w:ascii="Times New Roman" w:cs="Times New Roman" w:eastAsia="Times New Roman" w:hAnsi="Times New Roman"/>
                <w:sz w:val="20"/>
                <w:szCs w:val="20"/>
                <w:b w:val="1"/>
                <w:bCs w:val="1"/>
                <w:color w:val="auto"/>
                <w:w w:val="98"/>
              </w:rPr>
              <w:t>2016 OMNIBUS SHARE AND INCENTIVE PLAN</w:t>
            </w:r>
          </w:p>
        </w:tc>
        <w:tc>
          <w:tcPr>
            <w:tcW w:w="0" w:type="dxa"/>
            <w:vAlign w:val="bottom"/>
          </w:tcPr>
          <w:p>
            <w:pPr>
              <w:spacing w:after="0"/>
              <w:rPr>
                <w:sz w:val="1"/>
                <w:szCs w:val="1"/>
                <w:color w:val="auto"/>
              </w:rPr>
            </w:pPr>
          </w:p>
        </w:tc>
      </w:tr>
      <w:tr>
        <w:trPr>
          <w:trHeight w:val="418"/>
        </w:trPr>
        <w:tc>
          <w:tcPr>
            <w:tcW w:w="2560" w:type="dxa"/>
            <w:vAlign w:val="bottom"/>
          </w:tcPr>
          <w:p>
            <w:pPr>
              <w:spacing w:after="0"/>
              <w:rPr>
                <w:sz w:val="24"/>
                <w:szCs w:val="24"/>
                <w:color w:val="auto"/>
              </w:rPr>
            </w:pPr>
          </w:p>
        </w:tc>
        <w:tc>
          <w:tcPr>
            <w:tcW w:w="8580" w:type="dxa"/>
            <w:vAlign w:val="bottom"/>
          </w:tcPr>
          <w:p>
            <w:pPr>
              <w:jc w:val="center"/>
              <w:ind w:right="2521"/>
              <w:spacing w:after="0"/>
              <w:rPr>
                <w:sz w:val="20"/>
                <w:szCs w:val="20"/>
                <w:color w:val="auto"/>
              </w:rPr>
            </w:pPr>
            <w:r>
              <w:rPr>
                <w:rFonts w:ascii="Times New Roman" w:cs="Times New Roman" w:eastAsia="Times New Roman" w:hAnsi="Times New Roman"/>
                <w:sz w:val="20"/>
                <w:szCs w:val="20"/>
                <w:b w:val="1"/>
                <w:bCs w:val="1"/>
                <w:color w:val="auto"/>
                <w:w w:val="98"/>
              </w:rPr>
              <w:t>RESTRICTED STOCK UNIT AGREEMENT</w:t>
            </w:r>
          </w:p>
        </w:tc>
        <w:tc>
          <w:tcPr>
            <w:tcW w:w="0" w:type="dxa"/>
            <w:vAlign w:val="bottom"/>
          </w:tcPr>
          <w:p>
            <w:pPr>
              <w:spacing w:after="0"/>
              <w:rPr>
                <w:sz w:val="1"/>
                <w:szCs w:val="1"/>
                <w:color w:val="auto"/>
              </w:rPr>
            </w:pPr>
          </w:p>
        </w:tc>
      </w:tr>
      <w:tr>
        <w:trPr>
          <w:trHeight w:val="628"/>
        </w:trPr>
        <w:tc>
          <w:tcPr>
            <w:tcW w:w="2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tc>
        <w:tc>
          <w:tcPr>
            <w:tcW w:w="85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This Agreement evidences an award of RSUs in the number set forth on the cover sheet. Each RSU</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8580" w:type="dxa"/>
            <w:vAlign w:val="bottom"/>
          </w:tcPr>
          <w:p>
            <w:pPr>
              <w:ind w:left="660"/>
              <w:spacing w:after="0" w:line="193" w:lineRule="exact"/>
              <w:rPr>
                <w:sz w:val="20"/>
                <w:szCs w:val="20"/>
                <w:color w:val="auto"/>
              </w:rPr>
            </w:pPr>
            <w:r>
              <w:rPr>
                <w:rFonts w:ascii="Times New Roman" w:cs="Times New Roman" w:eastAsia="Times New Roman" w:hAnsi="Times New Roman"/>
                <w:sz w:val="20"/>
                <w:szCs w:val="20"/>
                <w:color w:val="auto"/>
                <w:w w:val="99"/>
              </w:rPr>
              <w:t>represents the right to receive one Share, subject to the vesting and other conditions set forth in this</w:t>
            </w:r>
          </w:p>
        </w:tc>
        <w:tc>
          <w:tcPr>
            <w:tcW w:w="0" w:type="dxa"/>
            <w:vAlign w:val="bottom"/>
          </w:tcPr>
          <w:p>
            <w:pPr>
              <w:spacing w:after="0"/>
              <w:rPr>
                <w:sz w:val="1"/>
                <w:szCs w:val="1"/>
                <w:color w:val="auto"/>
              </w:rPr>
            </w:pPr>
          </w:p>
        </w:tc>
      </w:tr>
      <w:tr>
        <w:trPr>
          <w:trHeight w:val="256"/>
        </w:trPr>
        <w:tc>
          <w:tcPr>
            <w:tcW w:w="2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w:t>
            </w:r>
          </w:p>
        </w:tc>
        <w:tc>
          <w:tcPr>
            <w:tcW w:w="85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Agreement and in the Plan.</w:t>
            </w:r>
          </w:p>
        </w:tc>
        <w:tc>
          <w:tcPr>
            <w:tcW w:w="0" w:type="dxa"/>
            <w:vAlign w:val="bottom"/>
          </w:tcPr>
          <w:p>
            <w:pPr>
              <w:spacing w:after="0"/>
              <w:rPr>
                <w:sz w:val="1"/>
                <w:szCs w:val="1"/>
                <w:color w:val="auto"/>
              </w:rPr>
            </w:pPr>
          </w:p>
        </w:tc>
      </w:tr>
      <w:tr>
        <w:trPr>
          <w:trHeight w:val="198"/>
        </w:trPr>
        <w:tc>
          <w:tcPr>
            <w:tcW w:w="2560" w:type="dxa"/>
            <w:vAlign w:val="bottom"/>
            <w:vMerge w:val="continue"/>
          </w:tcPr>
          <w:p>
            <w:pPr>
              <w:spacing w:after="0"/>
              <w:rPr>
                <w:sz w:val="17"/>
                <w:szCs w:val="17"/>
                <w:color w:val="auto"/>
              </w:rPr>
            </w:pPr>
          </w:p>
        </w:tc>
        <w:tc>
          <w:tcPr>
            <w:tcW w:w="8580" w:type="dxa"/>
            <w:vAlign w:val="bottom"/>
          </w:tcPr>
          <w:p>
            <w:pPr>
              <w:ind w:left="720"/>
              <w:spacing w:after="0" w:line="198" w:lineRule="exact"/>
              <w:rPr>
                <w:sz w:val="20"/>
                <w:szCs w:val="20"/>
                <w:color w:val="auto"/>
              </w:rPr>
            </w:pPr>
            <w:r>
              <w:rPr>
                <w:rFonts w:ascii="Times New Roman" w:cs="Times New Roman" w:eastAsia="Times New Roman" w:hAnsi="Times New Roman"/>
                <w:sz w:val="20"/>
                <w:szCs w:val="20"/>
                <w:color w:val="auto"/>
              </w:rPr>
              <w:t>The RSUs shall vest in accordance with the vesting schedule set forth on the cover sheet of this</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8580" w:type="dxa"/>
            <w:vAlign w:val="bottom"/>
          </w:tcPr>
          <w:p>
            <w:pPr>
              <w:ind w:left="720"/>
              <w:spacing w:after="0" w:line="193" w:lineRule="exact"/>
              <w:rPr>
                <w:sz w:val="20"/>
                <w:szCs w:val="20"/>
                <w:color w:val="auto"/>
              </w:rPr>
            </w:pPr>
            <w:r>
              <w:rPr>
                <w:rFonts w:ascii="Times New Roman" w:cs="Times New Roman" w:eastAsia="Times New Roman" w:hAnsi="Times New Roman"/>
                <w:sz w:val="20"/>
                <w:szCs w:val="20"/>
                <w:color w:val="auto"/>
                <w:w w:val="99"/>
              </w:rPr>
              <w:t>Agreement; provided, however, that for purposes of vesting, fractional numbers of Shares shall be</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8580" w:type="dxa"/>
            <w:vAlign w:val="bottom"/>
          </w:tcPr>
          <w:p>
            <w:pPr>
              <w:ind w:left="720"/>
              <w:spacing w:after="0" w:line="203" w:lineRule="exact"/>
              <w:rPr>
                <w:sz w:val="20"/>
                <w:szCs w:val="20"/>
                <w:color w:val="auto"/>
              </w:rPr>
            </w:pPr>
            <w:r>
              <w:rPr>
                <w:rFonts w:ascii="Times New Roman" w:cs="Times New Roman" w:eastAsia="Times New Roman" w:hAnsi="Times New Roman"/>
                <w:sz w:val="20"/>
                <w:szCs w:val="20"/>
                <w:color w:val="auto"/>
              </w:rPr>
              <w:t>rounded to the nearest whole number, and the number of RSUs that shall vest on the final vesting</w:t>
            </w: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8580" w:type="dxa"/>
            <w:vAlign w:val="bottom"/>
          </w:tcPr>
          <w:p>
            <w:pPr>
              <w:ind w:left="720"/>
              <w:spacing w:after="0" w:line="198" w:lineRule="exact"/>
              <w:rPr>
                <w:sz w:val="20"/>
                <w:szCs w:val="20"/>
                <w:color w:val="auto"/>
              </w:rPr>
            </w:pPr>
            <w:r>
              <w:rPr>
                <w:rFonts w:ascii="Times New Roman" w:cs="Times New Roman" w:eastAsia="Times New Roman" w:hAnsi="Times New Roman"/>
                <w:sz w:val="20"/>
                <w:szCs w:val="20"/>
                <w:color w:val="auto"/>
              </w:rPr>
              <w:t>date shall be rounded up or down as necessary such that the total number of RSUs that vest</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8580" w:type="dxa"/>
            <w:vAlign w:val="bottom"/>
          </w:tcPr>
          <w:p>
            <w:pPr>
              <w:ind w:left="720"/>
              <w:spacing w:after="0" w:line="193" w:lineRule="exact"/>
              <w:rPr>
                <w:sz w:val="20"/>
                <w:szCs w:val="20"/>
                <w:color w:val="auto"/>
              </w:rPr>
            </w:pPr>
            <w:r>
              <w:rPr>
                <w:rFonts w:ascii="Times New Roman" w:cs="Times New Roman" w:eastAsia="Times New Roman" w:hAnsi="Times New Roman"/>
                <w:sz w:val="20"/>
                <w:szCs w:val="20"/>
                <w:color w:val="auto"/>
              </w:rPr>
              <w:t>pursuant to the vesting schedule shall be equal to the number of RSUs covered by this grant as set</w:t>
            </w:r>
          </w:p>
        </w:tc>
        <w:tc>
          <w:tcPr>
            <w:tcW w:w="0" w:type="dxa"/>
            <w:vAlign w:val="bottom"/>
          </w:tcPr>
          <w:p>
            <w:pPr>
              <w:spacing w:after="0"/>
              <w:rPr>
                <w:sz w:val="1"/>
                <w:szCs w:val="1"/>
                <w:color w:val="auto"/>
              </w:rPr>
            </w:pPr>
          </w:p>
        </w:tc>
      </w:tr>
      <w:tr>
        <w:trPr>
          <w:trHeight w:val="258"/>
        </w:trPr>
        <w:tc>
          <w:tcPr>
            <w:tcW w:w="2560" w:type="dxa"/>
            <w:vAlign w:val="bottom"/>
          </w:tcPr>
          <w:p>
            <w:pPr>
              <w:spacing w:after="0"/>
              <w:rPr>
                <w:sz w:val="22"/>
                <w:szCs w:val="22"/>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forth on the cover sheet of this Agreement.</w:t>
            </w:r>
          </w:p>
        </w:tc>
        <w:tc>
          <w:tcPr>
            <w:tcW w:w="0" w:type="dxa"/>
            <w:vAlign w:val="bottom"/>
          </w:tcPr>
          <w:p>
            <w:pPr>
              <w:spacing w:after="0"/>
              <w:rPr>
                <w:sz w:val="1"/>
                <w:szCs w:val="1"/>
                <w:color w:val="auto"/>
              </w:rPr>
            </w:pPr>
          </w:p>
        </w:tc>
      </w:tr>
      <w:tr>
        <w:trPr>
          <w:trHeight w:val="322"/>
        </w:trPr>
        <w:tc>
          <w:tcPr>
            <w:tcW w:w="2560" w:type="dxa"/>
            <w:vAlign w:val="bottom"/>
          </w:tcPr>
          <w:p>
            <w:pPr>
              <w:spacing w:after="0"/>
              <w:rPr>
                <w:sz w:val="24"/>
                <w:szCs w:val="24"/>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Unless the termination of your service as an Eligible Person (“</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triggers accelerated</w:t>
            </w: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8580" w:type="dxa"/>
            <w:vAlign w:val="bottom"/>
          </w:tcPr>
          <w:p>
            <w:pPr>
              <w:ind w:left="720"/>
              <w:spacing w:after="0" w:line="198" w:lineRule="exact"/>
              <w:rPr>
                <w:sz w:val="20"/>
                <w:szCs w:val="20"/>
                <w:color w:val="auto"/>
              </w:rPr>
            </w:pPr>
            <w:r>
              <w:rPr>
                <w:rFonts w:ascii="Times New Roman" w:cs="Times New Roman" w:eastAsia="Times New Roman" w:hAnsi="Times New Roman"/>
                <w:sz w:val="20"/>
                <w:szCs w:val="20"/>
                <w:color w:val="auto"/>
              </w:rPr>
              <w:t>vesting or other treatment of the RSUs pursuant to the terms of this Agreement or the Plan, you</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8580" w:type="dxa"/>
            <w:vAlign w:val="bottom"/>
          </w:tcPr>
          <w:p>
            <w:pPr>
              <w:ind w:left="720"/>
              <w:spacing w:after="0" w:line="193" w:lineRule="exact"/>
              <w:rPr>
                <w:sz w:val="20"/>
                <w:szCs w:val="20"/>
                <w:color w:val="auto"/>
              </w:rPr>
            </w:pPr>
            <w:r>
              <w:rPr>
                <w:rFonts w:ascii="Times New Roman" w:cs="Times New Roman" w:eastAsia="Times New Roman" w:hAnsi="Times New Roman"/>
                <w:sz w:val="20"/>
                <w:szCs w:val="20"/>
                <w:color w:val="auto"/>
              </w:rPr>
              <w:t>shall immediately and automatically forfeit the unvested RSUs to the Company in the event your</w:t>
            </w:r>
          </w:p>
        </w:tc>
        <w:tc>
          <w:tcPr>
            <w:tcW w:w="0" w:type="dxa"/>
            <w:vAlign w:val="bottom"/>
          </w:tcPr>
          <w:p>
            <w:pPr>
              <w:spacing w:after="0"/>
              <w:rPr>
                <w:sz w:val="1"/>
                <w:szCs w:val="1"/>
                <w:color w:val="auto"/>
              </w:rPr>
            </w:pPr>
          </w:p>
        </w:tc>
      </w:tr>
      <w:tr>
        <w:trPr>
          <w:trHeight w:val="258"/>
        </w:trPr>
        <w:tc>
          <w:tcPr>
            <w:tcW w:w="2560" w:type="dxa"/>
            <w:vAlign w:val="bottom"/>
          </w:tcPr>
          <w:p>
            <w:pPr>
              <w:spacing w:after="0"/>
              <w:rPr>
                <w:sz w:val="22"/>
                <w:szCs w:val="22"/>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Service terminates for any reason. No RSUs shall vest after your termination of Service.</w:t>
            </w:r>
          </w:p>
        </w:tc>
        <w:tc>
          <w:tcPr>
            <w:tcW w:w="0" w:type="dxa"/>
            <w:vAlign w:val="bottom"/>
          </w:tcPr>
          <w:p>
            <w:pPr>
              <w:spacing w:after="0"/>
              <w:rPr>
                <w:sz w:val="1"/>
                <w:szCs w:val="1"/>
                <w:color w:val="auto"/>
              </w:rPr>
            </w:pPr>
          </w:p>
        </w:tc>
      </w:tr>
      <w:tr>
        <w:trPr>
          <w:trHeight w:val="372"/>
        </w:trPr>
        <w:tc>
          <w:tcPr>
            <w:tcW w:w="2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Control</w:t>
            </w:r>
          </w:p>
        </w:tc>
        <w:tc>
          <w:tcPr>
            <w:tcW w:w="85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In the event of a Change in Control, the RSUs will be treated in the manner provided in Section</w:t>
            </w:r>
          </w:p>
        </w:tc>
        <w:tc>
          <w:tcPr>
            <w:tcW w:w="0" w:type="dxa"/>
            <w:vAlign w:val="bottom"/>
          </w:tcPr>
          <w:p>
            <w:pPr>
              <w:spacing w:after="0"/>
              <w:rPr>
                <w:sz w:val="1"/>
                <w:szCs w:val="1"/>
                <w:color w:val="auto"/>
              </w:rPr>
            </w:pPr>
          </w:p>
        </w:tc>
      </w:tr>
      <w:tr>
        <w:trPr>
          <w:trHeight w:val="247"/>
        </w:trPr>
        <w:tc>
          <w:tcPr>
            <w:tcW w:w="2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Leaves of Absence</w:t>
            </w:r>
          </w:p>
        </w:tc>
        <w:tc>
          <w:tcPr>
            <w:tcW w:w="85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7(b) of the Plan.</w:t>
            </w:r>
          </w:p>
        </w:tc>
        <w:tc>
          <w:tcPr>
            <w:tcW w:w="0" w:type="dxa"/>
            <w:vAlign w:val="bottom"/>
          </w:tcPr>
          <w:p>
            <w:pPr>
              <w:spacing w:after="0"/>
              <w:rPr>
                <w:sz w:val="1"/>
                <w:szCs w:val="1"/>
                <w:color w:val="auto"/>
              </w:rPr>
            </w:pPr>
          </w:p>
        </w:tc>
      </w:tr>
      <w:tr>
        <w:trPr>
          <w:trHeight w:val="198"/>
        </w:trPr>
        <w:tc>
          <w:tcPr>
            <w:tcW w:w="2560" w:type="dxa"/>
            <w:vAlign w:val="bottom"/>
            <w:vMerge w:val="continue"/>
          </w:tcPr>
          <w:p>
            <w:pPr>
              <w:spacing w:after="0"/>
              <w:rPr>
                <w:sz w:val="17"/>
                <w:szCs w:val="17"/>
                <w:color w:val="auto"/>
              </w:rPr>
            </w:pPr>
          </w:p>
        </w:tc>
        <w:tc>
          <w:tcPr>
            <w:tcW w:w="8580" w:type="dxa"/>
            <w:vAlign w:val="bottom"/>
          </w:tcPr>
          <w:p>
            <w:pPr>
              <w:ind w:left="720"/>
              <w:spacing w:after="0" w:line="198" w:lineRule="exact"/>
              <w:rPr>
                <w:sz w:val="20"/>
                <w:szCs w:val="20"/>
                <w:color w:val="auto"/>
              </w:rPr>
            </w:pPr>
            <w:r>
              <w:rPr>
                <w:rFonts w:ascii="Times New Roman" w:cs="Times New Roman" w:eastAsia="Times New Roman" w:hAnsi="Times New Roman"/>
                <w:sz w:val="20"/>
                <w:szCs w:val="20"/>
                <w:color w:val="auto"/>
              </w:rPr>
              <w:t>This section of the Agreement applies solely to Participants who are employees of the Company</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8580" w:type="dxa"/>
            <w:vAlign w:val="bottom"/>
          </w:tcPr>
          <w:p>
            <w:pPr>
              <w:ind w:left="720"/>
              <w:spacing w:after="0" w:line="189" w:lineRule="exact"/>
              <w:rPr>
                <w:sz w:val="20"/>
                <w:szCs w:val="20"/>
                <w:color w:val="auto"/>
              </w:rPr>
            </w:pPr>
            <w:r>
              <w:rPr>
                <w:rFonts w:ascii="Times New Roman" w:cs="Times New Roman" w:eastAsia="Times New Roman" w:hAnsi="Times New Roman"/>
                <w:sz w:val="20"/>
                <w:szCs w:val="20"/>
                <w:color w:val="auto"/>
                <w:w w:val="99"/>
              </w:rPr>
              <w:t>or any of its subsidiaries. For purposes of the RSUs, your Service does not terminate when you go</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8580" w:type="dxa"/>
            <w:vAlign w:val="bottom"/>
          </w:tcPr>
          <w:p>
            <w:pPr>
              <w:ind w:left="720"/>
              <w:spacing w:after="0" w:line="207" w:lineRule="exact"/>
              <w:rPr>
                <w:sz w:val="20"/>
                <w:szCs w:val="20"/>
                <w:color w:val="auto"/>
              </w:rPr>
            </w:pPr>
            <w:r>
              <w:rPr>
                <w:rFonts w:ascii="Times New Roman" w:cs="Times New Roman" w:eastAsia="Times New Roman" w:hAnsi="Times New Roman"/>
                <w:sz w:val="20"/>
                <w:szCs w:val="20"/>
                <w:color w:val="auto"/>
              </w:rPr>
              <w:t xml:space="preserve">on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employee leave of absence that was approved by the Company in writing, if the</w:t>
            </w: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8580" w:type="dxa"/>
            <w:vAlign w:val="bottom"/>
          </w:tcPr>
          <w:p>
            <w:pPr>
              <w:ind w:left="720"/>
              <w:spacing w:after="0" w:line="198" w:lineRule="exact"/>
              <w:rPr>
                <w:sz w:val="20"/>
                <w:szCs w:val="20"/>
                <w:color w:val="auto"/>
              </w:rPr>
            </w:pPr>
            <w:r>
              <w:rPr>
                <w:rFonts w:ascii="Times New Roman" w:cs="Times New Roman" w:eastAsia="Times New Roman" w:hAnsi="Times New Roman"/>
                <w:sz w:val="20"/>
                <w:szCs w:val="20"/>
                <w:color w:val="auto"/>
              </w:rPr>
              <w:t>terms of the leave provide for continued service crediting, or when continued service crediting is</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8580" w:type="dxa"/>
            <w:vAlign w:val="bottom"/>
          </w:tcPr>
          <w:p>
            <w:pPr>
              <w:ind w:left="720"/>
              <w:spacing w:after="0" w:line="193" w:lineRule="exact"/>
              <w:rPr>
                <w:sz w:val="20"/>
                <w:szCs w:val="20"/>
                <w:color w:val="auto"/>
              </w:rPr>
            </w:pPr>
            <w:r>
              <w:rPr>
                <w:rFonts w:ascii="Times New Roman" w:cs="Times New Roman" w:eastAsia="Times New Roman" w:hAnsi="Times New Roman"/>
                <w:sz w:val="20"/>
                <w:szCs w:val="20"/>
                <w:color w:val="auto"/>
                <w:w w:val="99"/>
              </w:rPr>
              <w:t>required by applicable law. However, in all other cases, your Service will be treated as terminating</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8580" w:type="dxa"/>
            <w:vAlign w:val="bottom"/>
          </w:tcPr>
          <w:p>
            <w:pPr>
              <w:ind w:left="720"/>
              <w:spacing w:after="0" w:line="203" w:lineRule="exact"/>
              <w:rPr>
                <w:sz w:val="20"/>
                <w:szCs w:val="20"/>
                <w:color w:val="auto"/>
              </w:rPr>
            </w:pPr>
            <w:r>
              <w:rPr>
                <w:rFonts w:ascii="Times New Roman" w:cs="Times New Roman" w:eastAsia="Times New Roman" w:hAnsi="Times New Roman"/>
                <w:sz w:val="20"/>
                <w:szCs w:val="20"/>
                <w:color w:val="auto"/>
              </w:rPr>
              <w:t>ninety (90) days after you went on employee leave, unless your right to return to active work is</w:t>
            </w: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8580" w:type="dxa"/>
            <w:vAlign w:val="bottom"/>
          </w:tcPr>
          <w:p>
            <w:pPr>
              <w:ind w:left="720"/>
              <w:spacing w:after="0" w:line="198" w:lineRule="exact"/>
              <w:rPr>
                <w:sz w:val="20"/>
                <w:szCs w:val="20"/>
                <w:color w:val="auto"/>
              </w:rPr>
            </w:pPr>
            <w:r>
              <w:rPr>
                <w:rFonts w:ascii="Times New Roman" w:cs="Times New Roman" w:eastAsia="Times New Roman" w:hAnsi="Times New Roman"/>
                <w:sz w:val="20"/>
                <w:szCs w:val="20"/>
                <w:color w:val="auto"/>
                <w:w w:val="99"/>
              </w:rPr>
              <w:t>guaranteed by law or by a contract. Your Service terminates in any event when the approved leave</w:t>
            </w:r>
          </w:p>
        </w:tc>
        <w:tc>
          <w:tcPr>
            <w:tcW w:w="0" w:type="dxa"/>
            <w:vAlign w:val="bottom"/>
          </w:tcPr>
          <w:p>
            <w:pPr>
              <w:spacing w:after="0"/>
              <w:rPr>
                <w:sz w:val="1"/>
                <w:szCs w:val="1"/>
                <w:color w:val="auto"/>
              </w:rPr>
            </w:pPr>
          </w:p>
        </w:tc>
      </w:tr>
      <w:tr>
        <w:trPr>
          <w:trHeight w:val="258"/>
        </w:trPr>
        <w:tc>
          <w:tcPr>
            <w:tcW w:w="2560" w:type="dxa"/>
            <w:vAlign w:val="bottom"/>
          </w:tcPr>
          <w:p>
            <w:pPr>
              <w:spacing w:after="0"/>
              <w:rPr>
                <w:sz w:val="22"/>
                <w:szCs w:val="22"/>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ends, unless you immediately return to active employee work.</w:t>
            </w:r>
          </w:p>
        </w:tc>
        <w:tc>
          <w:tcPr>
            <w:tcW w:w="0" w:type="dxa"/>
            <w:vAlign w:val="bottom"/>
          </w:tcPr>
          <w:p>
            <w:pPr>
              <w:spacing w:after="0"/>
              <w:rPr>
                <w:sz w:val="1"/>
                <w:szCs w:val="1"/>
                <w:color w:val="auto"/>
              </w:rPr>
            </w:pPr>
          </w:p>
        </w:tc>
      </w:tr>
      <w:tr>
        <w:trPr>
          <w:trHeight w:val="313"/>
        </w:trPr>
        <w:tc>
          <w:tcPr>
            <w:tcW w:w="2560" w:type="dxa"/>
            <w:vAlign w:val="bottom"/>
          </w:tcPr>
          <w:p>
            <w:pPr>
              <w:spacing w:after="0"/>
              <w:rPr>
                <w:sz w:val="24"/>
                <w:szCs w:val="24"/>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The Company determines, in its sole discretion, which leaves count for this purpose, and when</w:t>
            </w:r>
          </w:p>
        </w:tc>
        <w:tc>
          <w:tcPr>
            <w:tcW w:w="0" w:type="dxa"/>
            <w:vAlign w:val="bottom"/>
          </w:tcPr>
          <w:p>
            <w:pPr>
              <w:spacing w:after="0"/>
              <w:rPr>
                <w:sz w:val="1"/>
                <w:szCs w:val="1"/>
                <w:color w:val="auto"/>
              </w:rPr>
            </w:pPr>
          </w:p>
        </w:tc>
      </w:tr>
      <w:tr>
        <w:trPr>
          <w:trHeight w:val="258"/>
        </w:trPr>
        <w:tc>
          <w:tcPr>
            <w:tcW w:w="2560" w:type="dxa"/>
            <w:vAlign w:val="bottom"/>
          </w:tcPr>
          <w:p>
            <w:pPr>
              <w:spacing w:after="0"/>
              <w:rPr>
                <w:sz w:val="22"/>
                <w:szCs w:val="22"/>
                <w:color w:val="auto"/>
              </w:rPr>
            </w:pPr>
          </w:p>
        </w:tc>
        <w:tc>
          <w:tcPr>
            <w:tcW w:w="85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your Service terminates for all purposes under the Plan.</w:t>
            </w:r>
          </w:p>
        </w:tc>
        <w:tc>
          <w:tcPr>
            <w:tcW w:w="0" w:type="dxa"/>
            <w:vAlign w:val="bottom"/>
          </w:tcPr>
          <w:p>
            <w:pPr>
              <w:spacing w:after="0"/>
              <w:rPr>
                <w:sz w:val="1"/>
                <w:szCs w:val="1"/>
                <w:color w:val="auto"/>
              </w:rPr>
            </w:pPr>
          </w:p>
        </w:tc>
      </w:tr>
      <w:tr>
        <w:trPr>
          <w:trHeight w:val="372"/>
        </w:trPr>
        <w:tc>
          <w:tcPr>
            <w:tcW w:w="2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Issuance</w:t>
            </w:r>
          </w:p>
        </w:tc>
        <w:tc>
          <w:tcPr>
            <w:tcW w:w="85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issuance of the Shares underlying any RSUs that become vested hereunder shall be made</w:t>
            </w: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8580" w:type="dxa"/>
            <w:vAlign w:val="bottom"/>
          </w:tcPr>
          <w:p>
            <w:pPr>
              <w:ind w:left="660"/>
              <w:spacing w:after="0" w:line="193" w:lineRule="exact"/>
              <w:rPr>
                <w:sz w:val="20"/>
                <w:szCs w:val="20"/>
                <w:color w:val="auto"/>
              </w:rPr>
            </w:pPr>
            <w:r>
              <w:rPr>
                <w:rFonts w:ascii="Times New Roman" w:cs="Times New Roman" w:eastAsia="Times New Roman" w:hAnsi="Times New Roman"/>
                <w:sz w:val="20"/>
                <w:szCs w:val="20"/>
                <w:color w:val="auto"/>
              </w:rPr>
              <w:t>within thirty (30) days after the applicable vesting date. Any such issuance shall be evidenced in</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8580" w:type="dxa"/>
            <w:vAlign w:val="bottom"/>
          </w:tcPr>
          <w:p>
            <w:pPr>
              <w:ind w:left="660"/>
              <w:spacing w:after="0" w:line="203" w:lineRule="exact"/>
              <w:rPr>
                <w:sz w:val="20"/>
                <w:szCs w:val="20"/>
                <w:color w:val="auto"/>
              </w:rPr>
            </w:pPr>
            <w:r>
              <w:rPr>
                <w:rFonts w:ascii="Times New Roman" w:cs="Times New Roman" w:eastAsia="Times New Roman" w:hAnsi="Times New Roman"/>
                <w:sz w:val="20"/>
                <w:szCs w:val="20"/>
                <w:color w:val="auto"/>
              </w:rPr>
              <w:t>such a manner as the Company, in its discretion, will deem appropriate, including, without</w:t>
            </w:r>
          </w:p>
        </w:tc>
        <w:tc>
          <w:tcPr>
            <w:tcW w:w="0" w:type="dxa"/>
            <w:vAlign w:val="bottom"/>
          </w:tcPr>
          <w:p>
            <w:pPr>
              <w:spacing w:after="0"/>
              <w:rPr>
                <w:sz w:val="1"/>
                <w:szCs w:val="1"/>
                <w:color w:val="auto"/>
              </w:rPr>
            </w:pPr>
          </w:p>
        </w:tc>
      </w:tr>
      <w:tr>
        <w:trPr>
          <w:trHeight w:val="258"/>
        </w:trPr>
        <w:tc>
          <w:tcPr>
            <w:tcW w:w="2560" w:type="dxa"/>
            <w:vAlign w:val="bottom"/>
          </w:tcPr>
          <w:p>
            <w:pPr>
              <w:spacing w:after="0"/>
              <w:rPr>
                <w:sz w:val="22"/>
                <w:szCs w:val="22"/>
                <w:color w:val="auto"/>
              </w:rPr>
            </w:pPr>
          </w:p>
        </w:tc>
        <w:tc>
          <w:tcPr>
            <w:tcW w:w="85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limitation, book-entry, direct registration or issuance of one or more Share certificates.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400" w:top="1395" w:right="3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Withholding Taxes</w:t>
            </w:r>
          </w:p>
        </w:tc>
        <w:tc>
          <w:tcPr>
            <w:tcW w:w="87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In order to comply with all applicable federal, state, local or foreign tax laws or regulations, the</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Company may take such actions as it deems appropriate to ensure that all applicable federal, state,</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00"/>
              <w:spacing w:after="0" w:line="193" w:lineRule="exact"/>
              <w:rPr>
                <w:sz w:val="20"/>
                <w:szCs w:val="20"/>
                <w:color w:val="auto"/>
              </w:rPr>
            </w:pPr>
            <w:r>
              <w:rPr>
                <w:rFonts w:ascii="Times New Roman" w:cs="Times New Roman" w:eastAsia="Times New Roman" w:hAnsi="Times New Roman"/>
                <w:sz w:val="20"/>
                <w:szCs w:val="20"/>
                <w:color w:val="auto"/>
              </w:rPr>
              <w:t>local or foreign payroll, withholding, income or other taxes that may be due relating to the RSUs</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and the issuance of Shares with respect to the RSUs, which are your sole and absolute</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responsibility, are withheld or collected from you. If you are an employee of the Company or any</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00"/>
              <w:spacing w:after="0" w:line="193" w:lineRule="exact"/>
              <w:rPr>
                <w:sz w:val="20"/>
                <w:szCs w:val="20"/>
                <w:color w:val="auto"/>
              </w:rPr>
            </w:pPr>
            <w:r>
              <w:rPr>
                <w:rFonts w:ascii="Times New Roman" w:cs="Times New Roman" w:eastAsia="Times New Roman" w:hAnsi="Times New Roman"/>
                <w:sz w:val="20"/>
                <w:szCs w:val="20"/>
                <w:color w:val="auto"/>
                <w:w w:val="99"/>
              </w:rPr>
              <w:t>of its subsidiaries as of the Grant Date, then you hereby agree as a condition of this Agreement that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you will enter into a side letter agreement with the Company prior to or as soon as practicable</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following the Grant Date (or at such other time as directed by the Company), in a form that is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00"/>
              <w:spacing w:after="0" w:line="193" w:lineRule="exact"/>
              <w:rPr>
                <w:sz w:val="20"/>
                <w:szCs w:val="20"/>
                <w:color w:val="auto"/>
              </w:rPr>
            </w:pPr>
            <w:r>
              <w:rPr>
                <w:rFonts w:ascii="Times New Roman" w:cs="Times New Roman" w:eastAsia="Times New Roman" w:hAnsi="Times New Roman"/>
                <w:sz w:val="20"/>
                <w:szCs w:val="20"/>
                <w:color w:val="auto"/>
              </w:rPr>
              <w:t>acceptable to the Company, pursuant to which you will make an election to satisfy all tax</w:t>
            </w:r>
          </w:p>
        </w:tc>
        <w:tc>
          <w:tcPr>
            <w:tcW w:w="0" w:type="dxa"/>
            <w:vAlign w:val="bottom"/>
          </w:tcPr>
          <w:p>
            <w:pPr>
              <w:spacing w:after="0"/>
              <w:rPr>
                <w:sz w:val="1"/>
                <w:szCs w:val="1"/>
                <w:color w:val="auto"/>
              </w:rPr>
            </w:pPr>
          </w:p>
        </w:tc>
      </w:tr>
      <w:tr>
        <w:trPr>
          <w:trHeight w:val="257"/>
        </w:trPr>
        <w:tc>
          <w:tcPr>
            <w:tcW w:w="2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Transfer of RSUs</w:t>
            </w:r>
          </w:p>
        </w:tc>
        <w:tc>
          <w:tcPr>
            <w:tcW w:w="872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8"/>
              </w:rPr>
              <w:t>withholding obligations that arise hereunder pursuant to the “sell to cover” tax withholding method.</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The RSUs are not transferable by you other than to a designated beneficiary upon your death or by</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will or the laws of descent and distribution. No assignment or transfer of the RSUs, or the rights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00"/>
              <w:spacing w:after="0" w:line="193" w:lineRule="exact"/>
              <w:rPr>
                <w:sz w:val="20"/>
                <w:szCs w:val="20"/>
                <w:color w:val="auto"/>
              </w:rPr>
            </w:pPr>
            <w:r>
              <w:rPr>
                <w:rFonts w:ascii="Times New Roman" w:cs="Times New Roman" w:eastAsia="Times New Roman" w:hAnsi="Times New Roman"/>
                <w:sz w:val="20"/>
                <w:szCs w:val="20"/>
                <w:color w:val="auto"/>
                <w:w w:val="98"/>
              </w:rPr>
              <w:t>represented thereby, whether voluntary or involuntary, by operation of law or otherwise (except to a</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designated beneficiary upon death by will or the laws of descent or distribution) will vest in the</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assignee or transferee any interest or right herein whatsoever, but immediately upon such</w:t>
            </w:r>
          </w:p>
        </w:tc>
        <w:tc>
          <w:tcPr>
            <w:tcW w:w="0" w:type="dxa"/>
            <w:vAlign w:val="bottom"/>
          </w:tcPr>
          <w:p>
            <w:pPr>
              <w:spacing w:after="0"/>
              <w:rPr>
                <w:sz w:val="1"/>
                <w:szCs w:val="1"/>
                <w:color w:val="auto"/>
              </w:rPr>
            </w:pPr>
          </w:p>
        </w:tc>
      </w:tr>
      <w:tr>
        <w:trPr>
          <w:trHeight w:val="247"/>
        </w:trPr>
        <w:tc>
          <w:tcPr>
            <w:tcW w:w="2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Retention Rights</w:t>
            </w:r>
          </w:p>
        </w:tc>
        <w:tc>
          <w:tcPr>
            <w:tcW w:w="87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assignment or transfer the RSUs will terminate and become of no further effect.</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8720" w:type="dxa"/>
            <w:vAlign w:val="bottom"/>
          </w:tcPr>
          <w:p>
            <w:pPr>
              <w:ind w:left="860"/>
              <w:spacing w:after="0" w:line="203" w:lineRule="exact"/>
              <w:rPr>
                <w:sz w:val="20"/>
                <w:szCs w:val="20"/>
                <w:color w:val="auto"/>
              </w:rPr>
            </w:pPr>
            <w:r>
              <w:rPr>
                <w:rFonts w:ascii="Times New Roman" w:cs="Times New Roman" w:eastAsia="Times New Roman" w:hAnsi="Times New Roman"/>
                <w:sz w:val="20"/>
                <w:szCs w:val="20"/>
                <w:color w:val="auto"/>
              </w:rPr>
              <w:t>This section of the Agreement applies solely to Participants who are employees of the Company</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60"/>
              <w:spacing w:after="0" w:line="198" w:lineRule="exact"/>
              <w:rPr>
                <w:sz w:val="20"/>
                <w:szCs w:val="20"/>
                <w:color w:val="auto"/>
              </w:rPr>
            </w:pPr>
            <w:r>
              <w:rPr>
                <w:rFonts w:ascii="Times New Roman" w:cs="Times New Roman" w:eastAsia="Times New Roman" w:hAnsi="Times New Roman"/>
                <w:sz w:val="20"/>
                <w:szCs w:val="20"/>
                <w:color w:val="auto"/>
              </w:rPr>
              <w:t>or any of its subsidiaries. Neither the RSUs nor this Agreement gives you the right to be retained</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60"/>
              <w:spacing w:after="0" w:line="193" w:lineRule="exact"/>
              <w:rPr>
                <w:sz w:val="20"/>
                <w:szCs w:val="20"/>
                <w:color w:val="auto"/>
              </w:rPr>
            </w:pPr>
            <w:r>
              <w:rPr>
                <w:rFonts w:ascii="Times New Roman" w:cs="Times New Roman" w:eastAsia="Times New Roman" w:hAnsi="Times New Roman"/>
                <w:sz w:val="20"/>
                <w:szCs w:val="20"/>
                <w:color w:val="auto"/>
              </w:rPr>
              <w:t>or employed by the Company (or any subsidiary of the Company) in any capacity. Unless</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720" w:type="dxa"/>
            <w:vAlign w:val="bottom"/>
          </w:tcPr>
          <w:p>
            <w:pPr>
              <w:ind w:left="860"/>
              <w:spacing w:after="0" w:line="203" w:lineRule="exact"/>
              <w:rPr>
                <w:sz w:val="20"/>
                <w:szCs w:val="20"/>
                <w:color w:val="auto"/>
              </w:rPr>
            </w:pPr>
            <w:r>
              <w:rPr>
                <w:rFonts w:ascii="Times New Roman" w:cs="Times New Roman" w:eastAsia="Times New Roman" w:hAnsi="Times New Roman"/>
                <w:sz w:val="20"/>
                <w:szCs w:val="20"/>
                <w:color w:val="auto"/>
                <w:w w:val="99"/>
              </w:rPr>
              <w:t>otherwise specified in any written employment or other agreement between the Company and you,</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872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the Company reserves the right to terminate your Service at any time and for any reason.</w:t>
            </w:r>
          </w:p>
        </w:tc>
        <w:tc>
          <w:tcPr>
            <w:tcW w:w="0" w:type="dxa"/>
            <w:vAlign w:val="bottom"/>
          </w:tcPr>
          <w:p>
            <w:pPr>
              <w:spacing w:after="0"/>
              <w:rPr>
                <w:sz w:val="1"/>
                <w:szCs w:val="1"/>
                <w:color w:val="auto"/>
              </w:rPr>
            </w:pPr>
          </w:p>
        </w:tc>
      </w:tr>
      <w:tr>
        <w:trPr>
          <w:trHeight w:val="376"/>
        </w:trPr>
        <w:tc>
          <w:tcPr>
            <w:tcW w:w="2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 Rights</w:t>
            </w:r>
          </w:p>
        </w:tc>
        <w:tc>
          <w:tcPr>
            <w:tcW w:w="87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You, or your estate or heirs, have no rights as a shareholder of the Company until the Shares have</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been issued to you upon vesting of the RSUs and either a certificate evidencing your Shares has</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00"/>
              <w:spacing w:after="0" w:line="193" w:lineRule="exact"/>
              <w:rPr>
                <w:sz w:val="20"/>
                <w:szCs w:val="20"/>
                <w:color w:val="auto"/>
              </w:rPr>
            </w:pPr>
            <w:r>
              <w:rPr>
                <w:rFonts w:ascii="Times New Roman" w:cs="Times New Roman" w:eastAsia="Times New Roman" w:hAnsi="Times New Roman"/>
                <w:sz w:val="20"/>
                <w:szCs w:val="20"/>
                <w:color w:val="auto"/>
              </w:rPr>
              <w:t>been issued or an appropriate entry has been made on the Company’s books. No adjustments are</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made for dividends or other rights if the applicable record date occurs before your share certificate</w:t>
            </w:r>
          </w:p>
        </w:tc>
        <w:tc>
          <w:tcPr>
            <w:tcW w:w="0" w:type="dxa"/>
            <w:vAlign w:val="bottom"/>
          </w:tcPr>
          <w:p>
            <w:pPr>
              <w:spacing w:after="0"/>
              <w:rPr>
                <w:sz w:val="1"/>
                <w:szCs w:val="1"/>
                <w:color w:val="auto"/>
              </w:rPr>
            </w:pPr>
          </w:p>
        </w:tc>
      </w:tr>
      <w:tr>
        <w:trPr>
          <w:trHeight w:val="243"/>
        </w:trPr>
        <w:tc>
          <w:tcPr>
            <w:tcW w:w="2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Clawback</w:t>
            </w:r>
          </w:p>
        </w:tc>
        <w:tc>
          <w:tcPr>
            <w:tcW w:w="87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is issued (or an appropriate book entry has been made).</w:t>
            </w:r>
          </w:p>
        </w:tc>
        <w:tc>
          <w:tcPr>
            <w:tcW w:w="0" w:type="dxa"/>
            <w:vAlign w:val="bottom"/>
          </w:tcPr>
          <w:p>
            <w:pPr>
              <w:spacing w:after="0"/>
              <w:rPr>
                <w:sz w:val="1"/>
                <w:szCs w:val="1"/>
                <w:color w:val="auto"/>
              </w:rPr>
            </w:pPr>
          </w:p>
        </w:tc>
      </w:tr>
      <w:tr>
        <w:trPr>
          <w:trHeight w:val="202"/>
        </w:trPr>
        <w:tc>
          <w:tcPr>
            <w:tcW w:w="2420" w:type="dxa"/>
            <w:vAlign w:val="bottom"/>
            <w:vMerge w:val="continue"/>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The RSUs are subject to mandatory repayment by you to the Company to the extent you are or in</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the future become subject to (i) any “clawback” or recoupment policy that is adopted by the</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00"/>
              <w:spacing w:after="0" w:line="193" w:lineRule="exact"/>
              <w:rPr>
                <w:sz w:val="20"/>
                <w:szCs w:val="20"/>
                <w:color w:val="auto"/>
              </w:rPr>
            </w:pPr>
            <w:r>
              <w:rPr>
                <w:rFonts w:ascii="Times New Roman" w:cs="Times New Roman" w:eastAsia="Times New Roman" w:hAnsi="Times New Roman"/>
                <w:sz w:val="20"/>
                <w:szCs w:val="20"/>
                <w:color w:val="auto"/>
              </w:rPr>
              <w:t>Company or a subsidiary of the Company to comply with the requirements of any applicable laws,</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or (ii) any applicable laws which impose mandatory recoupment, under circumstances set forth in</w:t>
            </w:r>
          </w:p>
        </w:tc>
        <w:tc>
          <w:tcPr>
            <w:tcW w:w="0" w:type="dxa"/>
            <w:vAlign w:val="bottom"/>
          </w:tcPr>
          <w:p>
            <w:pPr>
              <w:spacing w:after="0"/>
              <w:rPr>
                <w:sz w:val="1"/>
                <w:szCs w:val="1"/>
                <w:color w:val="auto"/>
              </w:rPr>
            </w:pPr>
          </w:p>
        </w:tc>
      </w:tr>
      <w:tr>
        <w:trPr>
          <w:trHeight w:val="243"/>
        </w:trPr>
        <w:tc>
          <w:tcPr>
            <w:tcW w:w="2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87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such applicable laws.</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8720" w:type="dxa"/>
            <w:vAlign w:val="bottom"/>
          </w:tcPr>
          <w:p>
            <w:pPr>
              <w:ind w:left="800"/>
              <w:spacing w:after="0" w:line="203" w:lineRule="exact"/>
              <w:rPr>
                <w:sz w:val="20"/>
                <w:szCs w:val="20"/>
                <w:color w:val="auto"/>
              </w:rPr>
            </w:pPr>
            <w:r>
              <w:rPr>
                <w:rFonts w:ascii="Times New Roman" w:cs="Times New Roman" w:eastAsia="Times New Roman" w:hAnsi="Times New Roman"/>
                <w:sz w:val="20"/>
                <w:szCs w:val="20"/>
                <w:color w:val="auto"/>
              </w:rPr>
              <w:t>The number of Shares subject to issuance upon vesting of the RSUs is subject to adjustment in</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8720" w:type="dxa"/>
            <w:vAlign w:val="bottom"/>
          </w:tcPr>
          <w:p>
            <w:pPr>
              <w:ind w:left="800"/>
              <w:spacing w:after="0" w:line="198" w:lineRule="exact"/>
              <w:rPr>
                <w:sz w:val="20"/>
                <w:szCs w:val="20"/>
                <w:color w:val="auto"/>
              </w:rPr>
            </w:pPr>
            <w:r>
              <w:rPr>
                <w:rFonts w:ascii="Times New Roman" w:cs="Times New Roman" w:eastAsia="Times New Roman" w:hAnsi="Times New Roman"/>
                <w:sz w:val="20"/>
                <w:szCs w:val="20"/>
                <w:color w:val="auto"/>
              </w:rPr>
              <w:t>accordance with Section 4(c) of the Plan. The RSUs shall be subject to the terms of any applicable</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8720" w:type="dxa"/>
            <w:vAlign w:val="bottom"/>
          </w:tcPr>
          <w:p>
            <w:pPr>
              <w:ind w:left="800"/>
              <w:spacing w:after="0" w:line="193" w:lineRule="exact"/>
              <w:rPr>
                <w:sz w:val="20"/>
                <w:szCs w:val="20"/>
                <w:color w:val="auto"/>
              </w:rPr>
            </w:pPr>
            <w:r>
              <w:rPr>
                <w:rFonts w:ascii="Times New Roman" w:cs="Times New Roman" w:eastAsia="Times New Roman" w:hAnsi="Times New Roman"/>
                <w:sz w:val="20"/>
                <w:szCs w:val="20"/>
                <w:color w:val="auto"/>
              </w:rPr>
              <w:t>agreement of merger, liquidation or reorganization in the event the Company is subject to such</w:t>
            </w: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87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corporate activity.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400" w:top="1426"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Applicable Law</w:t>
            </w:r>
          </w:p>
        </w:tc>
        <w:tc>
          <w:tcPr>
            <w:tcW w:w="82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This Agreement will be interpreted and enforced under the laws of the Province of British</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8240" w:type="dxa"/>
            <w:vAlign w:val="bottom"/>
          </w:tcPr>
          <w:p>
            <w:pPr>
              <w:ind w:left="320"/>
              <w:spacing w:after="0" w:line="198" w:lineRule="exact"/>
              <w:rPr>
                <w:sz w:val="20"/>
                <w:szCs w:val="20"/>
                <w:color w:val="auto"/>
              </w:rPr>
            </w:pPr>
            <w:r>
              <w:rPr>
                <w:rFonts w:ascii="Times New Roman" w:cs="Times New Roman" w:eastAsia="Times New Roman" w:hAnsi="Times New Roman"/>
                <w:sz w:val="20"/>
                <w:szCs w:val="20"/>
                <w:color w:val="auto"/>
              </w:rPr>
              <w:t>Columbia and the laws of Canada applicable therein, other than any conflicts or choice of law rule</w:t>
            </w: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8240" w:type="dxa"/>
            <w:vAlign w:val="bottom"/>
          </w:tcPr>
          <w:p>
            <w:pPr>
              <w:ind w:left="320"/>
              <w:spacing w:after="0" w:line="193" w:lineRule="exact"/>
              <w:rPr>
                <w:sz w:val="20"/>
                <w:szCs w:val="20"/>
                <w:color w:val="auto"/>
              </w:rPr>
            </w:pPr>
            <w:r>
              <w:rPr>
                <w:rFonts w:ascii="Times New Roman" w:cs="Times New Roman" w:eastAsia="Times New Roman" w:hAnsi="Times New Roman"/>
                <w:sz w:val="20"/>
                <w:szCs w:val="20"/>
                <w:color w:val="auto"/>
              </w:rPr>
              <w:t>or principle that might otherwise refer construction or interpretation of this Agreement to the</w:t>
            </w:r>
          </w:p>
        </w:tc>
        <w:tc>
          <w:tcPr>
            <w:tcW w:w="0" w:type="dxa"/>
            <w:vAlign w:val="bottom"/>
          </w:tcPr>
          <w:p>
            <w:pPr>
              <w:spacing w:after="0"/>
              <w:rPr>
                <w:sz w:val="1"/>
                <w:szCs w:val="1"/>
                <w:color w:val="auto"/>
              </w:rPr>
            </w:pPr>
          </w:p>
        </w:tc>
      </w:tr>
      <w:tr>
        <w:trPr>
          <w:trHeight w:val="257"/>
        </w:trPr>
        <w:tc>
          <w:tcPr>
            <w:tcW w:w="2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The Plan</w:t>
            </w:r>
          </w:p>
        </w:tc>
        <w:tc>
          <w:tcPr>
            <w:tcW w:w="82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substantive law of another jurisdiction.</w:t>
            </w:r>
          </w:p>
        </w:tc>
        <w:tc>
          <w:tcPr>
            <w:tcW w:w="0" w:type="dxa"/>
            <w:vAlign w:val="bottom"/>
          </w:tcPr>
          <w:p>
            <w:pPr>
              <w:spacing w:after="0"/>
              <w:rPr>
                <w:sz w:val="1"/>
                <w:szCs w:val="1"/>
                <w:color w:val="auto"/>
              </w:rPr>
            </w:pPr>
          </w:p>
        </w:tc>
      </w:tr>
      <w:tr>
        <w:trPr>
          <w:trHeight w:val="258"/>
        </w:trPr>
        <w:tc>
          <w:tcPr>
            <w:tcW w:w="2900" w:type="dxa"/>
            <w:vAlign w:val="bottom"/>
            <w:vMerge w:val="continue"/>
          </w:tcPr>
          <w:p>
            <w:pPr>
              <w:spacing w:after="0"/>
              <w:rPr>
                <w:sz w:val="22"/>
                <w:szCs w:val="22"/>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The text of the Plan is incorporated into this Agreement by reference.</w:t>
            </w:r>
          </w:p>
        </w:tc>
        <w:tc>
          <w:tcPr>
            <w:tcW w:w="0" w:type="dxa"/>
            <w:vAlign w:val="bottom"/>
          </w:tcPr>
          <w:p>
            <w:pPr>
              <w:spacing w:after="0"/>
              <w:rPr>
                <w:sz w:val="1"/>
                <w:szCs w:val="1"/>
                <w:color w:val="auto"/>
              </w:rPr>
            </w:pPr>
          </w:p>
        </w:tc>
      </w:tr>
      <w:tr>
        <w:trPr>
          <w:trHeight w:val="322"/>
        </w:trPr>
        <w:tc>
          <w:tcPr>
            <w:tcW w:w="2900" w:type="dxa"/>
            <w:vAlign w:val="bottom"/>
          </w:tcPr>
          <w:p>
            <w:pPr>
              <w:spacing w:after="0"/>
              <w:rPr>
                <w:sz w:val="24"/>
                <w:szCs w:val="24"/>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This Agreement and the Plan constitute the entire understanding between you and the Company</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8240" w:type="dxa"/>
            <w:vAlign w:val="bottom"/>
          </w:tcPr>
          <w:p>
            <w:pPr>
              <w:ind w:left="380"/>
              <w:spacing w:after="0" w:line="198" w:lineRule="exact"/>
              <w:rPr>
                <w:sz w:val="20"/>
                <w:szCs w:val="20"/>
                <w:color w:val="auto"/>
              </w:rPr>
            </w:pPr>
            <w:r>
              <w:rPr>
                <w:rFonts w:ascii="Times New Roman" w:cs="Times New Roman" w:eastAsia="Times New Roman" w:hAnsi="Times New Roman"/>
                <w:sz w:val="20"/>
                <w:szCs w:val="20"/>
                <w:color w:val="auto"/>
                <w:w w:val="99"/>
              </w:rPr>
              <w:t>regarding the RSUs. Any prior agreements, commitments or negotiations concerning this grant are</w:t>
            </w: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8240" w:type="dxa"/>
            <w:vAlign w:val="bottom"/>
          </w:tcPr>
          <w:p>
            <w:pPr>
              <w:ind w:left="380"/>
              <w:spacing w:after="0" w:line="193" w:lineRule="exact"/>
              <w:rPr>
                <w:sz w:val="20"/>
                <w:szCs w:val="20"/>
                <w:color w:val="auto"/>
              </w:rPr>
            </w:pPr>
            <w:r>
              <w:rPr>
                <w:rFonts w:ascii="Times New Roman" w:cs="Times New Roman" w:eastAsia="Times New Roman" w:hAnsi="Times New Roman"/>
                <w:sz w:val="20"/>
                <w:szCs w:val="20"/>
                <w:color w:val="auto"/>
                <w:w w:val="99"/>
              </w:rPr>
              <w:t>superseded; except that any written employment, consulting, confidentiality, non-solicitation, non-</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40" w:type="dxa"/>
            <w:vAlign w:val="bottom"/>
          </w:tcPr>
          <w:p>
            <w:pPr>
              <w:ind w:left="380"/>
              <w:spacing w:after="0" w:line="203" w:lineRule="exact"/>
              <w:rPr>
                <w:sz w:val="20"/>
                <w:szCs w:val="20"/>
                <w:color w:val="auto"/>
              </w:rPr>
            </w:pPr>
            <w:r>
              <w:rPr>
                <w:rFonts w:ascii="Times New Roman" w:cs="Times New Roman" w:eastAsia="Times New Roman" w:hAnsi="Times New Roman"/>
                <w:sz w:val="20"/>
                <w:szCs w:val="20"/>
                <w:color w:val="auto"/>
              </w:rPr>
              <w:t>competition, and/or severance agreement between you and the Company or any subsidiary of the</w:t>
            </w:r>
          </w:p>
        </w:tc>
        <w:tc>
          <w:tcPr>
            <w:tcW w:w="0" w:type="dxa"/>
            <w:vAlign w:val="bottom"/>
          </w:tcPr>
          <w:p>
            <w:pPr>
              <w:spacing w:after="0"/>
              <w:rPr>
                <w:sz w:val="1"/>
                <w:szCs w:val="1"/>
                <w:color w:val="auto"/>
              </w:rPr>
            </w:pPr>
          </w:p>
        </w:tc>
      </w:tr>
      <w:tr>
        <w:trPr>
          <w:trHeight w:val="258"/>
        </w:trPr>
        <w:tc>
          <w:tcPr>
            <w:tcW w:w="2900" w:type="dxa"/>
            <w:vAlign w:val="bottom"/>
          </w:tcPr>
          <w:p>
            <w:pPr>
              <w:spacing w:after="0"/>
              <w:rPr>
                <w:sz w:val="22"/>
                <w:szCs w:val="22"/>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Company shall supersede this Agreement with respect to its subject matter.</w:t>
            </w:r>
          </w:p>
        </w:tc>
        <w:tc>
          <w:tcPr>
            <w:tcW w:w="0" w:type="dxa"/>
            <w:vAlign w:val="bottom"/>
          </w:tcPr>
          <w:p>
            <w:pPr>
              <w:spacing w:after="0"/>
              <w:rPr>
                <w:sz w:val="1"/>
                <w:szCs w:val="1"/>
                <w:color w:val="auto"/>
              </w:rPr>
            </w:pPr>
          </w:p>
        </w:tc>
      </w:tr>
      <w:tr>
        <w:trPr>
          <w:trHeight w:val="376"/>
        </w:trPr>
        <w:tc>
          <w:tcPr>
            <w:tcW w:w="2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Data Privacy</w:t>
            </w: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 order to administer the Plan, the Company may process personal data about you. Such data</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8240" w:type="dxa"/>
            <w:vAlign w:val="bottom"/>
          </w:tcPr>
          <w:p>
            <w:pPr>
              <w:ind w:left="380"/>
              <w:spacing w:after="0" w:line="198" w:lineRule="exact"/>
              <w:rPr>
                <w:sz w:val="20"/>
                <w:szCs w:val="20"/>
                <w:color w:val="auto"/>
              </w:rPr>
            </w:pPr>
            <w:r>
              <w:rPr>
                <w:rFonts w:ascii="Times New Roman" w:cs="Times New Roman" w:eastAsia="Times New Roman" w:hAnsi="Times New Roman"/>
                <w:sz w:val="20"/>
                <w:szCs w:val="20"/>
                <w:color w:val="auto"/>
                <w:w w:val="99"/>
              </w:rPr>
              <w:t>includes, but is not limited to the information provided in this Agreement and any changes thereto,</w:t>
            </w: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8240" w:type="dxa"/>
            <w:vAlign w:val="bottom"/>
          </w:tcPr>
          <w:p>
            <w:pPr>
              <w:ind w:left="380"/>
              <w:spacing w:after="0" w:line="193" w:lineRule="exact"/>
              <w:rPr>
                <w:sz w:val="20"/>
                <w:szCs w:val="20"/>
                <w:color w:val="auto"/>
              </w:rPr>
            </w:pPr>
            <w:r>
              <w:rPr>
                <w:rFonts w:ascii="Times New Roman" w:cs="Times New Roman" w:eastAsia="Times New Roman" w:hAnsi="Times New Roman"/>
                <w:sz w:val="20"/>
                <w:szCs w:val="20"/>
                <w:color w:val="auto"/>
              </w:rPr>
              <w:t>other appropriate personal and financial data about you such as home address and business</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40" w:type="dxa"/>
            <w:vAlign w:val="bottom"/>
          </w:tcPr>
          <w:p>
            <w:pPr>
              <w:ind w:left="380"/>
              <w:spacing w:after="0" w:line="203" w:lineRule="exact"/>
              <w:rPr>
                <w:sz w:val="20"/>
                <w:szCs w:val="20"/>
                <w:color w:val="auto"/>
              </w:rPr>
            </w:pPr>
            <w:r>
              <w:rPr>
                <w:rFonts w:ascii="Times New Roman" w:cs="Times New Roman" w:eastAsia="Times New Roman" w:hAnsi="Times New Roman"/>
                <w:sz w:val="20"/>
                <w:szCs w:val="20"/>
                <w:color w:val="auto"/>
                <w:w w:val="99"/>
              </w:rPr>
              <w:t>addresses and other contact information, payroll information and any other information that might</w:t>
            </w:r>
          </w:p>
        </w:tc>
        <w:tc>
          <w:tcPr>
            <w:tcW w:w="0" w:type="dxa"/>
            <w:vAlign w:val="bottom"/>
          </w:tcPr>
          <w:p>
            <w:pPr>
              <w:spacing w:after="0"/>
              <w:rPr>
                <w:sz w:val="1"/>
                <w:szCs w:val="1"/>
                <w:color w:val="auto"/>
              </w:rPr>
            </w:pPr>
          </w:p>
        </w:tc>
      </w:tr>
      <w:tr>
        <w:trPr>
          <w:trHeight w:val="258"/>
        </w:trPr>
        <w:tc>
          <w:tcPr>
            <w:tcW w:w="2900" w:type="dxa"/>
            <w:vAlign w:val="bottom"/>
          </w:tcPr>
          <w:p>
            <w:pPr>
              <w:spacing w:after="0"/>
              <w:rPr>
                <w:sz w:val="22"/>
                <w:szCs w:val="22"/>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be deemed appropriate by the Company to facilitate the administration of the Plan.</w:t>
            </w:r>
          </w:p>
        </w:tc>
        <w:tc>
          <w:tcPr>
            <w:tcW w:w="0" w:type="dxa"/>
            <w:vAlign w:val="bottom"/>
          </w:tcPr>
          <w:p>
            <w:pPr>
              <w:spacing w:after="0"/>
              <w:rPr>
                <w:sz w:val="1"/>
                <w:szCs w:val="1"/>
                <w:color w:val="auto"/>
              </w:rPr>
            </w:pPr>
          </w:p>
        </w:tc>
      </w:tr>
      <w:tr>
        <w:trPr>
          <w:trHeight w:val="318"/>
        </w:trPr>
        <w:tc>
          <w:tcPr>
            <w:tcW w:w="2900" w:type="dxa"/>
            <w:vAlign w:val="bottom"/>
          </w:tcPr>
          <w:p>
            <w:pPr>
              <w:spacing w:after="0"/>
              <w:rPr>
                <w:sz w:val="24"/>
                <w:szCs w:val="24"/>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By accepting this grant of RSUs, you give explicit consent to the Company to process any such</w:t>
            </w: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8240" w:type="dxa"/>
            <w:vAlign w:val="bottom"/>
          </w:tcPr>
          <w:p>
            <w:pPr>
              <w:ind w:left="380"/>
              <w:spacing w:after="0" w:line="193" w:lineRule="exact"/>
              <w:rPr>
                <w:sz w:val="20"/>
                <w:szCs w:val="20"/>
                <w:color w:val="auto"/>
              </w:rPr>
            </w:pPr>
            <w:r>
              <w:rPr>
                <w:rFonts w:ascii="Times New Roman" w:cs="Times New Roman" w:eastAsia="Times New Roman" w:hAnsi="Times New Roman"/>
                <w:sz w:val="20"/>
                <w:szCs w:val="20"/>
                <w:color w:val="auto"/>
              </w:rPr>
              <w:t>personal data. You also give explicit consent to the Company to transfer any such personal data</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40" w:type="dxa"/>
            <w:vAlign w:val="bottom"/>
          </w:tcPr>
          <w:p>
            <w:pPr>
              <w:ind w:left="380"/>
              <w:spacing w:after="0" w:line="203" w:lineRule="exact"/>
              <w:rPr>
                <w:sz w:val="20"/>
                <w:szCs w:val="20"/>
                <w:color w:val="auto"/>
              </w:rPr>
            </w:pPr>
            <w:r>
              <w:rPr>
                <w:rFonts w:ascii="Times New Roman" w:cs="Times New Roman" w:eastAsia="Times New Roman" w:hAnsi="Times New Roman"/>
                <w:sz w:val="20"/>
                <w:szCs w:val="20"/>
                <w:color w:val="auto"/>
              </w:rPr>
              <w:t>outside the country in which you work or are employed, including, with respect to non-U.S.</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8240" w:type="dxa"/>
            <w:vAlign w:val="bottom"/>
          </w:tcPr>
          <w:p>
            <w:pPr>
              <w:ind w:left="380"/>
              <w:spacing w:after="0" w:line="198" w:lineRule="exact"/>
              <w:rPr>
                <w:sz w:val="20"/>
                <w:szCs w:val="20"/>
                <w:color w:val="auto"/>
              </w:rPr>
            </w:pPr>
            <w:r>
              <w:rPr>
                <w:rFonts w:ascii="Times New Roman" w:cs="Times New Roman" w:eastAsia="Times New Roman" w:hAnsi="Times New Roman"/>
                <w:sz w:val="20"/>
                <w:szCs w:val="20"/>
                <w:color w:val="auto"/>
              </w:rPr>
              <w:t>resident grantees, to the United States, to transferees who shall include the Company and other</w:t>
            </w:r>
          </w:p>
        </w:tc>
        <w:tc>
          <w:tcPr>
            <w:tcW w:w="0" w:type="dxa"/>
            <w:vAlign w:val="bottom"/>
          </w:tcPr>
          <w:p>
            <w:pPr>
              <w:spacing w:after="0"/>
              <w:rPr>
                <w:sz w:val="1"/>
                <w:szCs w:val="1"/>
                <w:color w:val="auto"/>
              </w:rPr>
            </w:pPr>
          </w:p>
        </w:tc>
      </w:tr>
      <w:tr>
        <w:trPr>
          <w:trHeight w:val="258"/>
        </w:trPr>
        <w:tc>
          <w:tcPr>
            <w:tcW w:w="2900" w:type="dxa"/>
            <w:vAlign w:val="bottom"/>
          </w:tcPr>
          <w:p>
            <w:pPr>
              <w:spacing w:after="0"/>
              <w:rPr>
                <w:sz w:val="22"/>
                <w:szCs w:val="22"/>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persons who are designated by the Company to administer the Plan.</w:t>
            </w:r>
          </w:p>
        </w:tc>
        <w:tc>
          <w:tcPr>
            <w:tcW w:w="0" w:type="dxa"/>
            <w:vAlign w:val="bottom"/>
          </w:tcPr>
          <w:p>
            <w:pPr>
              <w:spacing w:after="0"/>
              <w:rPr>
                <w:sz w:val="1"/>
                <w:szCs w:val="1"/>
                <w:color w:val="auto"/>
              </w:rPr>
            </w:pPr>
          </w:p>
        </w:tc>
      </w:tr>
      <w:tr>
        <w:trPr>
          <w:trHeight w:val="407"/>
        </w:trPr>
        <w:tc>
          <w:tcPr>
            <w:tcW w:w="2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Consent to Electronic Delivery</w:t>
            </w: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By accepting this grant of RSUs, you consent to receive documents related to the RSUs by</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8240" w:type="dxa"/>
            <w:vAlign w:val="bottom"/>
          </w:tcPr>
          <w:p>
            <w:pPr>
              <w:ind w:left="380"/>
              <w:spacing w:after="0" w:line="198" w:lineRule="exact"/>
              <w:rPr>
                <w:sz w:val="20"/>
                <w:szCs w:val="20"/>
                <w:color w:val="auto"/>
              </w:rPr>
            </w:pPr>
            <w:r>
              <w:rPr>
                <w:rFonts w:ascii="Times New Roman" w:cs="Times New Roman" w:eastAsia="Times New Roman" w:hAnsi="Times New Roman"/>
                <w:sz w:val="20"/>
                <w:szCs w:val="20"/>
                <w:color w:val="auto"/>
              </w:rPr>
              <w:t>electronic delivery (including e-mail or reference to a website or other URL) and, if requested,</w:t>
            </w: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8240" w:type="dxa"/>
            <w:vAlign w:val="bottom"/>
          </w:tcPr>
          <w:p>
            <w:pPr>
              <w:ind w:left="380"/>
              <w:spacing w:after="0" w:line="193" w:lineRule="exact"/>
              <w:rPr>
                <w:sz w:val="20"/>
                <w:szCs w:val="20"/>
                <w:color w:val="auto"/>
              </w:rPr>
            </w:pPr>
            <w:r>
              <w:rPr>
                <w:rFonts w:ascii="Times New Roman" w:cs="Times New Roman" w:eastAsia="Times New Roman" w:hAnsi="Times New Roman"/>
                <w:sz w:val="20"/>
                <w:szCs w:val="20"/>
                <w:color w:val="auto"/>
                <w:w w:val="99"/>
              </w:rPr>
              <w:t>agree to participate in the Plan through an on-line or electronic system established and maintained</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40" w:type="dxa"/>
            <w:vAlign w:val="bottom"/>
          </w:tcPr>
          <w:p>
            <w:pPr>
              <w:ind w:left="380"/>
              <w:spacing w:after="0" w:line="203" w:lineRule="exact"/>
              <w:rPr>
                <w:sz w:val="20"/>
                <w:szCs w:val="20"/>
                <w:color w:val="auto"/>
              </w:rPr>
            </w:pPr>
            <w:r>
              <w:rPr>
                <w:rFonts w:ascii="Times New Roman" w:cs="Times New Roman" w:eastAsia="Times New Roman" w:hAnsi="Times New Roman"/>
                <w:sz w:val="20"/>
                <w:szCs w:val="20"/>
                <w:color w:val="auto"/>
                <w:w w:val="99"/>
              </w:rPr>
              <w:t>by the Company or another third party designated by the Company, and your consent shall remain</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8240" w:type="dxa"/>
            <w:vAlign w:val="bottom"/>
          </w:tcPr>
          <w:p>
            <w:pPr>
              <w:ind w:left="380"/>
              <w:spacing w:after="0" w:line="198" w:lineRule="exact"/>
              <w:rPr>
                <w:sz w:val="20"/>
                <w:szCs w:val="20"/>
                <w:color w:val="auto"/>
              </w:rPr>
            </w:pPr>
            <w:r>
              <w:rPr>
                <w:rFonts w:ascii="Times New Roman" w:cs="Times New Roman" w:eastAsia="Times New Roman" w:hAnsi="Times New Roman"/>
                <w:sz w:val="20"/>
                <w:szCs w:val="20"/>
                <w:color w:val="auto"/>
              </w:rPr>
              <w:t>in effect throughout your term of Service and thereafter until you withdraw such consent in</w:t>
            </w:r>
          </w:p>
        </w:tc>
        <w:tc>
          <w:tcPr>
            <w:tcW w:w="0" w:type="dxa"/>
            <w:vAlign w:val="bottom"/>
          </w:tcPr>
          <w:p>
            <w:pPr>
              <w:spacing w:after="0"/>
              <w:rPr>
                <w:sz w:val="1"/>
                <w:szCs w:val="1"/>
                <w:color w:val="auto"/>
              </w:rPr>
            </w:pPr>
          </w:p>
        </w:tc>
      </w:tr>
      <w:tr>
        <w:trPr>
          <w:trHeight w:val="258"/>
        </w:trPr>
        <w:tc>
          <w:tcPr>
            <w:tcW w:w="2900" w:type="dxa"/>
            <w:vAlign w:val="bottom"/>
          </w:tcPr>
          <w:p>
            <w:pPr>
              <w:spacing w:after="0"/>
              <w:rPr>
                <w:sz w:val="22"/>
                <w:szCs w:val="22"/>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writing to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400" w:top="1426"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Code Section 409A</w:t>
            </w:r>
          </w:p>
        </w:tc>
        <w:tc>
          <w:tcPr>
            <w:tcW w:w="8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rPr>
              <w:t>The RSUs are intended to be exempt from, Code Section 409A except to the extent subject</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560" w:type="dxa"/>
            <w:vAlign w:val="bottom"/>
          </w:tcPr>
          <w:p>
            <w:pPr>
              <w:jc w:val="center"/>
              <w:ind w:left="541"/>
              <w:spacing w:after="0" w:line="198" w:lineRule="exact"/>
              <w:rPr>
                <w:sz w:val="20"/>
                <w:szCs w:val="20"/>
                <w:color w:val="auto"/>
              </w:rPr>
            </w:pPr>
            <w:r>
              <w:rPr>
                <w:rFonts w:ascii="Times New Roman" w:cs="Times New Roman" w:eastAsia="Times New Roman" w:hAnsi="Times New Roman"/>
                <w:sz w:val="20"/>
                <w:szCs w:val="20"/>
                <w:color w:val="auto"/>
              </w:rPr>
              <w:t>thereto, in which case the RSUs are intended to comply with Code 409A, and, accordingly, to the</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8560" w:type="dxa"/>
            <w:vAlign w:val="bottom"/>
          </w:tcPr>
          <w:p>
            <w:pPr>
              <w:jc w:val="center"/>
              <w:ind w:left="561"/>
              <w:spacing w:after="0" w:line="193" w:lineRule="exact"/>
              <w:rPr>
                <w:sz w:val="20"/>
                <w:szCs w:val="20"/>
                <w:color w:val="auto"/>
              </w:rPr>
            </w:pPr>
            <w:r>
              <w:rPr>
                <w:rFonts w:ascii="Times New Roman" w:cs="Times New Roman" w:eastAsia="Times New Roman" w:hAnsi="Times New Roman"/>
                <w:sz w:val="20"/>
                <w:szCs w:val="20"/>
                <w:color w:val="auto"/>
              </w:rPr>
              <w:t>maximum extent permitted, this Agreement will be interpreted and administered to be in</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8560" w:type="dxa"/>
            <w:vAlign w:val="bottom"/>
          </w:tcPr>
          <w:p>
            <w:pPr>
              <w:jc w:val="center"/>
              <w:ind w:left="561"/>
              <w:spacing w:after="0" w:line="203" w:lineRule="exact"/>
              <w:rPr>
                <w:sz w:val="20"/>
                <w:szCs w:val="20"/>
                <w:color w:val="auto"/>
              </w:rPr>
            </w:pPr>
            <w:r>
              <w:rPr>
                <w:rFonts w:ascii="Times New Roman" w:cs="Times New Roman" w:eastAsia="Times New Roman" w:hAnsi="Times New Roman"/>
                <w:sz w:val="20"/>
                <w:szCs w:val="20"/>
                <w:color w:val="auto"/>
              </w:rPr>
              <w:t>compliance with Code Section 409A. Notwithstanding anything to the contrary in the Plan or this</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560" w:type="dxa"/>
            <w:vAlign w:val="bottom"/>
          </w:tcPr>
          <w:p>
            <w:pPr>
              <w:jc w:val="center"/>
              <w:ind w:left="561"/>
              <w:spacing w:after="0" w:line="198" w:lineRule="exact"/>
              <w:rPr>
                <w:sz w:val="20"/>
                <w:szCs w:val="20"/>
                <w:color w:val="auto"/>
              </w:rPr>
            </w:pPr>
            <w:r>
              <w:rPr>
                <w:rFonts w:ascii="Times New Roman" w:cs="Times New Roman" w:eastAsia="Times New Roman" w:hAnsi="Times New Roman"/>
                <w:sz w:val="20"/>
                <w:szCs w:val="20"/>
                <w:color w:val="auto"/>
                <w:w w:val="99"/>
              </w:rPr>
              <w:t>Agreement, neither the Company, any subsidiaries of the Company, the Board, nor the Committee</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8560" w:type="dxa"/>
            <w:vAlign w:val="bottom"/>
          </w:tcPr>
          <w:p>
            <w:pPr>
              <w:jc w:val="center"/>
              <w:ind w:left="541"/>
              <w:spacing w:after="0" w:line="193" w:lineRule="exact"/>
              <w:rPr>
                <w:sz w:val="20"/>
                <w:szCs w:val="20"/>
                <w:color w:val="auto"/>
              </w:rPr>
            </w:pPr>
            <w:r>
              <w:rPr>
                <w:rFonts w:ascii="Times New Roman" w:cs="Times New Roman" w:eastAsia="Times New Roman" w:hAnsi="Times New Roman"/>
                <w:sz w:val="20"/>
                <w:szCs w:val="20"/>
                <w:color w:val="auto"/>
              </w:rPr>
              <w:t>will have any obligation to take any action to prevent the assessment of any excise tax or penalty</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8560" w:type="dxa"/>
            <w:vAlign w:val="bottom"/>
          </w:tcPr>
          <w:p>
            <w:pPr>
              <w:jc w:val="center"/>
              <w:ind w:left="541"/>
              <w:spacing w:after="0" w:line="203" w:lineRule="exact"/>
              <w:rPr>
                <w:sz w:val="20"/>
                <w:szCs w:val="20"/>
                <w:color w:val="auto"/>
              </w:rPr>
            </w:pPr>
            <w:r>
              <w:rPr>
                <w:rFonts w:ascii="Times New Roman" w:cs="Times New Roman" w:eastAsia="Times New Roman" w:hAnsi="Times New Roman"/>
                <w:sz w:val="20"/>
                <w:szCs w:val="20"/>
                <w:color w:val="auto"/>
                <w:w w:val="99"/>
              </w:rPr>
              <w:t>on you under Code Section 409A, and neither the Company, any subsidiaries of the Company, the</w:t>
            </w:r>
          </w:p>
        </w:tc>
        <w:tc>
          <w:tcPr>
            <w:tcW w:w="0" w:type="dxa"/>
            <w:vAlign w:val="bottom"/>
          </w:tcPr>
          <w:p>
            <w:pPr>
              <w:spacing w:after="0"/>
              <w:rPr>
                <w:sz w:val="1"/>
                <w:szCs w:val="1"/>
                <w:color w:val="auto"/>
              </w:rPr>
            </w:pPr>
          </w:p>
        </w:tc>
      </w:tr>
      <w:tr>
        <w:trPr>
          <w:trHeight w:val="258"/>
        </w:trPr>
        <w:tc>
          <w:tcPr>
            <w:tcW w:w="2580" w:type="dxa"/>
            <w:vAlign w:val="bottom"/>
          </w:tcPr>
          <w:p>
            <w:pPr>
              <w:spacing w:after="0"/>
              <w:rPr>
                <w:sz w:val="22"/>
                <w:szCs w:val="22"/>
                <w:color w:val="auto"/>
              </w:rPr>
            </w:pPr>
          </w:p>
        </w:tc>
        <w:tc>
          <w:tcPr>
            <w:tcW w:w="85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Board, nor the Committee will have any liability to you for such tax or penalty.</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4"/>
                <w:szCs w:val="24"/>
                <w:color w:val="auto"/>
              </w:rPr>
            </w:pPr>
          </w:p>
        </w:tc>
        <w:tc>
          <w:tcPr>
            <w:tcW w:w="8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rPr>
              <w:t>For purposes of this Agreement, a termination of Service only occurs upon an event that</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8560" w:type="dxa"/>
            <w:vAlign w:val="bottom"/>
          </w:tcPr>
          <w:p>
            <w:pPr>
              <w:jc w:val="center"/>
              <w:ind w:left="541"/>
              <w:spacing w:after="0" w:line="193" w:lineRule="exact"/>
              <w:rPr>
                <w:sz w:val="20"/>
                <w:szCs w:val="20"/>
                <w:color w:val="auto"/>
              </w:rPr>
            </w:pPr>
            <w:r>
              <w:rPr>
                <w:rFonts w:ascii="Times New Roman" w:cs="Times New Roman" w:eastAsia="Times New Roman" w:hAnsi="Times New Roman"/>
                <w:sz w:val="20"/>
                <w:szCs w:val="20"/>
                <w:color w:val="auto"/>
              </w:rPr>
              <w:t>constitutes a “separation from service” (within the meaning of Code Section 409A and the</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8560" w:type="dxa"/>
            <w:vAlign w:val="bottom"/>
          </w:tcPr>
          <w:p>
            <w:pPr>
              <w:jc w:val="center"/>
              <w:ind w:left="561"/>
              <w:spacing w:after="0" w:line="203" w:lineRule="exact"/>
              <w:rPr>
                <w:sz w:val="20"/>
                <w:szCs w:val="20"/>
                <w:color w:val="auto"/>
              </w:rPr>
            </w:pPr>
            <w:r>
              <w:rPr>
                <w:rFonts w:ascii="Times New Roman" w:cs="Times New Roman" w:eastAsia="Times New Roman" w:hAnsi="Times New Roman"/>
                <w:sz w:val="20"/>
                <w:szCs w:val="20"/>
                <w:color w:val="auto"/>
                <w:w w:val="99"/>
              </w:rPr>
              <w:t>regulations thereunder). Notwithstanding anything in this Agreement to the contrary, if at the time</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560" w:type="dxa"/>
            <w:vAlign w:val="bottom"/>
          </w:tcPr>
          <w:p>
            <w:pPr>
              <w:jc w:val="center"/>
              <w:ind w:left="561"/>
              <w:spacing w:after="0" w:line="198" w:lineRule="exact"/>
              <w:rPr>
                <w:sz w:val="20"/>
                <w:szCs w:val="20"/>
                <w:color w:val="auto"/>
              </w:rPr>
            </w:pPr>
            <w:r>
              <w:rPr>
                <w:rFonts w:ascii="Times New Roman" w:cs="Times New Roman" w:eastAsia="Times New Roman" w:hAnsi="Times New Roman"/>
                <w:sz w:val="20"/>
                <w:szCs w:val="20"/>
                <w:color w:val="auto"/>
              </w:rPr>
              <w:t>of your separation from service, (i) you are a “specified employee” (within the meaning of Code</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8560" w:type="dxa"/>
            <w:vAlign w:val="bottom"/>
          </w:tcPr>
          <w:p>
            <w:pPr>
              <w:jc w:val="center"/>
              <w:ind w:left="541"/>
              <w:spacing w:after="0" w:line="193" w:lineRule="exact"/>
              <w:rPr>
                <w:sz w:val="20"/>
                <w:szCs w:val="20"/>
                <w:color w:val="auto"/>
              </w:rPr>
            </w:pPr>
            <w:r>
              <w:rPr>
                <w:rFonts w:ascii="Times New Roman" w:cs="Times New Roman" w:eastAsia="Times New Roman" w:hAnsi="Times New Roman"/>
                <w:sz w:val="20"/>
                <w:szCs w:val="20"/>
                <w:color w:val="auto"/>
                <w:w w:val="98"/>
              </w:rPr>
              <w:t>Section 409A and the regulations thereunder, and using the identification methodology selected by</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8560" w:type="dxa"/>
            <w:vAlign w:val="bottom"/>
          </w:tcPr>
          <w:p>
            <w:pPr>
              <w:jc w:val="center"/>
              <w:ind w:left="541"/>
              <w:spacing w:after="0" w:line="203" w:lineRule="exact"/>
              <w:rPr>
                <w:sz w:val="20"/>
                <w:szCs w:val="20"/>
                <w:color w:val="auto"/>
              </w:rPr>
            </w:pPr>
            <w:r>
              <w:rPr>
                <w:rFonts w:ascii="Times New Roman" w:cs="Times New Roman" w:eastAsia="Times New Roman" w:hAnsi="Times New Roman"/>
                <w:sz w:val="20"/>
                <w:szCs w:val="20"/>
                <w:color w:val="auto"/>
              </w:rPr>
              <w:t>the Company from time to time), and (ii) the Company makes a good faith determination that an</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560" w:type="dxa"/>
            <w:vAlign w:val="bottom"/>
          </w:tcPr>
          <w:p>
            <w:pPr>
              <w:jc w:val="center"/>
              <w:ind w:left="561"/>
              <w:spacing w:after="0" w:line="198" w:lineRule="exact"/>
              <w:rPr>
                <w:sz w:val="20"/>
                <w:szCs w:val="20"/>
                <w:color w:val="auto"/>
              </w:rPr>
            </w:pPr>
            <w:r>
              <w:rPr>
                <w:rFonts w:ascii="Times New Roman" w:cs="Times New Roman" w:eastAsia="Times New Roman" w:hAnsi="Times New Roman"/>
                <w:sz w:val="20"/>
                <w:szCs w:val="20"/>
                <w:color w:val="auto"/>
              </w:rPr>
              <w:t>amount payable to you on account of such separation from service constitutes deferred</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8560" w:type="dxa"/>
            <w:vAlign w:val="bottom"/>
          </w:tcPr>
          <w:p>
            <w:pPr>
              <w:jc w:val="center"/>
              <w:ind w:left="561"/>
              <w:spacing w:after="0" w:line="193" w:lineRule="exact"/>
              <w:rPr>
                <w:sz w:val="20"/>
                <w:szCs w:val="20"/>
                <w:color w:val="auto"/>
              </w:rPr>
            </w:pPr>
            <w:r>
              <w:rPr>
                <w:rFonts w:ascii="Times New Roman" w:cs="Times New Roman" w:eastAsia="Times New Roman" w:hAnsi="Times New Roman"/>
                <w:sz w:val="20"/>
                <w:szCs w:val="20"/>
                <w:color w:val="auto"/>
              </w:rPr>
              <w:t>compensation (within the meaning of Code Section 409A) the payment of which is required to be</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560" w:type="dxa"/>
            <w:vAlign w:val="bottom"/>
          </w:tcPr>
          <w:p>
            <w:pPr>
              <w:jc w:val="center"/>
              <w:ind w:left="541"/>
              <w:spacing w:after="0" w:line="198" w:lineRule="exact"/>
              <w:rPr>
                <w:sz w:val="20"/>
                <w:szCs w:val="20"/>
                <w:color w:val="auto"/>
              </w:rPr>
            </w:pPr>
            <w:r>
              <w:rPr>
                <w:rFonts w:ascii="Times New Roman" w:cs="Times New Roman" w:eastAsia="Times New Roman" w:hAnsi="Times New Roman"/>
                <w:sz w:val="20"/>
                <w:szCs w:val="20"/>
                <w:color w:val="auto"/>
              </w:rPr>
              <w:t>delayed pursuant to the six (6)-month delay rule set forth in Code Section 409A in order to avoid</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8560" w:type="dxa"/>
            <w:vAlign w:val="bottom"/>
          </w:tcPr>
          <w:p>
            <w:pPr>
              <w:jc w:val="center"/>
              <w:ind w:left="541"/>
              <w:spacing w:after="0" w:line="193" w:lineRule="exact"/>
              <w:rPr>
                <w:sz w:val="20"/>
                <w:szCs w:val="20"/>
                <w:color w:val="auto"/>
              </w:rPr>
            </w:pPr>
            <w:r>
              <w:rPr>
                <w:rFonts w:ascii="Times New Roman" w:cs="Times New Roman" w:eastAsia="Times New Roman" w:hAnsi="Times New Roman"/>
                <w:sz w:val="20"/>
                <w:szCs w:val="20"/>
                <w:color w:val="auto"/>
              </w:rPr>
              <w:t>taxes or penalties under Section 409A (the “</w:t>
            </w:r>
            <w:r>
              <w:rPr>
                <w:rFonts w:ascii="Times New Roman" w:cs="Times New Roman" w:eastAsia="Times New Roman" w:hAnsi="Times New Roman"/>
                <w:sz w:val="20"/>
                <w:szCs w:val="20"/>
                <w:b w:val="1"/>
                <w:bCs w:val="1"/>
                <w:color w:val="auto"/>
              </w:rPr>
              <w:t>Delay Period</w:t>
            </w:r>
            <w:r>
              <w:rPr>
                <w:rFonts w:ascii="Times New Roman" w:cs="Times New Roman" w:eastAsia="Times New Roman" w:hAnsi="Times New Roman"/>
                <w:sz w:val="20"/>
                <w:szCs w:val="20"/>
                <w:color w:val="auto"/>
              </w:rPr>
              <w:t>”), then the Company will not pay such</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8560" w:type="dxa"/>
            <w:vAlign w:val="bottom"/>
          </w:tcPr>
          <w:p>
            <w:pPr>
              <w:jc w:val="center"/>
              <w:ind w:left="561"/>
              <w:spacing w:after="0" w:line="203" w:lineRule="exact"/>
              <w:rPr>
                <w:sz w:val="20"/>
                <w:szCs w:val="20"/>
                <w:color w:val="auto"/>
              </w:rPr>
            </w:pPr>
            <w:r>
              <w:rPr>
                <w:rFonts w:ascii="Times New Roman" w:cs="Times New Roman" w:eastAsia="Times New Roman" w:hAnsi="Times New Roman"/>
                <w:sz w:val="20"/>
                <w:szCs w:val="20"/>
                <w:color w:val="auto"/>
                <w:w w:val="99"/>
              </w:rPr>
              <w:t>amount on the otherwise scheduled payment date but will instead pay it in a lump sum on the first</w:t>
            </w:r>
          </w:p>
        </w:tc>
        <w:tc>
          <w:tcPr>
            <w:tcW w:w="0" w:type="dxa"/>
            <w:vAlign w:val="bottom"/>
          </w:tcPr>
          <w:p>
            <w:pPr>
              <w:spacing w:after="0"/>
              <w:rPr>
                <w:sz w:val="1"/>
                <w:szCs w:val="1"/>
                <w:color w:val="auto"/>
              </w:rPr>
            </w:pPr>
          </w:p>
        </w:tc>
      </w:tr>
      <w:tr>
        <w:trPr>
          <w:trHeight w:val="258"/>
        </w:trPr>
        <w:tc>
          <w:tcPr>
            <w:tcW w:w="2580" w:type="dxa"/>
            <w:vAlign w:val="bottom"/>
          </w:tcPr>
          <w:p>
            <w:pPr>
              <w:spacing w:after="0"/>
              <w:rPr>
                <w:sz w:val="22"/>
                <w:szCs w:val="22"/>
                <w:color w:val="auto"/>
              </w:rPr>
            </w:pPr>
          </w:p>
        </w:tc>
        <w:tc>
          <w:tcPr>
            <w:tcW w:w="85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payroll date after such Delay Period (or upon your death, if earlier), without interest thereupon.</w:t>
            </w:r>
          </w:p>
        </w:tc>
        <w:tc>
          <w:tcPr>
            <w:tcW w:w="0" w:type="dxa"/>
            <w:vAlign w:val="bottom"/>
          </w:tcPr>
          <w:p>
            <w:pPr>
              <w:spacing w:after="0"/>
              <w:rPr>
                <w:sz w:val="1"/>
                <w:szCs w:val="1"/>
                <w:color w:val="auto"/>
              </w:rPr>
            </w:pPr>
          </w:p>
        </w:tc>
      </w:tr>
      <w:tr>
        <w:trPr>
          <w:trHeight w:val="376"/>
        </w:trPr>
        <w:tc>
          <w:tcPr>
            <w:tcW w:w="2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Successors and Assigns</w:t>
            </w:r>
          </w:p>
        </w:tc>
        <w:tc>
          <w:tcPr>
            <w:tcW w:w="8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rPr>
              <w:t>This Agreement shall inure to the successors and assigns of the parties; provided, however, that</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560" w:type="dxa"/>
            <w:vAlign w:val="bottom"/>
          </w:tcPr>
          <w:p>
            <w:pPr>
              <w:jc w:val="center"/>
              <w:ind w:left="541"/>
              <w:spacing w:after="0" w:line="198" w:lineRule="exact"/>
              <w:rPr>
                <w:sz w:val="20"/>
                <w:szCs w:val="20"/>
                <w:color w:val="auto"/>
              </w:rPr>
            </w:pPr>
            <w:r>
              <w:rPr>
                <w:rFonts w:ascii="Times New Roman" w:cs="Times New Roman" w:eastAsia="Times New Roman" w:hAnsi="Times New Roman"/>
                <w:sz w:val="20"/>
                <w:szCs w:val="20"/>
                <w:color w:val="auto"/>
              </w:rPr>
              <w:t>neither this Agreement nor any rights hereunder may be assigned by you, except to the extent</w:t>
            </w:r>
          </w:p>
        </w:tc>
        <w:tc>
          <w:tcPr>
            <w:tcW w:w="0" w:type="dxa"/>
            <w:vAlign w:val="bottom"/>
          </w:tcPr>
          <w:p>
            <w:pPr>
              <w:spacing w:after="0"/>
              <w:rPr>
                <w:sz w:val="1"/>
                <w:szCs w:val="1"/>
                <w:color w:val="auto"/>
              </w:rPr>
            </w:pPr>
          </w:p>
        </w:tc>
      </w:tr>
      <w:tr>
        <w:trPr>
          <w:trHeight w:val="247"/>
        </w:trPr>
        <w:tc>
          <w:tcPr>
            <w:tcW w:w="2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Severability</w:t>
            </w:r>
          </w:p>
        </w:tc>
        <w:tc>
          <w:tcPr>
            <w:tcW w:w="85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expressly permitted herein.</w:t>
            </w:r>
          </w:p>
        </w:tc>
        <w:tc>
          <w:tcPr>
            <w:tcW w:w="0" w:type="dxa"/>
            <w:vAlign w:val="bottom"/>
          </w:tcPr>
          <w:p>
            <w:pPr>
              <w:spacing w:after="0"/>
              <w:rPr>
                <w:sz w:val="1"/>
                <w:szCs w:val="1"/>
                <w:color w:val="auto"/>
              </w:rPr>
            </w:pPr>
          </w:p>
        </w:tc>
      </w:tr>
      <w:tr>
        <w:trPr>
          <w:trHeight w:val="202"/>
        </w:trPr>
        <w:tc>
          <w:tcPr>
            <w:tcW w:w="2580" w:type="dxa"/>
            <w:vAlign w:val="bottom"/>
            <w:vMerge w:val="continue"/>
          </w:tcPr>
          <w:p>
            <w:pPr>
              <w:spacing w:after="0"/>
              <w:rPr>
                <w:sz w:val="17"/>
                <w:szCs w:val="17"/>
                <w:color w:val="auto"/>
              </w:rPr>
            </w:pPr>
          </w:p>
        </w:tc>
        <w:tc>
          <w:tcPr>
            <w:tcW w:w="8560" w:type="dxa"/>
            <w:vAlign w:val="bottom"/>
          </w:tcPr>
          <w:p>
            <w:pPr>
              <w:jc w:val="center"/>
              <w:ind w:left="541"/>
              <w:spacing w:after="0" w:line="203" w:lineRule="exact"/>
              <w:rPr>
                <w:sz w:val="20"/>
                <w:szCs w:val="20"/>
                <w:color w:val="auto"/>
              </w:rPr>
            </w:pPr>
            <w:r>
              <w:rPr>
                <w:rFonts w:ascii="Times New Roman" w:cs="Times New Roman" w:eastAsia="Times New Roman" w:hAnsi="Times New Roman"/>
                <w:sz w:val="20"/>
                <w:szCs w:val="20"/>
                <w:color w:val="auto"/>
              </w:rPr>
              <w:t>If any provision of this Agreement is held invalid or unenforceable by any court of competent</w:t>
            </w: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8560" w:type="dxa"/>
            <w:vAlign w:val="bottom"/>
          </w:tcPr>
          <w:p>
            <w:pPr>
              <w:jc w:val="center"/>
              <w:ind w:left="541"/>
              <w:spacing w:after="0" w:line="198" w:lineRule="exact"/>
              <w:rPr>
                <w:sz w:val="20"/>
                <w:szCs w:val="20"/>
                <w:color w:val="auto"/>
              </w:rPr>
            </w:pPr>
            <w:r>
              <w:rPr>
                <w:rFonts w:ascii="Times New Roman" w:cs="Times New Roman" w:eastAsia="Times New Roman" w:hAnsi="Times New Roman"/>
                <w:sz w:val="20"/>
                <w:szCs w:val="20"/>
                <w:color w:val="auto"/>
              </w:rPr>
              <w:t>jurisdiction, the other provisions of this Agreement will remain in full force and effect. Any</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8560" w:type="dxa"/>
            <w:vAlign w:val="bottom"/>
          </w:tcPr>
          <w:p>
            <w:pPr>
              <w:jc w:val="center"/>
              <w:ind w:left="521"/>
              <w:spacing w:after="0" w:line="193" w:lineRule="exact"/>
              <w:rPr>
                <w:sz w:val="20"/>
                <w:szCs w:val="20"/>
                <w:color w:val="auto"/>
              </w:rPr>
            </w:pPr>
            <w:r>
              <w:rPr>
                <w:rFonts w:ascii="Times New Roman" w:cs="Times New Roman" w:eastAsia="Times New Roman" w:hAnsi="Times New Roman"/>
                <w:sz w:val="20"/>
                <w:szCs w:val="20"/>
                <w:color w:val="auto"/>
                <w:w w:val="99"/>
              </w:rPr>
              <w:t>provision of this Agreement held invalid or unenforceable only in part or degree will remain in full</w:t>
            </w:r>
          </w:p>
        </w:tc>
        <w:tc>
          <w:tcPr>
            <w:tcW w:w="0" w:type="dxa"/>
            <w:vAlign w:val="bottom"/>
          </w:tcPr>
          <w:p>
            <w:pPr>
              <w:spacing w:after="0"/>
              <w:rPr>
                <w:sz w:val="1"/>
                <w:szCs w:val="1"/>
                <w:color w:val="auto"/>
              </w:rPr>
            </w:pPr>
          </w:p>
        </w:tc>
      </w:tr>
      <w:tr>
        <w:trPr>
          <w:trHeight w:val="258"/>
        </w:trPr>
        <w:tc>
          <w:tcPr>
            <w:tcW w:w="2580" w:type="dxa"/>
            <w:vAlign w:val="bottom"/>
          </w:tcPr>
          <w:p>
            <w:pPr>
              <w:spacing w:after="0"/>
              <w:rPr>
                <w:sz w:val="22"/>
                <w:szCs w:val="22"/>
                <w:color w:val="auto"/>
              </w:rPr>
            </w:pPr>
          </w:p>
        </w:tc>
        <w:tc>
          <w:tcPr>
            <w:tcW w:w="85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force and effect to the extent not held invalid or unenforceable.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400" w:top="1426" w:right="35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gridSpan w:val="5"/>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Arbutus Biopharma Corporation</w:t>
            </w:r>
          </w:p>
        </w:tc>
      </w:tr>
      <w:tr>
        <w:trPr>
          <w:trHeight w:val="412"/>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c>
          <w:tcPr>
            <w:tcW w:w="2680" w:type="dxa"/>
            <w:vAlign w:val="bottom"/>
          </w:tcPr>
          <w:p>
            <w:pPr>
              <w:spacing w:after="0"/>
              <w:rPr>
                <w:sz w:val="24"/>
                <w:szCs w:val="24"/>
                <w:color w:val="auto"/>
              </w:rPr>
            </w:pPr>
          </w:p>
        </w:tc>
      </w:tr>
      <w:tr>
        <w:trPr>
          <w:trHeight w:val="398"/>
        </w:trPr>
        <w:tc>
          <w:tcPr>
            <w:tcW w:w="24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60" w:type="dxa"/>
            <w:vAlign w:val="bottom"/>
            <w:tcBorders>
              <w:top w:val="single" w:sz="8" w:color="auto"/>
              <w:bottom w:val="single" w:sz="8" w:color="00000A"/>
            </w:tcBorders>
          </w:tcPr>
          <w:p>
            <w:pPr>
              <w:spacing w:after="0"/>
              <w:rPr>
                <w:sz w:val="24"/>
                <w:szCs w:val="24"/>
                <w:color w:val="auto"/>
              </w:rPr>
            </w:pPr>
          </w:p>
        </w:tc>
        <w:tc>
          <w:tcPr>
            <w:tcW w:w="720" w:type="dxa"/>
            <w:vAlign w:val="bottom"/>
            <w:tcBorders>
              <w:top w:val="single" w:sz="8" w:color="auto"/>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r>
      <w:tr>
        <w:trPr>
          <w:trHeight w:val="223"/>
        </w:trPr>
        <w:tc>
          <w:tcPr>
            <w:tcW w:w="2420" w:type="dxa"/>
            <w:vAlign w:val="bottom"/>
            <w:tcBorders>
              <w:left w:val="single" w:sz="8" w:color="00000A"/>
              <w:bottom w:val="single" w:sz="8" w:color="00000A"/>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7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2680" w:type="dxa"/>
            <w:vAlign w:val="bottom"/>
            <w:tcBorders>
              <w:bottom w:val="single" w:sz="8" w:color="00000A"/>
              <w:right w:val="single" w:sz="8" w:color="00000A"/>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23"/>
        </w:trPr>
        <w:tc>
          <w:tcPr>
            <w:tcW w:w="24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Arbutus Biopharma Inc.</w:t>
            </w:r>
          </w:p>
        </w:tc>
        <w:tc>
          <w:tcPr>
            <w:tcW w:w="2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3940" w:type="dxa"/>
            <w:vAlign w:val="bottom"/>
            <w:tcBorders>
              <w:bottom w:val="single" w:sz="8" w:color="00000A"/>
              <w:right w:val="single" w:sz="8" w:color="00000A"/>
            </w:tcBorders>
            <w:gridSpan w:val="3"/>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bl>
    <w:p>
      <w:pPr>
        <w:sectPr>
          <w:pgSz w:w="11900" w:h="16838" w:orient="portrait"/>
          <w:cols w:equalWidth="0" w:num="1">
            <w:col w:w="10080"/>
          </w:cols>
          <w:pgMar w:left="1440" w:top="441" w:right="37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333-266527) pertaining to the Arbutus Biopharma Corporation 2016 Omnibus Share and Incentive Plan,</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333-260782) pertaining to the offering, issuance and sale of up to (a) $250,000,000 of common shares, preferred shares, warrants, debt securities and units of Arbutus Biopharma Corporation and (b) 38,847,462 common shares offered by the selling shareholder named therein,</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333-248467) pertaining to the offering, issuance and sale of up to $200,000,000 of common shares, preferred shares, warrants, debt securities and units of Arbutus Biopharma Corporation,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333-258494) pertaining to the Arbutus Biopharma Corporation 2016 Omnibus Share and Incentive Plan,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333-239407) pertaining to the Arbutus Biopharma Corporation 2016 Omnibus Share and Incentive Plan and the Arbutus Biopharma Corporation 2020 Employee Stock Purchase Plan,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333-233192) pertaining to the Inducement Stock Option Award of Arbutus Biopharma Corporation,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333-228919) pertaining to the Arbutus Biopharma Corporation 2011 Omnibus Share Compensation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333-212115) pertaining to the Arbutus Biopharma Corporation 2016 Omnibus Share and Incentive Plan,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333-202762) pertaining to the OnCore Biopharma, Inc. 2014 Equity Incentive Plan, and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333-186185) pertaining to the Tekmira 2011 Omnibus Share Compensation Plan, the Tekmira Share Option Plan and the Protiva 2000 Incentive Stock Option Plan,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our report dated March 2, 2023, with respect to the consolidated financial statements of Arbutus Biopharma Corporation included in this Annual Report (Form 10-K) of Arbutus Biopharma Corporation for the year ended December 31,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CERTIFICATION PURSUANT TO RULE 13a-14 AND 15d-14 OF THE SECURITIES</w:t>
      </w:r>
    </w:p>
    <w:p>
      <w:pPr>
        <w:spacing w:after="0" w:line="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 OF THE</w:t>
      </w:r>
    </w:p>
    <w:p>
      <w:pPr>
        <w:spacing w:after="0" w:line="10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Collier, President and Chief Executive Officer of Arbutus Biopharma Corporation, certify that:</w:t>
      </w:r>
    </w:p>
    <w:p>
      <w:pPr>
        <w:spacing w:after="0" w:line="225"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Arbutus Biopharma Corporation;</w:t>
      </w:r>
    </w:p>
    <w:p>
      <w:pPr>
        <w:spacing w:after="0" w:line="90" w:lineRule="exact"/>
        <w:rPr>
          <w:rFonts w:ascii="Times New Roman" w:cs="Times New Roman" w:eastAsia="Times New Roman" w:hAnsi="Times New Roman"/>
          <w:sz w:val="18"/>
          <w:szCs w:val="18"/>
          <w:color w:val="auto"/>
        </w:rPr>
      </w:pPr>
    </w:p>
    <w:p>
      <w:pPr>
        <w:jc w:val="both"/>
        <w:ind w:left="900" w:right="140" w:hanging="325"/>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900" w:right="60" w:hanging="325"/>
        <w:spacing w:after="0" w:line="276" w:lineRule="auto"/>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220" w:right="200" w:hanging="321"/>
        <w:spacing w:after="0" w:line="266" w:lineRule="auto"/>
        <w:tabs>
          <w:tab w:leader="none" w:pos="12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220" w:right="300" w:hanging="321"/>
        <w:spacing w:after="0" w:line="266" w:lineRule="auto"/>
        <w:tabs>
          <w:tab w:leader="none" w:pos="12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220" w:right="240" w:hanging="321"/>
        <w:spacing w:after="0" w:line="282" w:lineRule="auto"/>
        <w:tabs>
          <w:tab w:leader="none" w:pos="12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1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97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Collier</w:t>
      </w:r>
    </w:p>
    <w:p>
      <w:pPr>
        <w:spacing w:after="0" w:line="2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CERTIFICATION PURSUANT TO RULE 13a-14 AND 15d-14 OF THE SECURITIES</w:t>
      </w:r>
    </w:p>
    <w:p>
      <w:pPr>
        <w:spacing w:after="0" w:line="10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 OF THE</w:t>
      </w:r>
    </w:p>
    <w:p>
      <w:pPr>
        <w:spacing w:after="0" w:line="10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Hastings, Chief Financial Officer of Arbutus Biopharma Corporation, certify that:</w:t>
      </w:r>
    </w:p>
    <w:p>
      <w:pPr>
        <w:spacing w:after="0" w:line="104"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Arbutus Biopharma Corporation;</w:t>
      </w:r>
    </w:p>
    <w:p>
      <w:pPr>
        <w:spacing w:after="0" w:line="103" w:lineRule="exact"/>
        <w:rPr>
          <w:rFonts w:ascii="Times New Roman" w:cs="Times New Roman" w:eastAsia="Times New Roman" w:hAnsi="Times New Roman"/>
          <w:sz w:val="18"/>
          <w:szCs w:val="18"/>
          <w:color w:val="auto"/>
        </w:rPr>
      </w:pPr>
    </w:p>
    <w:p>
      <w:pPr>
        <w:jc w:val="both"/>
        <w:ind w:left="900" w:right="140" w:hanging="325"/>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900" w:right="60" w:hanging="325"/>
        <w:spacing w:after="0" w:line="276"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7"/>
          <w:szCs w:val="17"/>
          <w:color w:val="auto"/>
        </w:rPr>
      </w:pPr>
    </w:p>
    <w:p>
      <w:pPr>
        <w:ind w:left="1220" w:right="200" w:hanging="321"/>
        <w:spacing w:after="0" w:line="266" w:lineRule="auto"/>
        <w:tabs>
          <w:tab w:leader="none" w:pos="121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220" w:right="280" w:hanging="321"/>
        <w:spacing w:after="0" w:line="266"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220" w:right="220" w:hanging="321"/>
        <w:spacing w:after="0" w:line="282"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1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97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C. Hastings</w:t>
      </w:r>
    </w:p>
    <w:p>
      <w:pPr>
        <w:spacing w:after="0" w:line="2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0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Arbutus Biopharma Corporation (the “Company”) on Form 10-K for the year ended December 31, 2022, as filed with the Securities and Exchange Commission on the date hereof (the “Report”), I William Collier, President and Chief Executive Officer of the Company, certify that to the best of my knowledge:</w:t>
      </w:r>
    </w:p>
    <w:p>
      <w:pPr>
        <w:spacing w:after="0" w:line="41" w:lineRule="exact"/>
        <w:rPr>
          <w:sz w:val="20"/>
          <w:szCs w:val="20"/>
          <w:color w:val="auto"/>
        </w:rPr>
      </w:pPr>
    </w:p>
    <w:p>
      <w:pPr>
        <w:ind w:left="1220" w:hanging="321"/>
        <w:spacing w:after="0"/>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220" w:right="80" w:hanging="321"/>
        <w:spacing w:after="0" w:line="282" w:lineRule="auto"/>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1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97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Collier</w:t>
      </w:r>
    </w:p>
    <w:p>
      <w:pPr>
        <w:spacing w:after="0" w:line="2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0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Arbutus Biopharma Corporation (the “Company”) on Form 10-K for the year ended December 31, 2022, as filed with the Securities and Exchange Commission on the date hereof (the “Report”), I David C. Hastings, Chief Financial Officer of the Company, certify that to the best of my knowledge:</w:t>
      </w:r>
    </w:p>
    <w:p>
      <w:pPr>
        <w:spacing w:after="0" w:line="41" w:lineRule="exact"/>
        <w:rPr>
          <w:sz w:val="20"/>
          <w:szCs w:val="20"/>
          <w:color w:val="auto"/>
        </w:rPr>
      </w:pPr>
    </w:p>
    <w:p>
      <w:pPr>
        <w:ind w:left="1220" w:hanging="321"/>
        <w:spacing w:after="0"/>
        <w:tabs>
          <w:tab w:leader="none" w:pos="1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220" w:right="80" w:hanging="321"/>
        <w:spacing w:after="0" w:line="282" w:lineRule="auto"/>
        <w:tabs>
          <w:tab w:leader="none" w:pos="1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1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97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C. Hastings</w:t>
      </w:r>
    </w:p>
    <w:p>
      <w:pPr>
        <w:spacing w:after="0" w:line="2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lvl w:ilvl="1">
      <w:lvlJc w:val="left"/>
      <w:lvlText w:val="•"/>
      <w:numFmt w:val="bullet"/>
      <w:start w:val="1"/>
    </w:lvl>
  </w:abstractNum>
  <w:abstractNum w:abstractNumId="12">
    <w:nsid w:val="7C3DBD3D"/>
    <w:multiLevelType w:val="hybridMultilevel"/>
    <w:lvl w:ilvl="0">
      <w:lvlJc w:val="left"/>
      <w:lvlText w:val="(%1)"/>
      <w:numFmt w:val="decimal"/>
      <w:start w:val="2"/>
    </w:lvl>
  </w:abstractNum>
  <w:abstractNum w:abstractNumId="13">
    <w:nsid w:val="737B8DDC"/>
    <w:multiLevelType w:val="hybridMultilevel"/>
    <w:lvl w:ilvl="0">
      <w:lvlJc w:val="left"/>
      <w:lvlText w:val="(%1)"/>
      <w:numFmt w:val="decimal"/>
      <w:start w:val="2"/>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8" Type="http://schemas.openxmlformats.org/officeDocument/2006/relationships/image" Target="media/image108.png"/><Relationship Id="rId144"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15" Type="http://schemas.openxmlformats.org/officeDocument/2006/relationships/hyperlink" Target="http://www.sec.gov/Archives/edgar/data/1447028/000117184315000358/exh_21.htm" TargetMode="External"/><Relationship Id="rId116" Type="http://schemas.openxmlformats.org/officeDocument/2006/relationships/hyperlink" Target="http://www.sec.gov/Archives/edgar/data/1447028/000162828018003276/exhibit31_articlesandartic.htm" TargetMode="External"/><Relationship Id="rId117" Type="http://schemas.openxmlformats.org/officeDocument/2006/relationships/hyperlink" Target="http://www.sec.gov/Archives/edgar/data/1447028/000162828018013909/exhibit31amendmenttoarticl.htm" TargetMode="External"/><Relationship Id="rId118" Type="http://schemas.openxmlformats.org/officeDocument/2006/relationships/hyperlink" Target="http://www.sec.gov/Archives/edgar/data/1447028/000119312512032280/d287955dex42.htm" TargetMode="External"/><Relationship Id="rId119" Type="http://schemas.openxmlformats.org/officeDocument/2006/relationships/hyperlink" Target="http://www.sec.gov/Archives/edgar/data/1447028/000119312511158553/dex41.htm" TargetMode="External"/><Relationship Id="rId120" Type="http://schemas.openxmlformats.org/officeDocument/2006/relationships/hyperlink" Target="http://www.sec.gov/Archives/edgar/data/1447028/000119312511158553/dex421.htm" TargetMode="External"/><Relationship Id="rId121" Type="http://schemas.openxmlformats.org/officeDocument/2006/relationships/hyperlink" Target="http://www.sec.gov/Archives/edgar/data/1447028/000144702822000019/exhibit104-arbutusindemnit.htm" TargetMode="External"/><Relationship Id="rId122" Type="http://schemas.openxmlformats.org/officeDocument/2006/relationships/hyperlink" Target="http://www.sec.gov/Archives/edgar/data/1447028/000119312511158553/dex417.htm" TargetMode="External"/><Relationship Id="rId123" Type="http://schemas.openxmlformats.org/officeDocument/2006/relationships/hyperlink" Target="http://www.sec.gov/Archives/edgar/data/1447028/000119312511158553/dex418.htm" TargetMode="External"/><Relationship Id="rId124" Type="http://schemas.openxmlformats.org/officeDocument/2006/relationships/hyperlink" Target="http://www.sec.gov/Archives/edgar/data/1447028/000119312511158553/dex419.htm" TargetMode="External"/><Relationship Id="rId125" Type="http://schemas.openxmlformats.org/officeDocument/2006/relationships/hyperlink" Target="http://www.sec.gov/Archives/edgar/data/1447028/000119312511158553/dex420.htm" TargetMode="External"/><Relationship Id="rId126" Type="http://schemas.openxmlformats.org/officeDocument/2006/relationships/hyperlink" Target="http://www.sec.gov/Archives/edgar/data/1447028/000119312512134709/d320832dex425.htm" TargetMode="External"/><Relationship Id="rId127" Type="http://schemas.openxmlformats.org/officeDocument/2006/relationships/hyperlink" Target="http://www.sec.gov/Archives/edgar/data/1447028/000119312513129590/d508557dex426.htm" TargetMode="External"/><Relationship Id="rId129" Type="http://schemas.openxmlformats.org/officeDocument/2006/relationships/hyperlink" Target="http://www.sec.gov/Archives/edgar/data/1447028/000119312513129590/d508557dex427.htm" TargetMode="External"/><Relationship Id="rId130" Type="http://schemas.openxmlformats.org/officeDocument/2006/relationships/hyperlink" Target="http://www.sec.gov/Archives/edgar/data/1447028/000162828016012462/exhibit1078lizhowardea.htm" TargetMode="External"/><Relationship Id="rId131" Type="http://schemas.openxmlformats.org/officeDocument/2006/relationships/hyperlink" Target="http://www.sec.gov/Archives/edgar/data/1447028/000106299315005809/exhibit10-3.htm" TargetMode="External"/><Relationship Id="rId132" Type="http://schemas.openxmlformats.org/officeDocument/2006/relationships/hyperlink" Target="http://www.sec.gov/Archives/edgar/data/1447028/000117184315002592/exh_103.htm" TargetMode="External"/><Relationship Id="rId133" Type="http://schemas.openxmlformats.org/officeDocument/2006/relationships/hyperlink" Target="http://www.sec.gov/Archives/edgar/data/1447028/000117184315004476/exh_108.htm" TargetMode="External"/><Relationship Id="rId134" Type="http://schemas.openxmlformats.org/officeDocument/2006/relationships/hyperlink" Target="http://www.sec.gov/Archives/edgar/data/1447028/000162828016018534/exhibit101q22016.htm" TargetMode="External"/><Relationship Id="rId135" Type="http://schemas.openxmlformats.org/officeDocument/2006/relationships/hyperlink" Target="http://www.sec.gov/Archives/edgar/data/1447028/000162828016020766/exhibit101q32016.htm" TargetMode="External"/><Relationship Id="rId136" Type="http://schemas.openxmlformats.org/officeDocument/2006/relationships/hyperlink" Target="http://www.sec.gov/Archives/edgar/data/1447028/000162828016020766/exhibit102q32016.htm" TargetMode="External"/><Relationship Id="rId137" Type="http://schemas.openxmlformats.org/officeDocument/2006/relationships/hyperlink" Target="http://www.sec.gov/Archives/edgar/data/1447028/000162828016020766/exhibit103q32016.htm" TargetMode="External"/><Relationship Id="rId138" Type="http://schemas.openxmlformats.org/officeDocument/2006/relationships/hyperlink" Target="http://www.sec.gov/Archives/edgar/data/1447028/000162828018005886/exhibit101genevantmasterag.htm" TargetMode="External"/><Relationship Id="rId139" Type="http://schemas.openxmlformats.org/officeDocument/2006/relationships/hyperlink" Target="http://www.sec.gov/Archives/edgar/data/1447028/000110465918074112/a18-41890_1ex1d1.htm" TargetMode="External"/><Relationship Id="rId140" Type="http://schemas.openxmlformats.org/officeDocument/2006/relationships/hyperlink" Target="http://www.sec.gov/Archives/edgar/data/1447028/000144702819000078/a13atmamend1tosa.htm" TargetMode="External"/><Relationship Id="rId141" Type="http://schemas.openxmlformats.org/officeDocument/2006/relationships/hyperlink" Target="http://www.sec.gov/Archives/edgar/data/1447028/000144702820000126/a2020-08x75mmatm8kex11.htm" TargetMode="External"/><Relationship Id="rId142" Type="http://schemas.openxmlformats.org/officeDocument/2006/relationships/hyperlink" Target="http://www.sec.gov/Archives/edgar/data/1447028/000110465921032191/tm218604d2_ex10-1.htm" TargetMode="External"/><Relationship Id="rId143" Type="http://schemas.openxmlformats.org/officeDocument/2006/relationships/hyperlink" Target="http://www.sec.gov/Archives/edgar/data/1447028/000144702819000006/exhibit1052execagreemtdhast.htm" TargetMode="External"/><Relationship Id="rId145" Type="http://schemas.openxmlformats.org/officeDocument/2006/relationships/hyperlink" Target="http://www.sec.gov/Archives/edgar/data/1447028/000117184319004042/exh_103.htm" TargetMode="External"/><Relationship Id="rId146" Type="http://schemas.openxmlformats.org/officeDocument/2006/relationships/hyperlink" Target="http://www.sec.gov/Archives/edgar/data/1447028/000144702819000025/exhibit105mcelhaughexeceea.htm" TargetMode="External"/><Relationship Id="rId147" Type="http://schemas.openxmlformats.org/officeDocument/2006/relationships/hyperlink" Target="http://www.sec.gov/Archives/edgar/data/1447028/000144702819000025/exhibit201redactedroyaltym.htm" TargetMode="External"/><Relationship Id="rId148" Type="http://schemas.openxmlformats.org/officeDocument/2006/relationships/hyperlink" Target="http://www.sec.gov/Archives/edgar/data/1447028/000144702820000071/a612020ex102.htm" TargetMode="External"/><Relationship Id="rId149" Type="http://schemas.openxmlformats.org/officeDocument/2006/relationships/hyperlink" Target="http://www.sec.gov/Archives/edgar/data/1447028/000144702819000025/exhibit20-3revised2016plan.htm" TargetMode="External"/><Relationship Id="rId150" Type="http://schemas.openxmlformats.org/officeDocument/2006/relationships/hyperlink" Target="http://www.sec.gov/Archives/edgar/data/1447028/000144702819000025/exhibit109collieroptionagr.htm" TargetMode="External"/><Relationship Id="rId151" Type="http://schemas.openxmlformats.org/officeDocument/2006/relationships/hyperlink" Target="http://www.sec.gov/Archives/edgar/data/1447028/000144702820000118/a2020-q210xqex103cross.htm" TargetMode="External"/><Relationship Id="rId152" Type="http://schemas.openxmlformats.org/officeDocument/2006/relationships/hyperlink" Target="http://www.sec.gov/Archives/edgar/data/1447028/000144702820000118/a2020-q210xqex1041stam.htm" TargetMode="External"/><Relationship Id="rId153" Type="http://schemas.openxmlformats.org/officeDocument/2006/relationships/hyperlink" Target="http://www.sec.gov/Archives/edgar/data/1447028/000144702820000118/a2020-q210xqex105secon.htm" TargetMode="External"/><Relationship Id="rId154" Type="http://schemas.openxmlformats.org/officeDocument/2006/relationships/hyperlink" Target="http://www.sec.gov/Archives/edgar/data/1447028/000144702821000072/a2021-12x8xkxgenevantex.htm" TargetMode="External"/><Relationship Id="rId155" Type="http://schemas.openxmlformats.org/officeDocument/2006/relationships/hyperlink" Target="http://www.sec.gov/Archives/edgar/data/1447028/000144702822000019/exhibit1041qilulicenseagre.htm" TargetMode="External"/><Relationship Id="rId156" Type="http://schemas.openxmlformats.org/officeDocument/2006/relationships/hyperlink" Target="http://www.sec.gov/Archives/edgar/data/1447028/000144702822000041/omnibusplan2016wamend4.htm" TargetMode="External"/><Relationship Id="rId157" Type="http://schemas.openxmlformats.org/officeDocument/2006/relationships/hyperlink" Target="http://www.sec.gov/Archives/edgar/data/1447028/000144702822000051/ex101-thirdamendmenttoex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2023-03-02T17:36:16Z</dcterms:created>
  <dcterms:modified xsi:type="dcterms:W3CDTF">2023-03-02T17:36:16Z</dcterms:modified>
</cp:coreProperties>
</file>