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7"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2021</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4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5" w:lineRule="exact"/>
        <w:rPr>
          <w:sz w:val="24"/>
          <w:szCs w:val="24"/>
          <w:color w:val="auto"/>
        </w:rPr>
      </w:pPr>
    </w:p>
    <w:p>
      <w:pPr>
        <w:ind w:left="40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87"/>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88"/>
              </w:rPr>
              <w:t>(State or Other Jurisdiction of</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0"/>
              </w:rPr>
              <w:t>(I.R.S. Employer</w:t>
            </w:r>
          </w:p>
        </w:tc>
      </w:tr>
      <w:tr>
        <w:trPr>
          <w:trHeight w:val="223"/>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90"/>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701 Veterans Circle, Warminster, PA 18974</w:t>
            </w:r>
          </w:p>
        </w:tc>
        <w:tc>
          <w:tcPr>
            <w:tcW w:w="2720" w:type="dxa"/>
            <w:vAlign w:val="bottom"/>
            <w:gridSpan w:val="3"/>
          </w:tcPr>
          <w:p>
            <w:pPr>
              <w:spacing w:after="0"/>
              <w:rPr>
                <w:sz w:val="24"/>
                <w:szCs w:val="24"/>
                <w:color w:val="auto"/>
              </w:rPr>
            </w:pPr>
          </w:p>
        </w:tc>
      </w:tr>
      <w:tr>
        <w:trPr>
          <w:trHeight w:val="35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189"/>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89"/>
              </w:rPr>
              <w:t>Trading Symbol(s)</w:t>
            </w:r>
          </w:p>
        </w:tc>
        <w:tc>
          <w:tcPr>
            <w:tcW w:w="3840" w:type="dxa"/>
            <w:vAlign w:val="bottom"/>
            <w:gridSpan w:val="5"/>
          </w:tcPr>
          <w:p>
            <w:pPr>
              <w:ind w:left="740"/>
              <w:spacing w:after="0"/>
              <w:rPr>
                <w:sz w:val="20"/>
                <w:szCs w:val="20"/>
                <w:color w:val="auto"/>
              </w:rPr>
            </w:pPr>
            <w:r>
              <w:rPr>
                <w:rFonts w:ascii="Arial" w:cs="Arial" w:eastAsia="Arial" w:hAnsi="Arial"/>
                <w:sz w:val="18"/>
                <w:szCs w:val="18"/>
                <w:color w:val="auto"/>
                <w:w w:val="8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The Nasdaq Stock Market LLC</w:t>
            </w:r>
          </w:p>
        </w:tc>
      </w:tr>
    </w:tbl>
    <w:p>
      <w:pPr>
        <w:spacing w:after="0" w:line="317" w:lineRule="exact"/>
        <w:rPr>
          <w:sz w:val="24"/>
          <w:szCs w:val="24"/>
          <w:color w:val="auto"/>
        </w:rPr>
      </w:pPr>
    </w:p>
    <w:p>
      <w:pPr>
        <w:jc w:val="both"/>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6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13" w:right="339" w:bottom="1440" w:gutter="0" w:footer="0" w:header="0"/>
        </w:sectPr>
      </w:pPr>
    </w:p>
    <w:p>
      <w:pPr>
        <w:spacing w:after="0" w:line="97" w:lineRule="exact"/>
        <w:rPr>
          <w:sz w:val="24"/>
          <w:szCs w:val="24"/>
          <w:color w:val="auto"/>
        </w:rPr>
      </w:pPr>
    </w:p>
    <w:p>
      <w:pPr>
        <w:ind w:left="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5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13" w:right="339" w:bottom="1440" w:gutter="0" w:footer="0" w:header="0"/>
          <w:type w:val="continuous"/>
        </w:sect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13" w:right="339" w:bottom="1440" w:gutter="0" w:footer="0" w:header="0"/>
          <w:type w:val="continuous"/>
        </w:sectPr>
      </w:pPr>
    </w:p>
    <w:p>
      <w:pPr>
        <w:spacing w:after="0" w:line="211"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02" w:lineRule="exact"/>
        <w:rPr>
          <w:sz w:val="24"/>
          <w:szCs w:val="24"/>
          <w:color w:val="auto"/>
        </w:rPr>
      </w:pPr>
    </w:p>
    <w:p>
      <w:pPr>
        <w:spacing w:after="0" w:line="207" w:lineRule="exact"/>
        <w:tabs>
          <w:tab w:leader="none" w:pos="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2021, the registrant had 99,161,234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8"/>
          </w:tcPr>
          <w:p>
            <w:pPr>
              <w:ind w:left="240"/>
              <w:spacing w:after="0"/>
              <w:rPr>
                <w:sz w:val="20"/>
                <w:szCs w:val="20"/>
                <w:color w:val="auto"/>
              </w:rPr>
            </w:pPr>
            <w:r>
              <w:rPr>
                <w:rFonts w:ascii="Arial" w:cs="Arial" w:eastAsia="Arial" w:hAnsi="Arial"/>
                <w:sz w:val="18"/>
                <w:szCs w:val="18"/>
                <w:b w:val="1"/>
                <w:bCs w:val="1"/>
                <w:color w:val="auto"/>
              </w:rPr>
              <w:t>ARBUTUS BIOPHARMA CORPORATION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rFonts w:ascii="Arial" w:cs="Arial" w:eastAsia="Arial" w:hAnsi="Arial"/>
                <w:sz w:val="18"/>
                <w:szCs w:val="18"/>
                <w:color w:val="0000FF"/>
              </w:rPr>
            </w:pPr>
            <w:hyperlink w:anchor="page18">
              <w:r>
                <w:rPr>
                  <w:rFonts w:ascii="Arial" w:cs="Arial" w:eastAsia="Arial" w:hAnsi="Arial"/>
                  <w:sz w:val="18"/>
                  <w:szCs w:val="18"/>
                  <w:color w:val="0000FF"/>
                </w:rPr>
                <w:t>ITEM 2.</w:t>
              </w:r>
            </w:hyperlink>
          </w:p>
        </w:tc>
        <w:tc>
          <w:tcPr>
            <w:tcW w:w="8940" w:type="dxa"/>
            <w:vAlign w:val="bottom"/>
            <w:gridSpan w:val="14"/>
            <w:shd w:val="clear" w:color="auto" w:fill="CCEEFF"/>
          </w:tcPr>
          <w:p>
            <w:pPr>
              <w:spacing w:after="0" w:line="194"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w:t>
              </w:r>
            </w:hyperlink>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80" w:type="dxa"/>
            <w:vAlign w:val="bottom"/>
            <w:tcBorders>
              <w:top w:val="single" w:sz="8" w:color="CCEEFF"/>
              <w:left w:val="single" w:sz="8" w:color="CCEEFF"/>
            </w:tcBorders>
            <w:vMerge w:val="continue"/>
            <w:shd w:val="clear" w:color="auto" w:fill="CCEEFF"/>
          </w:tcPr>
          <w:p>
            <w:pPr>
              <w:spacing w:after="0"/>
              <w:rPr>
                <w:sz w:val="13"/>
                <w:szCs w:val="13"/>
                <w:color w:val="auto"/>
              </w:rPr>
            </w:pPr>
          </w:p>
        </w:tc>
        <w:tc>
          <w:tcPr>
            <w:tcW w:w="7560" w:type="dxa"/>
            <w:vAlign w:val="bottom"/>
            <w:tcBorders>
              <w:top w:val="single" w:sz="8" w:color="0000FF"/>
            </w:tcBorders>
            <w:gridSpan w:val="13"/>
            <w:shd w:val="clear" w:color="auto" w:fill="CCEEFF"/>
          </w:tcPr>
          <w:p>
            <w:pPr>
              <w:spacing w:after="0" w:line="151" w:lineRule="exact"/>
              <w:rPr>
                <w:rFonts w:ascii="Arial" w:cs="Arial" w:eastAsia="Arial" w:hAnsi="Arial"/>
                <w:sz w:val="16"/>
                <w:szCs w:val="16"/>
                <w:color w:val="0000FF"/>
              </w:rPr>
            </w:pPr>
            <w:hyperlink w:anchor="page18">
              <w:r>
                <w:rPr>
                  <w:rFonts w:ascii="Arial" w:cs="Arial" w:eastAsia="Arial" w:hAnsi="Arial"/>
                  <w:sz w:val="16"/>
                  <w:szCs w:val="16"/>
                  <w:color w:val="0000FF"/>
                </w:rPr>
                <w:t>OPERATIONS</w:t>
              </w:r>
            </w:hyperlink>
          </w:p>
        </w:tc>
        <w:tc>
          <w:tcPr>
            <w:tcW w:w="1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5980" w:type="dxa"/>
            <w:vAlign w:val="bottom"/>
            <w:gridSpan w:val="12"/>
          </w:tcPr>
          <w:p>
            <w:pPr>
              <w:spacing w:after="0" w:line="184" w:lineRule="exact"/>
              <w:rPr>
                <w:rFonts w:ascii="Arial" w:cs="Arial" w:eastAsia="Arial" w:hAnsi="Arial"/>
                <w:sz w:val="18"/>
                <w:szCs w:val="18"/>
                <w:color w:val="0000FF"/>
                <w:w w:val="95"/>
              </w:rPr>
            </w:pPr>
            <w:hyperlink w:anchor="page34">
              <w:r>
                <w:rPr>
                  <w:rFonts w:ascii="Arial" w:cs="Arial" w:eastAsia="Arial" w:hAnsi="Arial"/>
                  <w:sz w:val="18"/>
                  <w:szCs w:val="18"/>
                  <w:color w:val="0000FF"/>
                  <w:w w:val="95"/>
                </w:rPr>
                <w:t>QUANTITATIVE AND QUALITATIVE DISCLOSURES ABOUT MARKET RISK</w:t>
              </w:r>
            </w:hyperlink>
          </w:p>
        </w:tc>
        <w:tc>
          <w:tcPr>
            <w:tcW w:w="2960" w:type="dxa"/>
            <w:vAlign w:val="bottom"/>
            <w:gridSpan w:val="2"/>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5980" w:type="dxa"/>
            <w:vAlign w:val="bottom"/>
            <w:gridSpan w:val="12"/>
            <w:shd w:val="clear" w:color="auto" w:fill="CCEEFF"/>
          </w:tcPr>
          <w:p>
            <w:pPr>
              <w:spacing w:after="0" w:line="194" w:lineRule="exact"/>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2960" w:type="dxa"/>
            <w:vAlign w:val="bottom"/>
            <w:gridSpan w:val="2"/>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PART II. OTHER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ITEM 1A.</w:t>
              </w:r>
            </w:hyperlink>
          </w:p>
        </w:tc>
        <w:tc>
          <w:tcPr>
            <w:tcW w:w="1220" w:type="dxa"/>
            <w:vAlign w:val="bottom"/>
            <w:gridSpan w:val="5"/>
            <w:shd w:val="clear" w:color="auto" w:fill="CCEEFF"/>
          </w:tcPr>
          <w:p>
            <w:pPr>
              <w:spacing w:after="0" w:line="194"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RISK FACTORS</w:t>
              </w:r>
            </w:hyperlink>
          </w:p>
        </w:tc>
        <w:tc>
          <w:tcPr>
            <w:tcW w:w="600" w:type="dxa"/>
            <w:vAlign w:val="bottom"/>
            <w:shd w:val="clear" w:color="auto" w:fill="CCEEFF"/>
          </w:tcPr>
          <w:p>
            <w:pPr>
              <w:spacing w:after="0"/>
              <w:rPr>
                <w:sz w:val="16"/>
                <w:szCs w:val="16"/>
                <w:color w:val="auto"/>
              </w:rPr>
            </w:pPr>
          </w:p>
        </w:tc>
        <w:tc>
          <w:tcPr>
            <w:tcW w:w="7120" w:type="dxa"/>
            <w:vAlign w:val="bottom"/>
            <w:tcBorders>
              <w:left w:val="single" w:sz="8" w:color="CCEEFF"/>
            </w:tcBorders>
            <w:gridSpan w:val="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3100" w:type="dxa"/>
            <w:vAlign w:val="bottom"/>
            <w:gridSpan w:val="9"/>
            <w:shd w:val="clear" w:color="auto" w:fill="CCEEFF"/>
          </w:tcPr>
          <w:p>
            <w:pPr>
              <w:spacing w:after="0" w:line="194"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DEFAULTS UPON SENIOR SECURITIES</w:t>
              </w:r>
            </w:hyperlink>
          </w:p>
        </w:tc>
        <w:tc>
          <w:tcPr>
            <w:tcW w:w="2800" w:type="dxa"/>
            <w:vAlign w:val="bottom"/>
            <w:gridSpan w:val="2"/>
            <w:shd w:val="clear" w:color="auto" w:fill="CCEEFF"/>
          </w:tcPr>
          <w:p>
            <w:pPr>
              <w:spacing w:after="0"/>
              <w:rPr>
                <w:sz w:val="16"/>
                <w:szCs w:val="16"/>
                <w:color w:val="auto"/>
              </w:rPr>
            </w:pPr>
          </w:p>
        </w:tc>
        <w:tc>
          <w:tcPr>
            <w:tcW w:w="304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2380" w:type="dxa"/>
            <w:vAlign w:val="bottom"/>
            <w:gridSpan w:val="7"/>
          </w:tcPr>
          <w:p>
            <w:pPr>
              <w:spacing w:after="0" w:line="184"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MINE SAFETY DISCLOSURES</w:t>
              </w:r>
            </w:hyperlink>
          </w:p>
        </w:tc>
        <w:tc>
          <w:tcPr>
            <w:tcW w:w="720" w:type="dxa"/>
            <w:vAlign w:val="bottom"/>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ITEM 5.</w:t>
              </w:r>
            </w:hyperlink>
          </w:p>
        </w:tc>
        <w:tc>
          <w:tcPr>
            <w:tcW w:w="1820" w:type="dxa"/>
            <w:vAlign w:val="bottom"/>
            <w:gridSpan w:val="6"/>
            <w:shd w:val="clear" w:color="auto" w:fill="CCEEFF"/>
          </w:tcPr>
          <w:p>
            <w:pPr>
              <w:spacing w:after="0" w:line="194" w:lineRule="exact"/>
              <w:rPr>
                <w:rFonts w:ascii="Arial" w:cs="Arial" w:eastAsia="Arial" w:hAnsi="Arial"/>
                <w:sz w:val="18"/>
                <w:szCs w:val="18"/>
                <w:color w:val="0000FF"/>
                <w:w w:val="91"/>
              </w:rPr>
            </w:pPr>
            <w:hyperlink w:anchor="page36">
              <w:r>
                <w:rPr>
                  <w:rFonts w:ascii="Arial" w:cs="Arial" w:eastAsia="Arial" w:hAnsi="Arial"/>
                  <w:sz w:val="18"/>
                  <w:szCs w:val="18"/>
                  <w:color w:val="0000FF"/>
                  <w:w w:val="91"/>
                </w:rPr>
                <w:t>OTHER INFORMATION</w:t>
              </w:r>
            </w:hyperlink>
          </w:p>
        </w:tc>
        <w:tc>
          <w:tcPr>
            <w:tcW w:w="560" w:type="dxa"/>
            <w:vAlign w:val="bottom"/>
            <w:tcBorders>
              <w:left w:val="single" w:sz="8" w:color="CCEEFF"/>
            </w:tcBorders>
            <w:shd w:val="clear" w:color="auto" w:fill="CCEEFF"/>
          </w:tcPr>
          <w:p>
            <w:pPr>
              <w:spacing w:after="0"/>
              <w:rPr>
                <w:sz w:val="16"/>
                <w:szCs w:val="16"/>
                <w:color w:val="auto"/>
              </w:rPr>
            </w:pPr>
          </w:p>
        </w:tc>
        <w:tc>
          <w:tcPr>
            <w:tcW w:w="6560" w:type="dxa"/>
            <w:vAlign w:val="bottom"/>
            <w:gridSpan w:val="7"/>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1820" w:type="dxa"/>
            <w:vAlign w:val="bottom"/>
            <w:gridSpan w:val="6"/>
          </w:tcPr>
          <w:p>
            <w:pPr>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7120" w:type="dxa"/>
            <w:vAlign w:val="bottom"/>
            <w:gridSpan w:val="8"/>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83,466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127,704</w:t>
            </w:r>
          </w:p>
        </w:tc>
        <w:tc>
          <w:tcPr>
            <w:tcW w:w="0" w:type="dxa"/>
            <w:vAlign w:val="bottom"/>
          </w:tcPr>
          <w:p>
            <w:pPr>
              <w:spacing w:after="0"/>
              <w:rPr>
                <w:sz w:val="1"/>
                <w:szCs w:val="1"/>
                <w:color w:val="auto"/>
              </w:rPr>
            </w:pPr>
          </w:p>
        </w:tc>
      </w:tr>
      <w:tr>
        <w:trPr>
          <w:trHeight w:val="172"/>
        </w:trPr>
        <w:tc>
          <w:tcPr>
            <w:tcW w:w="6640" w:type="dxa"/>
            <w:vAlign w:val="bottom"/>
            <w:shd w:val="clear" w:color="auto" w:fill="CCEEFF"/>
          </w:tcPr>
          <w:p>
            <w:pPr>
              <w:ind w:left="40"/>
              <w:spacing w:after="0" w:line="172" w:lineRule="exact"/>
              <w:rPr>
                <w:sz w:val="20"/>
                <w:szCs w:val="20"/>
                <w:color w:val="auto"/>
              </w:rPr>
            </w:pPr>
            <w:r>
              <w:rPr>
                <w:rFonts w:ascii="Arial" w:cs="Arial" w:eastAsia="Arial" w:hAnsi="Arial"/>
                <w:sz w:val="18"/>
                <w:szCs w:val="18"/>
                <w:color w:val="auto"/>
              </w:rPr>
              <w:t>Property and equipment, net of accumulated depreciation of $(8,499)</w:t>
            </w:r>
          </w:p>
        </w:tc>
        <w:tc>
          <w:tcPr>
            <w:tcW w:w="42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2020: $7,621)</w:t>
            </w:r>
          </w:p>
        </w:tc>
        <w:tc>
          <w:tcPr>
            <w:tcW w:w="42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2"/>
        </w:trPr>
        <w:tc>
          <w:tcPr>
            <w:tcW w:w="6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Liability-classified options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liability, 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35,114</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shares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1,164,000 (December 31, 2020: 1,164,000)</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Issued and outstanding: 97,700,016 (December 31, 2020: 89,678,722)</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1,017,416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985,939</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Deficit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(1,088,207)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(1,045,961)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(48,171)</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206"/>
        </w:trPr>
        <w:tc>
          <w:tcPr>
            <w:tcW w:w="57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Collaborations and licenses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royalty revenue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20,881</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7"/>
        </w:trPr>
        <w:tc>
          <w:tcPr>
            <w:tcW w:w="5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r>
      <w:tr>
        <w:trPr>
          <w:trHeight w:val="223"/>
        </w:trPr>
        <w:tc>
          <w:tcPr>
            <w:tcW w:w="572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(26,288)</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(loss) gain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other loss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(27,948)</w:t>
            </w:r>
          </w:p>
        </w:tc>
      </w:tr>
      <w:tr>
        <w:trPr>
          <w:trHeight w:val="217"/>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Items applicable to preferred shares: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r>
      <w:tr>
        <w:trPr>
          <w:trHeight w:val="217"/>
        </w:trPr>
        <w:tc>
          <w:tcPr>
            <w:tcW w:w="5720" w:type="dxa"/>
            <w:vAlign w:val="bottom"/>
          </w:tcPr>
          <w:p>
            <w:pPr>
              <w:ind w:left="120"/>
              <w:spacing w:after="0"/>
              <w:rPr>
                <w:sz w:val="20"/>
                <w:szCs w:val="20"/>
                <w:color w:val="auto"/>
              </w:rPr>
            </w:pPr>
            <w:r>
              <w:rPr>
                <w:rFonts w:ascii="Arial" w:cs="Arial" w:eastAsia="Arial" w:hAnsi="Arial"/>
                <w:sz w:val="18"/>
                <w:szCs w:val="18"/>
                <w:b w:val="1"/>
                <w:bCs w:val="1"/>
                <w:color w:val="auto"/>
              </w:rPr>
              <w:t>Net loss attributable to common shares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9"/>
        </w:trPr>
        <w:tc>
          <w:tcPr>
            <w:tcW w:w="5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96,869,805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69,604,726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95,153,545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68,656,566</w:t>
            </w:r>
          </w:p>
        </w:tc>
      </w:tr>
      <w:tr>
        <w:trPr>
          <w:trHeight w:val="210"/>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2"/>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12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9"/>
                <w:szCs w:val="9"/>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120"/>
              <w:spacing w:after="0" w:line="113" w:lineRule="exact"/>
              <w:rPr>
                <w:sz w:val="20"/>
                <w:szCs w:val="20"/>
                <w:color w:val="auto"/>
              </w:rPr>
            </w:pPr>
            <w:r>
              <w:rPr>
                <w:rFonts w:ascii="Arial" w:cs="Arial" w:eastAsia="Arial" w:hAnsi="Arial"/>
                <w:sz w:val="13"/>
                <w:szCs w:val="13"/>
                <w:b w:val="1"/>
                <w:bCs w:val="1"/>
                <w:color w:val="auto"/>
              </w:rPr>
              <w:t>Accumulated Other</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Total Stockholders'</w:t>
            </w: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7"/>
              </w:rPr>
              <w:t>Comprehensive</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118" w:lineRule="exact"/>
              <w:rPr>
                <w:sz w:val="20"/>
                <w:szCs w:val="20"/>
                <w:color w:val="auto"/>
              </w:rPr>
            </w:pPr>
            <w:r>
              <w:rPr>
                <w:rFonts w:ascii="Arial" w:cs="Arial" w:eastAsia="Arial" w:hAnsi="Arial"/>
                <w:sz w:val="13"/>
                <w:szCs w:val="13"/>
                <w:color w:val="auto"/>
              </w:rPr>
              <w:t>Accretion of accumulated dividends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220" w:type="dxa"/>
            <w:vAlign w:val="bottom"/>
            <w:vMerge w:val="continue"/>
          </w:tcPr>
          <w:p>
            <w:pPr>
              <w:spacing w:after="0"/>
              <w:rPr>
                <w:sz w:val="6"/>
                <w:szCs w:val="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on Preferred Shares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rPr>
              <w:t>Certain fair value adjustments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liability stock option awards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w w:val="98"/>
              </w:rPr>
              <w:t>to the Open Market Sale Agreement</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to exercise of options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to ESPP</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6"/>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1,013,118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on Preferred Shares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Certain fair value adjustments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liability stock option awards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1,450,145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w w:val="98"/>
              </w:rPr>
              <w:t>to the Open Market Sale Agreement</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w w:val="94"/>
              </w:rPr>
              <w:t>Issuance of common shares pursuant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to exercise of options</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line="131" w:lineRule="exact"/>
              <w:rPr>
                <w:sz w:val="20"/>
                <w:szCs w:val="20"/>
                <w:color w:val="auto"/>
              </w:rPr>
            </w:pPr>
            <w:r>
              <w:rPr>
                <w:rFonts w:ascii="Arial" w:cs="Arial" w:eastAsia="Arial" w:hAnsi="Arial"/>
                <w:sz w:val="14"/>
                <w:szCs w:val="14"/>
                <w:color w:val="auto"/>
                <w:w w:val="97"/>
              </w:rPr>
              <w:t>Unrealized loss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222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155,886</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97,700,016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1,017,416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(1,088,207)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(48,199)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100,829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2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0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9"/>
                <w:szCs w:val="9"/>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9"/>
                <w:szCs w:val="9"/>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tcPr>
          <w:p>
            <w:pPr>
              <w:jc w:val="center"/>
              <w:ind w:right="100"/>
              <w:spacing w:after="0" w:line="113" w:lineRule="exact"/>
              <w:rPr>
                <w:sz w:val="20"/>
                <w:szCs w:val="20"/>
                <w:color w:val="auto"/>
              </w:rPr>
            </w:pPr>
            <w:r>
              <w:rPr>
                <w:rFonts w:ascii="Arial" w:cs="Arial" w:eastAsia="Arial" w:hAnsi="Arial"/>
                <w:sz w:val="13"/>
                <w:szCs w:val="13"/>
                <w:b w:val="1"/>
                <w:bCs w:val="1"/>
                <w:color w:val="auto"/>
                <w:w w:val="98"/>
              </w:rPr>
              <w:t>Accumulated Other</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240" w:type="dxa"/>
            <w:vAlign w:val="bottom"/>
          </w:tcPr>
          <w:p>
            <w:pPr>
              <w:spacing w:after="0"/>
              <w:rPr>
                <w:sz w:val="15"/>
                <w:szCs w:val="15"/>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64,780,314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20" w:type="dxa"/>
            <w:vAlign w:val="bottom"/>
            <w:vMerge w:val="continue"/>
          </w:tcPr>
          <w:p>
            <w:pPr>
              <w:spacing w:after="0"/>
              <w:rPr>
                <w:sz w:val="6"/>
                <w:szCs w:val="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6"/>
                <w:szCs w:val="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6"/>
                <w:szCs w:val="6"/>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4,147,081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12,315</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(13,861)</w:t>
            </w:r>
          </w:p>
        </w:tc>
        <w:tc>
          <w:tcPr>
            <w:tcW w:w="0" w:type="dxa"/>
            <w:vAlign w:val="bottom"/>
          </w:tcPr>
          <w:p>
            <w:pPr>
              <w:spacing w:after="0"/>
              <w:rPr>
                <w:sz w:val="1"/>
                <w:szCs w:val="1"/>
                <w:color w:val="auto"/>
              </w:rPr>
            </w:pPr>
          </w:p>
        </w:tc>
      </w:tr>
      <w:tr>
        <w:trPr>
          <w:trHeight w:val="245"/>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68,961,395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73,256</w:t>
            </w:r>
          </w:p>
        </w:tc>
        <w:tc>
          <w:tcPr>
            <w:tcW w:w="0" w:type="dxa"/>
            <w:vAlign w:val="bottom"/>
          </w:tcPr>
          <w:p>
            <w:pPr>
              <w:spacing w:after="0"/>
              <w:rPr>
                <w:sz w:val="1"/>
                <w:szCs w:val="1"/>
                <w:color w:val="auto"/>
              </w:rPr>
            </w:pPr>
          </w:p>
        </w:tc>
      </w:tr>
      <w:tr>
        <w:trPr>
          <w:trHeight w:val="78"/>
        </w:trPr>
        <w:tc>
          <w:tcPr>
            <w:tcW w:w="2420" w:type="dxa"/>
            <w:vAlign w:val="bottom"/>
            <w:tcBorders>
              <w:top w:val="single" w:sz="8" w:color="CCEEFF"/>
            </w:tcBorders>
          </w:tcPr>
          <w:p>
            <w:pPr>
              <w:ind w:left="20"/>
              <w:spacing w:after="0" w:line="78" w:lineRule="exact"/>
              <w:rPr>
                <w:sz w:val="20"/>
                <w:szCs w:val="20"/>
                <w:color w:val="auto"/>
              </w:rPr>
            </w:pPr>
            <w:r>
              <w:rPr>
                <w:rFonts w:ascii="Arial" w:cs="Arial" w:eastAsia="Arial" w:hAnsi="Arial"/>
                <w:sz w:val="9"/>
                <w:szCs w:val="9"/>
                <w:color w:val="auto"/>
              </w:rPr>
              <w:t>Accretion of accumulated dividends on</w:t>
            </w:r>
          </w:p>
        </w:tc>
        <w:tc>
          <w:tcPr>
            <w:tcW w:w="98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2,995</w:t>
            </w:r>
          </w:p>
        </w:tc>
        <w:tc>
          <w:tcPr>
            <w:tcW w:w="10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(2,995)</w:t>
            </w: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2,291,184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0"/>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0"/>
              <w:spacing w:after="0" w:line="159" w:lineRule="exact"/>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(14,087)</w:t>
            </w:r>
          </w:p>
        </w:tc>
        <w:tc>
          <w:tcPr>
            <w:tcW w:w="0" w:type="dxa"/>
            <w:vAlign w:val="bottom"/>
          </w:tcPr>
          <w:p>
            <w:pPr>
              <w:spacing w:after="0"/>
              <w:rPr>
                <w:sz w:val="1"/>
                <w:szCs w:val="1"/>
                <w:color w:val="auto"/>
              </w:rPr>
            </w:pPr>
          </w:p>
        </w:tc>
      </w:tr>
      <w:tr>
        <w:trPr>
          <w:trHeight w:val="205"/>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71,256,579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65,511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4"/>
              </w:rPr>
              <w:t>Six Months Ended June 30,</w:t>
            </w:r>
          </w:p>
        </w:tc>
        <w:tc>
          <w:tcPr>
            <w:tcW w:w="1340" w:type="dxa"/>
            <w:vAlign w:val="bottom"/>
            <w:tcBorders>
              <w:bottom w:val="single" w:sz="8" w:color="auto"/>
            </w:tcBorders>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2020</w:t>
            </w: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60" w:type="dxa"/>
            <w:vAlign w:val="bottom"/>
          </w:tcPr>
          <w:p>
            <w:pPr>
              <w:jc w:val="right"/>
              <w:ind w:right="1183"/>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(35,768)</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(27,948)</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Non-cash royalty revenue</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operating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operating activities</w:t>
            </w:r>
          </w:p>
        </w:tc>
        <w:tc>
          <w:tcPr>
            <w:tcW w:w="1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(31,890)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(24,254)</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Purchase of investments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(54,145)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(25,912)</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Disposition of investments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34,350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46,948</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of property and equipment</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(used) provided by investing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20,970</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30,693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17,360</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4"/>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31,163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17,440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(21,297)</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14,100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52,251</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31,799</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360" w:type="dxa"/>
            <w:vAlign w:val="bottom"/>
            <w:tcBorders>
              <w:bottom w:val="single" w:sz="8" w:color="auto"/>
            </w:tcBorders>
          </w:tcPr>
          <w:p>
            <w:pPr>
              <w:jc w:val="right"/>
              <w:ind w:right="1183"/>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30,954</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0"/>
        </w:trPr>
        <w:tc>
          <w:tcPr>
            <w:tcW w:w="66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dividends accrued</w:t>
            </w:r>
          </w:p>
        </w:tc>
        <w:tc>
          <w:tcPr>
            <w:tcW w:w="1360" w:type="dxa"/>
            <w:vAlign w:val="bottom"/>
            <w:shd w:val="clear" w:color="auto" w:fill="CCEEFF"/>
          </w:tcPr>
          <w:p>
            <w:pPr>
              <w:jc w:val="right"/>
              <w:ind w:right="1183"/>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Arbutus Biopharma Corporation (the “Company” or “Arbutus”) is a clinical-stage, biopharmaceutical company primarily focused on discovering, developing and commercializing a cure for people with chronic hepatitis B virus (“HBV”) infection. The Company is advancing multiple product candidates with distinct mechanisms of action that it believes have the potential to provide a new curative regimen for chronic HBV infection. The Company has also initiated a drug discovery and development effort for treating coronaviruses, including COVID-19.</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two lead product candidates are AB-729, the Company’s proprietary subcutaneously-delivered RNA interference (“RNAi”) product candidate that suppresses HBsAg expression, and AB-836, the Company’s proprietary next-generation oral capsid inhibitor that suppresses HBV DNA replication. AB-729 is currently in an ongoing Phase 1a/1b clinical trial and a Phase 2a proof-of-concept clinical trial in collaboration with Assembly Biosciences, Inc. (“Assembly”). The Company is also evaluating AB-729 in combination with other agents with potentially complementary mechanisms of action in multiple Phase 2a proof-of-concept clinical trials. Additionally, the Company is enrolling subjects in a Phase 1a/1b clinical trial for AB-836 with initial data expected in the second half of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2021, the Company had an aggregate of $121.3 million in cash, cash equivalents and investments in marketable securities. The Company believes that these cash resources will be sufficient to fund its operations through the third quarter of 2022.</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While the Company has been able to progress with our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400" w:hanging="395"/>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2020 included in the Company’s Annual Report on Form 10-K for the year ended December 31, 2020 (the “2020 Form 10-K”). These unaudited condensed consolidated financial statements reflect, in the opinion of management, all adjustments and reclassifications necessary to fairly present the Company’s financial position as of June 30, 2021 and 2020, the Company’s results of operations for the three and six months ended June 30, 2021 and 2020, and the Company’s cash flows for the six months ended June 30, 2021 and 2020. Such adjustments are of a normal recurring nature. The results of operations for the three and six months ended June 30, 2021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2020, except as described below under Recent Accounting Pronouncements.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one wholly-owned subsidiary, Arbutus Biopharma Inc. (“Arbutus Inc.”). All intercompany transactions and balances have been eliminated. Certain prior year amounts have been reclassified to conform to the current year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follows the two-class method when computing net loss attributable to common shareholders per share as the Company has issued Series A participating convertible preferred shares (“Preferred Shares”), as further described in note 10. The Company’s Preferred Shares are participating securities, as they entitle the holders to participate in dividends. However, the Company’s Preferred Shares do not require the holders to participate in losses of the Company and accordingly, if the Company reports a net loss attributable to holders of the Company’s common shares, net losses are not allocated to holders of the Preferred Shares.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since the effect of the Company’s stock options and convertible preferred stock was anti-dilutive. During the six months ended June 30, 2021 and 2020, potential common shares of 35.4 million and 31.3 million, respectively, consisting of the “if-converted” number of Preferred Shares and outstanding stock options, were excluded from the calculation of net loss per share because their inclusion would be anti-dilutive.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Accounting Standards Codification 606, Revenue From Contracts with Customers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regularly sold on a stand-alone basis and is determined by reference to market rates for the good or service when sold to others or by using an adjusted market assessment approach if the selling price on a stand-alone basis is not available.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 - Credit Losses: Measurement of Credit Losses on Financial Instruments (ASC 326). The guidance is effective for the Company beginning January 1, 2023 and it changes how entities account for credit 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92" w:lineRule="exact"/>
        <w:rPr>
          <w:sz w:val="20"/>
          <w:szCs w:val="20"/>
          <w:color w:val="auto"/>
        </w:rPr>
      </w:pPr>
    </w:p>
    <w:p>
      <w:pPr>
        <w:ind w:left="940" w:hanging="46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5" w:lineRule="exact"/>
        <w:rPr>
          <w:rFonts w:ascii="Arial" w:cs="Arial" w:eastAsia="Arial" w:hAnsi="Arial"/>
          <w:sz w:val="18"/>
          <w:szCs w:val="18"/>
          <w:color w:val="auto"/>
        </w:rPr>
      </w:pPr>
    </w:p>
    <w:p>
      <w:pPr>
        <w:jc w:val="both"/>
        <w:ind w:left="960" w:hanging="482"/>
        <w:spacing w:after="0" w:line="243"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 w:lineRule="exact"/>
        <w:rPr>
          <w:rFonts w:ascii="Arial" w:cs="Arial" w:eastAsia="Arial" w:hAnsi="Arial"/>
          <w:sz w:val="18"/>
          <w:szCs w:val="18"/>
          <w:color w:val="auto"/>
        </w:rPr>
      </w:pPr>
    </w:p>
    <w:p>
      <w:pPr>
        <w:ind w:left="960" w:hanging="482"/>
        <w:spacing w:after="0" w:line="24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$4.2 million as of June 30, 2021 and the increase of $0.8 million from December 31, 2020 has been recorded as a component of total operating expenses in the statement of operations and comprehensive loss for the six months ended June 30, 2021. The assumptions used in the discounted cash flow model are level 3 inputs as defined above. The Company assessed the sensitivity of the fair value measurement to changes in these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unobservable inputs, and determined that changes within a reasonable range would not result in a materially different assessment of fair value.</w:t>
      </w:r>
    </w:p>
    <w:p>
      <w:pPr>
        <w:spacing w:after="0" w:line="2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7"/>
              </w:rPr>
              <w:t>As of June 30, 2021</w:t>
            </w:r>
          </w:p>
        </w:tc>
        <w:tc>
          <w:tcPr>
            <w:tcW w:w="402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4"/>
          </w:tcPr>
          <w:p>
            <w:pPr>
              <w:ind w:left="760"/>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8"/>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30,954</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47,425</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42,906</w:t>
            </w:r>
          </w:p>
        </w:tc>
        <w:tc>
          <w:tcPr>
            <w:tcW w:w="20" w:type="dxa"/>
            <w:vAlign w:val="bottom"/>
            <w:tcBorders>
              <w:bottom w:val="single" w:sz="8" w:color="auto"/>
            </w:tcBorders>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121,285</w:t>
            </w:r>
          </w:p>
        </w:tc>
        <w:tc>
          <w:tcPr>
            <w:tcW w:w="20" w:type="dxa"/>
            <w:vAlign w:val="bottom"/>
            <w:shd w:val="clear" w:color="auto" w:fill="CCEEFF"/>
          </w:tcPr>
          <w:p>
            <w:pPr>
              <w:spacing w:after="0"/>
              <w:rPr>
                <w:sz w:val="18"/>
                <w:szCs w:val="18"/>
                <w:color w:val="auto"/>
              </w:rPr>
            </w:pPr>
          </w:p>
        </w:tc>
      </w:tr>
      <w:tr>
        <w:trPr>
          <w:trHeight w:val="207"/>
        </w:trPr>
        <w:tc>
          <w:tcPr>
            <w:tcW w:w="5200" w:type="dxa"/>
            <w:vAlign w:val="bottom"/>
            <w:gridSpan w:val="5"/>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Borders>
              <w:bottom w:val="single" w:sz="8" w:color="auto"/>
            </w:tcBorders>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20" w:type="dxa"/>
            <w:vAlign w:val="bottom"/>
            <w:shd w:val="clear" w:color="auto" w:fill="CCEEFF"/>
          </w:tcPr>
          <w:p>
            <w:pPr>
              <w:spacing w:after="0"/>
              <w:rPr>
                <w:sz w:val="18"/>
                <w:szCs w:val="18"/>
                <w:color w:val="auto"/>
              </w:rPr>
            </w:pPr>
          </w:p>
        </w:tc>
      </w:tr>
      <w:tr>
        <w:trPr>
          <w:trHeight w:val="52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3"/>
        </w:trPr>
        <w:tc>
          <w:tcPr>
            <w:tcW w:w="20" w:type="dxa"/>
            <w:vAlign w:val="bottom"/>
          </w:tcPr>
          <w:p>
            <w:pPr>
              <w:spacing w:after="0"/>
              <w:rPr>
                <w:sz w:val="13"/>
                <w:szCs w:val="13"/>
                <w:color w:val="auto"/>
              </w:rPr>
            </w:pPr>
          </w:p>
        </w:tc>
        <w:tc>
          <w:tcPr>
            <w:tcW w:w="148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w w:val="88"/>
              </w:rPr>
              <w:t>As of December 31, 2020</w:t>
            </w:r>
          </w:p>
        </w:tc>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ind w:left="740"/>
              <w:spacing w:after="0" w:line="143"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123,268</w:t>
            </w:r>
          </w:p>
        </w:tc>
        <w:tc>
          <w:tcPr>
            <w:tcW w:w="20" w:type="dxa"/>
            <w:vAlign w:val="bottom"/>
          </w:tcPr>
          <w:p>
            <w:pPr>
              <w:spacing w:after="0"/>
              <w:rPr>
                <w:sz w:val="18"/>
                <w:szCs w:val="18"/>
                <w:color w:val="auto"/>
              </w:rPr>
            </w:pPr>
          </w:p>
        </w:tc>
      </w:tr>
      <w:tr>
        <w:trPr>
          <w:trHeight w:val="211"/>
        </w:trPr>
        <w:tc>
          <w:tcPr>
            <w:tcW w:w="520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8"/>
                <w:szCs w:val="18"/>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4"/>
                <w:szCs w:val="14"/>
                <w:b w:val="1"/>
                <w:bCs w:val="1"/>
                <w:color w:val="auto"/>
                <w:w w:val="96"/>
              </w:rPr>
              <w:t>Liability at beginning of</w:t>
            </w:r>
          </w:p>
        </w:tc>
        <w:tc>
          <w:tcPr>
            <w:tcW w:w="220" w:type="dxa"/>
            <w:vAlign w:val="bottom"/>
          </w:tcPr>
          <w:p>
            <w:pPr>
              <w:spacing w:after="0"/>
              <w:rPr>
                <w:sz w:val="14"/>
                <w:szCs w:val="14"/>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Fair value of liability-</w:t>
            </w:r>
          </w:p>
        </w:tc>
        <w:tc>
          <w:tcPr>
            <w:tcW w:w="200" w:type="dxa"/>
            <w:vAlign w:val="bottom"/>
          </w:tcPr>
          <w:p>
            <w:pPr>
              <w:spacing w:after="0"/>
              <w:rPr>
                <w:sz w:val="14"/>
                <w:szCs w:val="14"/>
                <w:color w:val="auto"/>
              </w:rPr>
            </w:pPr>
          </w:p>
        </w:tc>
        <w:tc>
          <w:tcPr>
            <w:tcW w:w="17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87"/>
              </w:rPr>
              <w:t>Increase (decrease) in fair</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86"/>
              </w:rPr>
              <w:t>classified options</w:t>
            </w:r>
          </w:p>
        </w:tc>
        <w:tc>
          <w:tcPr>
            <w:tcW w:w="2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7"/>
              </w:rPr>
              <w:t>exercised in the period</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 of liability</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Increase (decrease) in fair value of</w:t>
            </w:r>
          </w:p>
        </w:tc>
        <w:tc>
          <w:tcPr>
            <w:tcW w:w="260" w:type="dxa"/>
            <w:vAlign w:val="bottom"/>
          </w:tcPr>
          <w:p>
            <w:pPr>
              <w:spacing w:after="0"/>
              <w:rPr>
                <w:sz w:val="14"/>
                <w:szCs w:val="14"/>
                <w:color w:val="auto"/>
              </w:rPr>
            </w:pPr>
          </w:p>
        </w:tc>
        <w:tc>
          <w:tcPr>
            <w:tcW w:w="208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Liability at end of the period</w:t>
            </w:r>
          </w:p>
        </w:tc>
      </w:tr>
      <w:tr>
        <w:trPr>
          <w:trHeight w:val="183"/>
        </w:trPr>
        <w:tc>
          <w:tcPr>
            <w:tcW w:w="43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w w:val="95"/>
              </w:rPr>
              <w:t>liability</w:t>
            </w: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4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center"/>
              <w:ind w:right="361"/>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3,426</w:t>
            </w:r>
          </w:p>
        </w:tc>
        <w:tc>
          <w:tcPr>
            <w:tcW w:w="4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40" w:type="dxa"/>
            <w:vAlign w:val="bottom"/>
          </w:tcPr>
          <w:p>
            <w:pPr>
              <w:spacing w:after="0"/>
              <w:rPr>
                <w:sz w:val="19"/>
                <w:szCs w:val="19"/>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Six Months Ended June 30, 2020</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2,953</w:t>
            </w:r>
          </w:p>
        </w:tc>
        <w:tc>
          <w:tcPr>
            <w:tcW w:w="48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1"/>
              <w:spacing w:after="0"/>
              <w:rPr>
                <w:sz w:val="20"/>
                <w:szCs w:val="20"/>
                <w:color w:val="auto"/>
              </w:rPr>
            </w:pPr>
            <w:r>
              <w:rPr>
                <w:rFonts w:ascii="Arial" w:cs="Arial" w:eastAsia="Arial" w:hAnsi="Arial"/>
                <w:sz w:val="18"/>
                <w:szCs w:val="18"/>
                <w:color w:val="auto"/>
              </w:rPr>
              <w:t>228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3,181</w:t>
            </w:r>
          </w:p>
        </w:tc>
        <w:tc>
          <w:tcPr>
            <w:tcW w:w="40" w:type="dxa"/>
            <w:vAlign w:val="bottom"/>
          </w:tcPr>
          <w:p>
            <w:pPr>
              <w:spacing w:after="0"/>
              <w:rPr>
                <w:sz w:val="19"/>
                <w:szCs w:val="19"/>
                <w:color w:val="auto"/>
              </w:rPr>
            </w:pPr>
          </w:p>
        </w:tc>
      </w:tr>
      <w:tr>
        <w:trPr>
          <w:trHeight w:val="881"/>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jc w:val="right"/>
              <w:ind w:right="812"/>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3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Investments in marketable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Gross Unrealized Gain</w:t>
            </w:r>
            <w:r>
              <w:rPr>
                <w:rFonts w:ascii="Arial" w:cs="Arial" w:eastAsia="Arial" w:hAnsi="Arial"/>
                <w:sz w:val="18"/>
                <w:szCs w:val="18"/>
                <w:b w:val="1"/>
                <w:bCs w:val="1"/>
                <w:color w:val="auto"/>
                <w:w w:val="99"/>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Gross Unrealized Loss</w:t>
            </w:r>
            <w:r>
              <w:rPr>
                <w:rFonts w:ascii="Arial" w:cs="Arial" w:eastAsia="Arial" w:hAnsi="Arial"/>
                <w:sz w:val="18"/>
                <w:szCs w:val="18"/>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87"/>
              </w:rPr>
              <w:t>As of June 30, 2021</w:t>
            </w: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gridSpan w:val="3"/>
          </w:tcPr>
          <w:p>
            <w:pPr>
              <w:jc w:val="right"/>
              <w:ind w:right="395"/>
              <w:spacing w:after="0" w:line="138"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37,382</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47,419</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47,425</w:t>
            </w:r>
          </w:p>
        </w:tc>
      </w:tr>
      <w:tr>
        <w:trPr>
          <w:trHeight w:val="18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12,274</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30,632</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42,906</w:t>
            </w:r>
          </w:p>
        </w:tc>
      </w:tr>
    </w:tbl>
    <w:p>
      <w:pPr>
        <w:spacing w:after="0" w:line="277" w:lineRule="exact"/>
        <w:rPr>
          <w:sz w:val="20"/>
          <w:szCs w:val="20"/>
          <w:color w:val="auto"/>
        </w:rPr>
      </w:pPr>
    </w:p>
    <w:p>
      <w:pPr>
        <w:ind w:left="480" w:hanging="159"/>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8"/>
              </w:rPr>
              <w:t>As of December 31, 2020</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40" w:type="dxa"/>
            <w:vAlign w:val="bottom"/>
            <w:gridSpan w:val="3"/>
          </w:tcPr>
          <w:p>
            <w:pPr>
              <w:jc w:val="right"/>
              <w:ind w:right="436"/>
              <w:spacing w:after="0" w:line="14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13,703</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15,703</w:t>
            </w:r>
          </w:p>
        </w:tc>
      </w:tr>
      <w:tr>
        <w:trPr>
          <w:trHeight w:val="18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11,557</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37,468</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r>
    </w:tbl>
    <w:p>
      <w:pPr>
        <w:spacing w:after="0" w:line="316" w:lineRule="exact"/>
        <w:rPr>
          <w:sz w:val="20"/>
          <w:szCs w:val="20"/>
          <w:color w:val="auto"/>
        </w:rPr>
      </w:pPr>
    </w:p>
    <w:p>
      <w:pPr>
        <w:ind w:left="480" w:hanging="159"/>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2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contractual term to maturity of the $47.4 million of short-term marketable securities held by the Company as of June 30, 2021 is less than one year. As of June 30, 2021, the Company held $42.9 million of long-term marketable securities with contractual maturities of more than one year, but less than five years. As of December 31, 2020, the Company’s $71.0 million of marketable securities had contractual maturities of less than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and six months ended June 30,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ind w:left="360" w:hanging="355"/>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Under the Genevant License, the Company is entitled to receive tiered low single-digit royalties on future sales of Genevant products covered by the licensed patents. If Genevant sub-licenses the intellectual property licensed by the Company to Genevant, the Company is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31, 2020, Roivant recapitalized Genevant through an equity investment and conversion of previously issued convertible debt securities held by Roivant. In addition, the Company participated in the recapitalization of Genevant with an investment of $2.5 million. The Company determined that this $2.5 million additional investment in Genevant represented the funding of prior losses and accordingly, the Company recorded the amount as an equity investment loss on the Condensed Consolidated Statements of Operations and Comprehensive Loss in 2020.</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Following the recapitalization, the Company owned approximately 16% of the common equity of Genevant. In connection with the recapitalization, Genevant, the Company and Roivant entered into an Amended and Restated Shareholders Agreement that provides Roivant with substantial control of Genevant. The Company has a non-voting observer seat on Genevant’s Board of Directors. Due to the Company’s loss of significant influence with respect to Genevant as a result of the recapitalization, the Company discontinued the use of the equity method of accounting for its interest in Genevant. Following the recapitalization, 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The Company’s entitlement to receive future royalties or sublicensing revenue under the Genevant License was not impacted by the recapitalization.</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7"/>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0"/>
              </w:rPr>
              <w:t>December 31, 2020</w:t>
            </w:r>
          </w:p>
        </w:tc>
      </w:tr>
      <w:tr>
        <w:trPr>
          <w:trHeight w:val="182"/>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5"/>
                <w:szCs w:val="15"/>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460" w:type="dxa"/>
            <w:vAlign w:val="bottom"/>
            <w:shd w:val="clear" w:color="auto" w:fill="CCEEFF"/>
          </w:tcPr>
          <w:p>
            <w:pPr>
              <w:jc w:val="right"/>
              <w:ind w:right="127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1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460" w:type="dxa"/>
            <w:vAlign w:val="bottom"/>
          </w:tcPr>
          <w:p>
            <w:pPr>
              <w:jc w:val="right"/>
              <w:ind w:right="127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8,352</w:t>
            </w:r>
          </w:p>
        </w:tc>
        <w:tc>
          <w:tcPr>
            <w:tcW w:w="1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8,901</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 of future royalties</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6"/>
          <w:szCs w:val="16"/>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2021, the Company estimated an effective annual interest rate of approximately 16%.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2021, the Company has recorded an aggregate of $7.2 million of non-cash royalty revenue for royalties earned by OMERS. There are a number of factors that could materially affect the amount and timing of royalty payments from Alnylam, none of which are within the Company’s control. The table below shows the activity related to the net liability for the six months ended June 30, 2021 and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82"/>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177"/>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18,992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(1,345)</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18,982</w:t>
            </w:r>
          </w:p>
        </w:tc>
        <w:tc>
          <w:tcPr>
            <w:tcW w:w="100" w:type="dxa"/>
            <w:vAlign w:val="bottom"/>
          </w:tcPr>
          <w:p>
            <w:pPr>
              <w:spacing w:after="0"/>
              <w:rPr>
                <w:sz w:val="18"/>
                <w:szCs w:val="18"/>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19,739</w:t>
            </w:r>
          </w:p>
        </w:tc>
      </w:tr>
    </w:tbl>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46"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 In November 2014, UBC filed a demand for arbitration against the Company which alleged entitlement to unpaid royalties. In August 2019, the arbitrator issued his decision for the second phase of the arbitration, awarding UBC $5.9 million, which included interest of approximately $2.6 million. The Company paid the $5.9 million award to UBC in September 2019 and paid an additional $0.2 million award for costs and attorneys’ fees in March 2021, and this matter is now fully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4" w:name="page15"/>
    <w:bookmarkEnd w:id="14"/>
    <w:p>
      <w:pPr>
        <w:jc w:val="both"/>
        <w:spacing w:after="0" w:line="249"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are currently scheduled to begin on April 25, 2022. The Company does not believe that any royalties are due to UBC and the Company intends to vigorously contest UBC’s allegation.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$4.2 million as of June 30, 2021.</w:t>
      </w:r>
    </w:p>
    <w:p>
      <w:pPr>
        <w:spacing w:after="0" w:line="200" w:lineRule="exact"/>
        <w:rPr>
          <w:sz w:val="20"/>
          <w:szCs w:val="20"/>
          <w:color w:val="auto"/>
        </w:rPr>
      </w:pPr>
    </w:p>
    <w:p>
      <w:pPr>
        <w:spacing w:after="0" w:line="270"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Vaccitech plc</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July 2021, the Company entered into a clinical collaboration agreement with Vaccitech plc (“Vaccitech”) to evaluate the safety, pharmacokinetics, immunogenicity, and antiviral activity of AB-729 followed by Vaccitech’s proprietary immunotherapeutic, VTP-300, in nucleos(t)ide reverse transcriptase inhibitor-suppressed subjects with chronic HBV infection (“CHB”). The Phase 2a clinical trial will be managed by Arbutus, subject to oversight by a joint development committee comprised of representatives from Arbutus and Vaccitech. Arbutus and Vaccitech retain full rights to their respective product candidates and will split all costs associated with the clinical trial. Pursuant to the agreement, the parties intend to undertake a larger Phase 2b clinical trial depending on the results of the initial Phase 2a clinical trial. The collaboration with Vaccitech is within the scope of the collaborative arrangements guidance and reimbursements and cost-sharing proceeds will be reflected as reductions of research and development expense when realized in the Company’s condensed consolidated statements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Antios Therapeutics, Inc.</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2021, the Company entered into a clinical collaboration agreement with Antios Therapeutics, Inc. (“Antios”) to evaluate a triple combination of AB-729, Antios’ proprietary active site polymerase inhibitor nucleotide (ASPIN), ATI-2173, and Viread (tenofovir disoproxil fumarate), for the treatment of subjects with chronic HBV infection. Antios will be responsible for the costs of adding this single cohort to its ongoing Phase 2a ANTT201 clinical trial. Arbutus will be responsible for the manufacture and supply of AB-729. Except to the extent necessary to carry out Antios’ responsibilities with respect to the collaboration trial, the Company has not provided any license grant to Antios for use of its AB-729 compound.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Assembly Biosciences, Inc.</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August 2020, the Company entered into a clinical collaboration agreement with Assembly to evaluate AB-729 in combination with Assembly’s lead HBV core inhibitor (capsid inhibitor) candidate vebicorvir (“VBR”) and standard-of-care NA therapy for the treatment of subjects with chronic HBV infection. The Company and Assembly are sharing in the costs of the collaboration. The Company incurred $0.4 million and $1.2 million of costs related to the collaboration during the three and six months ended June 30, 2021 and reflected those costs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X-Chem and Proteros</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2021, the Company, X-Chem, Inc. (“X-Chem”) and Proteros biostructures GmbH (“Proteros”) entered into a discovery research and license agreement focused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is expected to allow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Alnylam’s ONPATTRO, which represents the first approved application of the Company’s LNP technology, was approved by the United States Food and Drug Administration (“FDA”) and the European Medicines Agency (“EMA”) during the third quarter of 2018 and was launched by Alnylam immediately upon approval in the United States.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w:t>
      </w:r>
    </w:p>
    <w:p>
      <w:pPr>
        <w:spacing w:after="0" w:line="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This royalty entitlement from Acuitas has been retained by the Company and was not part of the royalty entitlement sale to OMERS.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316"/>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82"/>
        </w:trPr>
        <w:tc>
          <w:tcPr>
            <w:tcW w:w="4600" w:type="dxa"/>
            <w:vAlign w:val="bottom"/>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177"/>
        </w:trPr>
        <w:tc>
          <w:tcPr>
            <w:tcW w:w="4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right"/>
              <w:ind w:right="57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9"/>
              </w:rPr>
              <w:t>(in thousands)</w:t>
            </w:r>
          </w:p>
        </w:tc>
        <w:tc>
          <w:tcPr>
            <w:tcW w:w="1060" w:type="dxa"/>
            <w:vAlign w:val="bottom"/>
          </w:tcPr>
          <w:p>
            <w:pPr>
              <w:spacing w:after="0"/>
              <w:rPr>
                <w:sz w:val="15"/>
                <w:szCs w:val="15"/>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460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1020" w:type="dxa"/>
            <w:vAlign w:val="bottom"/>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1040" w:type="dxa"/>
            <w:vAlign w:val="bottom"/>
          </w:tcPr>
          <w:p>
            <w:pPr>
              <w:jc w:val="right"/>
              <w:ind w:right="83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24"/>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020" w:type="dxa"/>
            <w:vAlign w:val="bottom"/>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1040" w:type="dxa"/>
            <w:vAlign w:val="bottom"/>
          </w:tcPr>
          <w:p>
            <w:pPr>
              <w:jc w:val="right"/>
              <w:ind w:right="83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has an Open Market Sale Agreement (the “Sale Agreement”) with Jefferies LLC (“Jefferies”) dated December 20, 2018, as amended on December 20, 2019 (the “2019 Amended Sale Agreement”), under which it may issue and sell common shares, from time to time, under a shelf registration statement on Form S-3 (File No. 333-235674), filed with the SEC on December 23, 2019 (the “2019 Shelf Registration Statement”). In July 2020, the Company fully utilized the remaining availability under the 2019 Amended Sale Agreement. In August 2020, the Company entered into an amendment to the 2019 Amended Sale Agreement (as amended, the “2020 Amended Sale Agreement”) with Jefferies, whereby the Company may issue and sell common shares, from time to time, for an aggregate sales price of up to $75 million, under the 2019 Shelf Registration Statement. On August 7, 2020, the Company filed a prospectus supplement with the SEC (the “August 2020 Prospectus Supplement”) under the 2019 Shelf Registration Statement in connection with the offering of up to an additional $75 million of its common shares pursuant to the 2020 Amended Sale Agreement.</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 filed a new shelf registration statement on Form S-3 (File No. 333-248467) with the SEC on August 28, 2020 (the “2020 Shelf Registration Statement”). On March 4, 2021, the Company entered into an amendment to the 2020 Amended Sale Agreement with Jefferies to reflect that the Company may issue and sell additional common shares from time to time without a cap on the aggregate sales price (as amended, the “2021 Amended Sale Agreement”). Also, on March 4, 2021, the Company filed a prospectus supplement with the SEC (the “March 2021 Prospectus Supplement”) in connection with the offering of up to an additional $75.0 million of its common shares pursuant to the 2021 Amended Sale Agreement under the 2020 Shelf Registration Statement.</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and six months ended June 30, 2021, the Company issued 1,450,145 and 7,845,925 common shares pursuant to the 2020 Amended Sale Agreement, resulting in net proceeds of approximately $4.3 million and $30.7 million, respectively. For the three and six months ended June 30, 2020, the Company issued 2,291,184 and 6,438,265 common shares pursuant to the 2019 Amended Sale Agreement, resulting in net proceeds of approximately $5.0 million and $17.4 million, respectively.</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there was approximately $9.8 million available under the August 2020 Prospectus Supplement and $75.0 million available under the March 2021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summarizes information about the Company’s stock based compensation for the three and six months ended June 30, 2021 and 2020 and the expense recognized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3960" w:type="dxa"/>
            <w:vAlign w:val="bottom"/>
            <w:gridSpan w:val="6"/>
          </w:tcPr>
          <w:p>
            <w:pPr>
              <w:ind w:left="10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r>
      <w:tr>
        <w:trPr>
          <w:trHeight w:val="182"/>
        </w:trPr>
        <w:tc>
          <w:tcPr>
            <w:tcW w:w="34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4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w w:val="94"/>
              </w:rPr>
              <w:t>(in thousands, except share and per share data)</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color w:val="auto"/>
                <w:w w:val="89"/>
              </w:rPr>
              <w:t>Options granted during period</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3,127,350</w:t>
            </w:r>
          </w:p>
        </w:tc>
        <w:tc>
          <w:tcPr>
            <w:tcW w:w="10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2,667,550</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4.23</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b w:val="1"/>
                <w:bCs w:val="1"/>
                <w:color w:val="auto"/>
                <w:w w:val="83"/>
              </w:rPr>
              <w:t>Stock compensation expense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3420" w:type="dxa"/>
            <w:vAlign w:val="bottom"/>
          </w:tcPr>
          <w:p>
            <w:pPr>
              <w:jc w:val="center"/>
              <w:ind w:right="1192"/>
              <w:spacing w:after="0"/>
              <w:rPr>
                <w:sz w:val="20"/>
                <w:szCs w:val="20"/>
                <w:color w:val="auto"/>
              </w:rPr>
            </w:pPr>
            <w:r>
              <w:rPr>
                <w:rFonts w:ascii="Arial" w:cs="Arial" w:eastAsia="Arial" w:hAnsi="Arial"/>
                <w:sz w:val="18"/>
                <w:szCs w:val="18"/>
                <w:color w:val="auto"/>
                <w:w w:val="86"/>
              </w:rPr>
              <w:t>Research and development</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1,418</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24"/>
        </w:trPr>
        <w:tc>
          <w:tcPr>
            <w:tcW w:w="342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8"/>
              </w:rPr>
              <w:t>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16"/>
        </w:trPr>
        <w:tc>
          <w:tcPr>
            <w:tcW w:w="342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160" w:type="dxa"/>
            <w:vAlign w:val="bottom"/>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3,378</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3,042</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October 2, 2017, the Company announced that it entered into a subscription agreement with Roivant for the sale of Preferred Shares to Roivant for gross proceeds of $116.4 million.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approximately 23 million common shares on October 18, 2021 (subject to limited exceptions in the event of certain fundamental corporate transactions relating to the Company’s capital structure or assets, which would permit earlier conversion at Roivant’s option). Assuming conversion of the Preferred Shares into common shares, based on the number of common shares outstanding on June 30, 2021 Roivant would hold 32% of the Company’s common shares. Roivant has agreed to a four year lock-up period for this investment and its existing holdings in the Company. Roivant has also agreed to a four year standstill whereby Roivant will not acquire greater than 49.99% of the Company’s common shares or securities convertible into common shares. Both the lockup and standstill periods expire on October 18, 2021. Following the expiration of the standstill period, Roivant will no longer be contractually prohibited from acquiring control of the Company. The initial investment of $50.0 million closed on October 16, 2017, and the remaining amount of $66.4 million closed on January 12, 2018 following regulatory and shareholder approvals.</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records the Preferred Shares wholly as equity with no bifurcation of the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and six months ended June 30, 2021 and 2020,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2020 and our unaudited condensed consolidated financial statements for the three and six months ended June 30, 2021.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44"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of our product candidates to improve upon the standard of care and contribute to a functional curative combination treatment regimen;</w:t>
      </w:r>
    </w:p>
    <w:p>
      <w:pPr>
        <w:spacing w:after="0" w:line="78"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developing a suite of products that intervene at different points in the viral life cycle, with the potential to reactivate the host immune system;</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pre-clinical results to adaptively design clinical trials for additional cohorts of patients, testing the combination and the duration of therapy;</w:t>
      </w:r>
    </w:p>
    <w:p>
      <w:pPr>
        <w:spacing w:after="0" w:line="78"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spacing w:after="0" w:line="2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of substantially increasing diagnosis and treatment rates for people with chronic HBV through the introduction of an HBV curative regimen with a finite duration;</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HBV product candidate pipeline through internal development, acquisitions and in-licenses;</w:t>
      </w:r>
    </w:p>
    <w:p>
      <w:pPr>
        <w:spacing w:after="0" w:line="55"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additional data from ongoing cohorts of the Phase 1a/1b trial of AB-729 to be available in the second half of 2021 (including initial data from the 90 mg every 12-week dosing interval cohort in HBV DNA negative subjects and initial data from the 90 mg every 8-week dosing interval cohort in HBV DNA positive subjects);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spacing w:after="0" w:line="22" w:lineRule="exact"/>
        <w:rPr>
          <w:rFonts w:ascii="Arial" w:cs="Arial" w:eastAsia="Arial" w:hAnsi="Arial"/>
          <w:sz w:val="18"/>
          <w:szCs w:val="18"/>
          <w:color w:val="auto"/>
        </w:rPr>
      </w:pPr>
    </w:p>
    <w:p>
      <w:pPr>
        <w:jc w:val="both"/>
        <w:ind w:left="640" w:hanging="319"/>
        <w:spacing w:after="0" w:line="249"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the anticipated trial design, timing, number of patients and dosing of our Phase 2a clinical trial of Assembly Biosciences, Inc.’s (“Assembly”) investigational HBV core inhibitor candidate, also known as a capsid inhibitor, vebicorvir, in combination with our proprietary GalNAc delivered RNAi therapeutic candidate, AB-729, and standard-of-care nucleos(t)ide reverse transcriptase inhibitor (NrtI) therapy for the treatment of patients with chronic HBV infection;</w:t>
      </w:r>
    </w:p>
    <w:p>
      <w:pPr>
        <w:spacing w:after="0" w:line="34"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undertake a larger Phase 2b clinical trial to evaluate AB-729 in collaboration with Vaccitech plc (“Vaccitech”);</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initiate two Phase 2a proof-of-concept clinical trials of AB-729 with Peg-IFNα-2a and Antios Therapeutics, Inc.’s (“Antios”) ATI-2173 in the second half of 2021;</w:t>
      </w:r>
    </w:p>
    <w:p>
      <w:pPr>
        <w:spacing w:after="0" w:line="2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file a Clinical Trial Application (CTA) for a Phase 2a proof-of-concept clinical trial of AB-729 with Vaccitech’s VTP-300 in the second half of 2021 and to initiate the clinical trial in early 2022;</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obtain initial data from the ongoing Phase 1a/1b clinical trial for AB-836 in the second half of 2021;</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 and other competitive capsid inhibitors;</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AB-729 to have a dosing schedule as infrequently as every 8 to 12 weeks;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55" w:lineRule="exact"/>
        <w:rPr>
          <w:rFonts w:ascii="Arial" w:cs="Arial" w:eastAsia="Arial" w:hAnsi="Arial"/>
          <w:sz w:val="18"/>
          <w:szCs w:val="18"/>
          <w:color w:val="auto"/>
        </w:rPr>
      </w:pPr>
    </w:p>
    <w:p>
      <w:pPr>
        <w:ind w:left="640" w:hanging="319"/>
        <w:spacing w:after="0" w:line="267"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for our collaboration with X-Chem, Inc. (“X-Chem”) and Proteros biostructures GmbH (“Proteros”) to result in the rapid screening of one of the largest small molecule libraries against M</w:t>
      </w:r>
      <w:r>
        <w:rPr>
          <w:rFonts w:ascii="Arial" w:cs="Arial" w:eastAsia="Arial" w:hAnsi="Arial"/>
          <w:sz w:val="21"/>
          <w:szCs w:val="21"/>
          <w:color w:val="auto"/>
          <w:vertAlign w:val="superscript"/>
        </w:rPr>
        <w:t>pro</w:t>
      </w:r>
      <w:r>
        <w:rPr>
          <w:rFonts w:ascii="Arial" w:cs="Arial" w:eastAsia="Arial" w:hAnsi="Arial"/>
          <w:sz w:val="17"/>
          <w:szCs w:val="17"/>
          <w:color w:val="auto"/>
        </w:rPr>
        <w:t xml:space="preserve"> and the potential for us to progress related inhibitors to clinical candidates;</w:t>
      </w:r>
    </w:p>
    <w:p>
      <w:pPr>
        <w:spacing w:after="0" w:line="1" w:lineRule="exact"/>
        <w:rPr>
          <w:rFonts w:ascii="Arial" w:cs="Arial" w:eastAsia="Arial" w:hAnsi="Arial"/>
          <w:sz w:val="17"/>
          <w:szCs w:val="17"/>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from the Gritstone Oncology, Inc. licensing agreement;</w:t>
      </w:r>
    </w:p>
    <w:p>
      <w:pPr>
        <w:spacing w:after="0" w:line="41"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royalty payments from the agreement related to Genevant Sciences Ltd.;</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through the third quarter of 2022 based on our expectation of a net cash burn between $70 million and $75 million in 2021; and</w:t>
      </w:r>
    </w:p>
    <w:p>
      <w:pPr>
        <w:spacing w:after="0" w:line="22"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2020 (the “Form 10-K”), and in particular the risks and uncertainties discussed under “Item 1A-Risk Factors” of this Form 10-Q and the Form 10-K. As a result, you should not place undue reliance on forward-looking statements.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0" w:name="page21"/>
    <w:bookmarkEnd w:id="20"/>
    <w:p>
      <w:pPr>
        <w:jc w:val="both"/>
        <w:spacing w:after="0" w:line="324" w:lineRule="auto"/>
        <w:rPr>
          <w:sz w:val="20"/>
          <w:szCs w:val="20"/>
          <w:color w:val="auto"/>
        </w:rPr>
      </w:pPr>
      <w:r>
        <w:rPr>
          <w:rFonts w:ascii="Arial" w:cs="Arial" w:eastAsia="Arial" w:hAnsi="Arial"/>
          <w:sz w:val="16"/>
          <w:szCs w:val="16"/>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OVERVIEW</w:t>
      </w:r>
    </w:p>
    <w:p>
      <w:pPr>
        <w:spacing w:after="0" w:line="2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Arbutus Biopharma Corporation (“Arbutus”, the “Company”, “we”, “us”, and “our”) is a clinical-stage, biopharmaceutical company focused primarily on discovering, developing and commercializing a cure for people with chronic hepatitis B virus (“HBV”) infection. We are advancing multiple product candidates with distinct mechanisms of action and we believe the combination of two or more of these product candidates has the potential to provide a new curative regimen for chronic HBV infection. We have also initiated a drug discovery and development effort for treating coronaviruses, including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34" w:lineRule="exact"/>
        <w:rPr>
          <w:sz w:val="20"/>
          <w:szCs w:val="20"/>
          <w:color w:val="auto"/>
        </w:rPr>
      </w:pPr>
    </w:p>
    <w:p>
      <w:pPr>
        <w:jc w:val="both"/>
        <w:ind w:left="640" w:hanging="319"/>
        <w:spacing w:after="0" w:line="285"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Developing a broad portfolio of proprietary therapeutic product candidates that target multiple elements of the HBV viral lifecycle. </w:t>
      </w:r>
      <w:r>
        <w:rPr>
          <w:rFonts w:ascii="Arial" w:cs="Arial" w:eastAsia="Arial" w:hAnsi="Arial"/>
          <w:sz w:val="16"/>
          <w:szCs w:val="16"/>
          <w:color w:val="auto"/>
        </w:rPr>
        <w:t>Our HBV</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pipeline includes RNA interference (“RNAi”) therapeutics, oral capsid inhibitors, oral HBV RNA destabilizer compounds and oral compounds that inhibit PD-L1 with the intention of reawakening patients’ HBV-specific immune response. We believe that suppressing HBV DNA replication and hepatitis B surface antigen (“HBsAg”) expression as well as reawakening patients’ HBV-specific immune response are the most important elements to achieving a functional cure. We define a functional cure as unquantifiable plasma HBV DNA and HBsAg levels greater than six months after end of therapy with or without quantifiable anti-HBsAg antibodies.</w:t>
      </w:r>
    </w:p>
    <w:p>
      <w:pPr>
        <w:spacing w:after="0" w:line="193"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Our two lead product candidates are AB-729, our proprietary subcutaneously-delivered RNAi product candidate that suppresses HBsAg expression, which is thought to be a key prerequisite to enable reawakening of a patient’s immune system to respond to HBV, and AB-836, our proprietary next-generation oral capsid inhibitor that suppresses HBV DNA replication.</w:t>
      </w:r>
    </w:p>
    <w:p>
      <w:pPr>
        <w:spacing w:after="0" w:line="215" w:lineRule="exact"/>
        <w:rPr>
          <w:rFonts w:ascii="Arial" w:cs="Arial" w:eastAsia="Arial" w:hAnsi="Arial"/>
          <w:sz w:val="16"/>
          <w:szCs w:val="16"/>
          <w:color w:val="auto"/>
        </w:rPr>
      </w:pPr>
    </w:p>
    <w:p>
      <w:pPr>
        <w:jc w:val="both"/>
        <w:ind w:left="640"/>
        <w:spacing w:after="0" w:line="284" w:lineRule="auto"/>
        <w:rPr>
          <w:rFonts w:ascii="Arial" w:cs="Arial" w:eastAsia="Arial" w:hAnsi="Arial"/>
          <w:sz w:val="16"/>
          <w:szCs w:val="16"/>
          <w:color w:val="auto"/>
        </w:rPr>
      </w:pPr>
      <w:r>
        <w:rPr>
          <w:rFonts w:ascii="Arial" w:cs="Arial" w:eastAsia="Arial" w:hAnsi="Arial"/>
          <w:sz w:val="16"/>
          <w:szCs w:val="16"/>
          <w:color w:val="auto"/>
        </w:rPr>
        <w:t>AB-729 is currently in an ongoing Phase 1a/1b clinical trial and a Phase 2a proof-of-concept clinical trial in collaboration with Assembly Biosciences, Inc.(“Assembly”). We have announced positive preliminary results in the Phase 1a/1b clinical trial from several single and multi-dose cohorts of subjects with chronic HBV infection, which have demonstrated that treatment with AB-729 resulted in meaningful declines in HBsAg while being well tolerated with no serious adverse events noted after both single and repeat dosing. We expect to provide additional data from ongoing cohorts of this Phase 1a/1b clinical trial in the second half of 2021, including initial data from the 90 mg every 12-week dosing interval cohort in HBV DNA negative subjects and initial data from the 90 mg every 8-week dosing interval cohort in HBV DNA positive subjects.</w:t>
      </w:r>
    </w:p>
    <w:p>
      <w:pPr>
        <w:spacing w:after="0" w:line="192" w:lineRule="exact"/>
        <w:rPr>
          <w:rFonts w:ascii="Arial" w:cs="Arial" w:eastAsia="Arial" w:hAnsi="Arial"/>
          <w:sz w:val="16"/>
          <w:szCs w:val="16"/>
          <w:color w:val="auto"/>
        </w:rPr>
      </w:pPr>
    </w:p>
    <w:p>
      <w:pPr>
        <w:ind w:left="640" w:right="380"/>
        <w:spacing w:after="0" w:line="252" w:lineRule="auto"/>
        <w:rPr>
          <w:rFonts w:ascii="Arial" w:cs="Arial" w:eastAsia="Arial" w:hAnsi="Arial"/>
          <w:sz w:val="16"/>
          <w:szCs w:val="16"/>
          <w:color w:val="auto"/>
        </w:rPr>
      </w:pPr>
      <w:r>
        <w:rPr>
          <w:rFonts w:ascii="Arial" w:cs="Arial" w:eastAsia="Arial" w:hAnsi="Arial"/>
          <w:sz w:val="18"/>
          <w:szCs w:val="18"/>
          <w:color w:val="auto"/>
        </w:rPr>
        <w:t>We are enrolling subjects in a Phase 1a/1b clinical trial for AB-836 with initial data from healthy volunteers and HBV subjects anticipated in the second half of 2021. AB-836 is from a novel chemical series differentiated from competitor compounds and has the potential to provide increased efficacy and an enhanced resistance profile.</w:t>
      </w:r>
    </w:p>
    <w:p>
      <w:pPr>
        <w:spacing w:after="0" w:line="215"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Additionally, we are in lead optimization with oral compounds that inhibit PD-L1 with the intention of reawakening patients’ HBV-specific immune response and next-generation oral HBV RNA destabilizer compounds that are designed to destabilize and ultimately degrade HBV RNAs resulting in the reduction of HBsAg.</w:t>
      </w:r>
    </w:p>
    <w:p>
      <w:pPr>
        <w:spacing w:after="0" w:line="209" w:lineRule="exact"/>
        <w:rPr>
          <w:rFonts w:ascii="Arial" w:cs="Arial" w:eastAsia="Arial" w:hAnsi="Arial"/>
          <w:sz w:val="16"/>
          <w:szCs w:val="16"/>
          <w:color w:val="auto"/>
        </w:rPr>
      </w:pPr>
    </w:p>
    <w:p>
      <w:pPr>
        <w:ind w:left="640" w:hanging="319"/>
        <w:spacing w:after="0" w:line="288"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Creating combinations of therapeutic product candidates with complementary mechanisms of action designed to provide a functional cure for people with chronic HBV infection. </w:t>
      </w:r>
      <w:r>
        <w:rPr>
          <w:rFonts w:ascii="Arial" w:cs="Arial" w:eastAsia="Arial" w:hAnsi="Arial"/>
          <w:sz w:val="16"/>
          <w:szCs w:val="16"/>
          <w:color w:val="auto"/>
        </w:rPr>
        <w:t>We believe that our proprietary product candidates AB-729 and AB-836, along with existing approved therapies,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combined into our first combination therapy for people with chronic HBV infection. To advance our efforts to position AB-729 as a potential cornerstone therapeutic in future HBV combination regimens, we have entered into several clinical collaborations to evaluate AB-729 in combination with other agents with potentially complementary mechanisms of action:</w:t>
      </w:r>
    </w:p>
    <w:p>
      <w:pPr>
        <w:spacing w:after="0" w:line="190" w:lineRule="exact"/>
        <w:rPr>
          <w:rFonts w:ascii="Arial" w:cs="Arial" w:eastAsia="Arial" w:hAnsi="Arial"/>
          <w:sz w:val="16"/>
          <w:szCs w:val="16"/>
          <w:color w:val="auto"/>
        </w:rPr>
      </w:pPr>
    </w:p>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our collaboration with Assembly, we are enrolling subjects in a Phase 2a proof-of-concept clinical trial with a triple combination of AB-729, our RNAi product candidate, Assembly’s lead HBV core inhibitor (capsid inhibitor) product candidate, vebicorvir (“VBR”), and nucleos(t)ide analog (“NA”) therapy for the treatment of people with chronic HBV infection.</w:t>
      </w:r>
    </w:p>
    <w:p>
      <w:pPr>
        <w:spacing w:after="0" w:line="215" w:lineRule="exact"/>
        <w:rPr>
          <w:rFonts w:ascii="Arial" w:cs="Arial" w:eastAsia="Arial" w:hAnsi="Arial"/>
          <w:sz w:val="18"/>
          <w:szCs w:val="18"/>
          <w:color w:val="auto"/>
        </w:rPr>
      </w:pPr>
    </w:p>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July 2021, Arbutus received authorization from the U.S. Food and Drug Administration to proceed with its Investigational New Drug (IND) application for AB-729 in a Phase 2a proof-of-concept clinical trial to evaluate AB-729 in combination with ongoing NA therapy and short courses of Peg-IFNα-2a in subjects with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2" w:name="page23"/>
    <w:bookmarkEnd w:id="22"/>
    <w:p>
      <w:pPr>
        <w:ind w:left="1260"/>
        <w:spacing w:after="0"/>
        <w:rPr>
          <w:sz w:val="20"/>
          <w:szCs w:val="20"/>
          <w:color w:val="auto"/>
        </w:rPr>
      </w:pPr>
      <w:r>
        <w:rPr>
          <w:rFonts w:ascii="Arial" w:cs="Arial" w:eastAsia="Arial" w:hAnsi="Arial"/>
          <w:sz w:val="18"/>
          <w:szCs w:val="18"/>
          <w:color w:val="auto"/>
        </w:rPr>
        <w:t>chronic HBV infection. This Phase 2a proof-of-concept clinical trial is expected to initiate in the second half of 2021.</w:t>
      </w:r>
    </w:p>
    <w:p>
      <w:pPr>
        <w:spacing w:after="0" w:line="253" w:lineRule="exact"/>
        <w:rPr>
          <w:sz w:val="20"/>
          <w:szCs w:val="20"/>
          <w:color w:val="auto"/>
        </w:rPr>
      </w:pPr>
    </w:p>
    <w:p>
      <w:pPr>
        <w:jc w:val="both"/>
        <w:ind w:left="1260" w:hanging="309"/>
        <w:spacing w:after="0" w:line="266" w:lineRule="auto"/>
        <w:tabs>
          <w:tab w:leader="none" w:pos="1248" w:val="left"/>
        </w:tabs>
        <w:numPr>
          <w:ilvl w:val="1"/>
          <w:numId w:val="16"/>
        </w:numPr>
        <w:rPr>
          <w:rFonts w:ascii="Arial" w:cs="Arial" w:eastAsia="Arial" w:hAnsi="Arial"/>
          <w:sz w:val="18"/>
          <w:szCs w:val="18"/>
          <w:color w:val="auto"/>
        </w:rPr>
      </w:pPr>
      <w:r>
        <w:rPr>
          <w:rFonts w:ascii="Arial" w:cs="Arial" w:eastAsia="Arial" w:hAnsi="Arial"/>
          <w:sz w:val="17"/>
          <w:szCs w:val="17"/>
          <w:color w:val="auto"/>
        </w:rPr>
        <w:t>In July 2021, we entered into a clinical collaboration with Vaccitech to evaluate a triple combination of AB-729 with Vaccitech’s proprietary immunotherapeutic, VTP-300, and standard-of-care NA therapy for the treatment of subjects with chronic HBV infection. We expect to file a Clinical Trial Application (CTA) in the second half of 2021 and initiate the clinical trial in early 2022.</w:t>
      </w:r>
    </w:p>
    <w:p>
      <w:pPr>
        <w:spacing w:after="0" w:line="217" w:lineRule="exact"/>
        <w:rPr>
          <w:rFonts w:ascii="Arial" w:cs="Arial" w:eastAsia="Arial" w:hAnsi="Arial"/>
          <w:sz w:val="18"/>
          <w:szCs w:val="18"/>
          <w:color w:val="auto"/>
        </w:rPr>
      </w:pPr>
    </w:p>
    <w:p>
      <w:pPr>
        <w:jc w:val="both"/>
        <w:ind w:left="1260" w:hanging="309"/>
        <w:spacing w:after="0" w:line="266" w:lineRule="auto"/>
        <w:tabs>
          <w:tab w:leader="none" w:pos="1248" w:val="left"/>
        </w:tabs>
        <w:numPr>
          <w:ilvl w:val="1"/>
          <w:numId w:val="16"/>
        </w:numPr>
        <w:rPr>
          <w:rFonts w:ascii="Arial" w:cs="Arial" w:eastAsia="Arial" w:hAnsi="Arial"/>
          <w:sz w:val="18"/>
          <w:szCs w:val="18"/>
          <w:color w:val="auto"/>
        </w:rPr>
      </w:pPr>
      <w:r>
        <w:rPr>
          <w:rFonts w:ascii="Arial" w:cs="Arial" w:eastAsia="Arial" w:hAnsi="Arial"/>
          <w:sz w:val="17"/>
          <w:szCs w:val="17"/>
          <w:color w:val="auto"/>
        </w:rPr>
        <w:t>In June 2021, we entered into a clinical collaboration with Antios to evaluate a triple combination of AB-729, Antios’ proprietary active site polymerase inhibitor nucleotide (ASPIN), ATI-2173, and Viread (tenofovir disoproxil fumarate), for the treatment of subjects with chronic HBV infection. This Phase 2a proof-of-concept clinical trial is expected to initiate in the second half of 2021.</w:t>
      </w:r>
    </w:p>
    <w:p>
      <w:pPr>
        <w:spacing w:after="0" w:line="198" w:lineRule="exact"/>
        <w:rPr>
          <w:rFonts w:ascii="Arial" w:cs="Arial" w:eastAsia="Arial" w:hAnsi="Arial"/>
          <w:sz w:val="18"/>
          <w:szCs w:val="18"/>
          <w:color w:val="auto"/>
        </w:rPr>
      </w:pPr>
    </w:p>
    <w:p>
      <w:pPr>
        <w:ind w:left="640" w:hanging="319"/>
        <w:spacing w:after="0" w:line="243"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Advancement of an internal research program focused on identifying new small molecule antiviral medicines to treat COVID-19 and future coronavirus outbreaks. </w:t>
      </w:r>
      <w:r>
        <w:rPr>
          <w:rFonts w:ascii="Arial" w:cs="Arial" w:eastAsia="Arial" w:hAnsi="Arial"/>
          <w:sz w:val="17"/>
          <w:szCs w:val="17"/>
          <w:color w:val="auto"/>
        </w:rPr>
        <w:t>This program is focused on the discovery and development of new molecular entities for treating coronaviruses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COVID-19) that address specific viral targets including the nsp12 viral polymerase and the nsp5 viral protease. Our collaboration with X-Chem, Inc. (“X-Chem”) and Proteros biostructures GmbH (“Proteros”) is expected to allow for the rapid screening of one of the largest small molecule libraries against M</w:t>
      </w:r>
      <w:r>
        <w:rPr>
          <w:rFonts w:ascii="Arial" w:cs="Arial" w:eastAsia="Arial" w:hAnsi="Arial"/>
          <w:sz w:val="21"/>
          <w:szCs w:val="21"/>
          <w:color w:val="auto"/>
          <w:vertAlign w:val="superscript"/>
        </w:rPr>
        <w:t>pro</w:t>
      </w:r>
      <w:r>
        <w:rPr>
          <w:rFonts w:ascii="Arial" w:cs="Arial" w:eastAsia="Arial" w:hAnsi="Arial"/>
          <w:sz w:val="17"/>
          <w:szCs w:val="17"/>
          <w:color w:val="auto"/>
        </w:rPr>
        <w:t xml:space="preserve"> (an essential protein required for the virus to replicate itself) and use state-of-the-art structure guided methods to rapidly optimize M</w:t>
      </w:r>
      <w:r>
        <w:rPr>
          <w:rFonts w:ascii="Arial" w:cs="Arial" w:eastAsia="Arial" w:hAnsi="Arial"/>
          <w:sz w:val="21"/>
          <w:szCs w:val="21"/>
          <w:color w:val="auto"/>
          <w:vertAlign w:val="superscript"/>
        </w:rPr>
        <w:t>pro</w:t>
      </w:r>
      <w:r>
        <w:rPr>
          <w:rFonts w:ascii="Arial" w:cs="Arial" w:eastAsia="Arial" w:hAnsi="Arial"/>
          <w:sz w:val="17"/>
          <w:szCs w:val="17"/>
          <w:color w:val="auto"/>
        </w:rPr>
        <w:t xml:space="preserve"> inhibitors, which we could potentially progress to clinical candidates.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Given the biology of HBV, we believe combination therapies are the key to more effective HBV treatment and a potential functional cure. Our product pipeline includes multiple product candidates that target various steps in the viral lifecycle. We believe each of these mechanisms, when administered for a finite duration in combination with existing approved therapies, have the potential to improve upon the standard of care and potentially lead to a functional cure.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5708650" cy="2912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8650" cy="291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explore expansion of our HBV pipeline through internal discovery and development activities and through potential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chronically infected with HBV. Reducing HBsAg is widely believed to be a key prerequisite to enable a patient’s immune system to reawaken and respond against the virus.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AB-729 is a subcutaneously-delivered RNAi therapeutic targeted to hepatocytes using our proprietary covalently conjugated GalNAc delivery technology. AB-729 reduces all HBV antigens and inhibits viral replication. In July 2019, we initiated a single- and multi-dose Phase 1a/1b clinical trial for AB-729, designed to investigate the safety, tolerability, pharmacokinetics, and pharmacodynamics of AB-729 in healthy volunteers and in chronic HBV subjects and to determine the most appropriate doses and dosing intervals to take forward into Phase 2 clinical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ongoing first-in-human clinical trial of AB-729 consists of three parts:</w:t>
      </w:r>
    </w:p>
    <w:p>
      <w:pPr>
        <w:spacing w:after="0" w:line="240" w:lineRule="exact"/>
        <w:rPr>
          <w:sz w:val="20"/>
          <w:szCs w:val="20"/>
          <w:color w:val="auto"/>
        </w:rPr>
      </w:pPr>
    </w:p>
    <w:p>
      <w:pPr>
        <w:ind w:left="260" w:hanging="97"/>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Part 1, three cohorts of healthy volunteers were randomized 4:2 to receive single doses (60 mg, 180 mg or 360 mg) of AB-729 or placebo.</w:t>
      </w:r>
    </w:p>
    <w:p>
      <w:pPr>
        <w:spacing w:after="0" w:line="38" w:lineRule="exact"/>
        <w:rPr>
          <w:rFonts w:ascii="Arial" w:cs="Arial" w:eastAsia="Arial" w:hAnsi="Arial"/>
          <w:sz w:val="16"/>
          <w:szCs w:val="16"/>
          <w:color w:val="auto"/>
        </w:rPr>
      </w:pPr>
    </w:p>
    <w:p>
      <w:pPr>
        <w:ind w:left="480" w:hanging="317"/>
        <w:spacing w:after="0" w:line="243" w:lineRule="auto"/>
        <w:tabs>
          <w:tab w:leader="none" w:pos="2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Part 2, non-cirrhotic, hepatitis B e-antigen (“HBeAg”) positive or negative chronic HBV subjects (n=6) currently taking NA therapy with HBV DNA below the limit of quantitation received single doses (60 mg to 180 mg) of AB-729. An additional cohort in Part 2 included 90 mg single-dose of AB-729 in HBV DNA positive chronic HBV subjects (n=6).</w:t>
      </w:r>
    </w:p>
    <w:p>
      <w:pPr>
        <w:spacing w:after="0" w:line="2" w:lineRule="exact"/>
        <w:rPr>
          <w:rFonts w:ascii="Arial" w:cs="Arial" w:eastAsia="Arial" w:hAnsi="Arial"/>
          <w:sz w:val="18"/>
          <w:szCs w:val="18"/>
          <w:color w:val="auto"/>
        </w:rPr>
      </w:pPr>
    </w:p>
    <w:p>
      <w:pPr>
        <w:ind w:left="480" w:hanging="317"/>
        <w:spacing w:after="0" w:line="245" w:lineRule="auto"/>
        <w:tabs>
          <w:tab w:leader="none" w:pos="2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Part 3, chronic HBV subjects, HBV DNA negative first and HBV DNA positive later, receive multiple doses of AB-729 for up to six months. Upon completion of six months of dosing, all subjects in the 60 mg dose every 4 weeks and 60 mg dose every 8 weeks cohorts elected the option to reconsent and receive an additional six months of dosing for a total of 48 weeks.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Part 1 of the trial, which dosed healthy volunteers, was completed and supported advancing doses ranging from 60 mg to 180 mg into Part 2. Part 2 of the trial, which dosed subjects with chronic HBV infection with single doses of AB-729, completed its 48 weeks of follow-up period in the second quarter of 2021. Additionally, several cohorts in Part 3 have received multiple doses of AB-729. Results to date demonstrate that treatment of AB-729 has been safe and well tolerated.</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Single doses of 60 mg, 90 mg and 180 mg resulted in comparable mean HBsAg declines at week 12 (-0.99 log10 IU/mL vs -1.23 log10 IU/mL, vs -1.10 log10 IU/mL, respectively) followed by a sustained plateau phase. In HBV DNA positive HBV subjects, a single 90 mg dose resulted in robust mean declines in HBsAg (-1.02 log10 IU/mL) and HBV DNA (-1.53 log10 IU/mL) at week 12, as well as decreases in HBV RNA and core-related antigen. Similar mean HBsAg reductions were observed in HBV DNA positive and negative chronic HBV subjects. These findings support complete target engagement by AB-729.</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June 2021, we presented three posters and a late breaker oral presentation at the 2021 EASL conference highlighting the most recent data from the multi-dose cohorts of this clinical trial. Repeat dosing of AB-729 resulted in a robust mean HBsAg decline followed by a sustained plateau phase. Repeat dosing using the 60 mg dose every 8 weeks resulted in comparable mean HBsAg declines relative to the 60 mg dose every 4 weeks. Repeat dosing using the 90 mg dose every 8 weeks resulted in comparable mean HBsAg declines relative to the 60 mg dose every 8 weeks. Additionally, based on 3/5 evaluable subjects, long term dosing of AB-729 demonstrated increased HBV specific immune responses, providing support for combination therapy including immunomodulatory agents.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Mean (range) change in HBsAg with repeat dosing of AB-729:</w:t>
      </w:r>
    </w:p>
    <w:p>
      <w:pPr>
        <w:spacing w:after="0" w:line="265" w:lineRule="exact"/>
        <w:rPr>
          <w:sz w:val="20"/>
          <w:szCs w:val="20"/>
          <w:color w:val="auto"/>
        </w:rPr>
      </w:pPr>
    </w:p>
    <w:tbl>
      <w:tblPr>
        <w:tblLayout w:type="fixed"/>
        <w:tblInd w:w="650" w:type="dxa"/>
        <w:tblCellMar>
          <w:top w:w="0" w:type="dxa"/>
          <w:left w:w="0" w:type="dxa"/>
          <w:bottom w:w="0" w:type="dxa"/>
          <w:right w:w="0" w:type="dxa"/>
        </w:tblCellMar>
      </w:tblPr>
      <w:tr>
        <w:trPr>
          <w:trHeight w:val="161"/>
        </w:trPr>
        <w:tc>
          <w:tcPr>
            <w:tcW w:w="1120" w:type="dxa"/>
            <w:vAlign w:val="bottom"/>
            <w:tcBorders>
              <w:top w:val="single" w:sz="8" w:color="auto"/>
              <w:left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color w:val="auto"/>
                <w:w w:val="87"/>
              </w:rPr>
              <w:t>Visit</w:t>
            </w:r>
          </w:p>
        </w:tc>
        <w:tc>
          <w:tcPr>
            <w:tcW w:w="2180" w:type="dxa"/>
            <w:vAlign w:val="bottom"/>
            <w:tcBorders>
              <w:top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color w:val="auto"/>
                <w:w w:val="94"/>
              </w:rPr>
              <w:t>Cohort E</w:t>
            </w:r>
          </w:p>
        </w:tc>
        <w:tc>
          <w:tcPr>
            <w:tcW w:w="190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auto"/>
                <w:w w:val="92"/>
              </w:rPr>
              <w:t>Cohort F</w:t>
            </w:r>
          </w:p>
        </w:tc>
        <w:tc>
          <w:tcPr>
            <w:tcW w:w="200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auto"/>
                <w:w w:val="96"/>
              </w:rPr>
              <w:t>Cohort I</w:t>
            </w:r>
          </w:p>
        </w:tc>
        <w:tc>
          <w:tcPr>
            <w:tcW w:w="13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4"/>
                <w:szCs w:val="14"/>
                <w:b w:val="1"/>
                <w:bCs w:val="1"/>
                <w:i w:val="1"/>
                <w:iCs w:val="1"/>
                <w:color w:val="auto"/>
              </w:rPr>
              <w:t xml:space="preserve">p </w:t>
            </w:r>
            <w:r>
              <w:rPr>
                <w:rFonts w:ascii="Arial" w:cs="Arial" w:eastAsia="Arial" w:hAnsi="Arial"/>
                <w:sz w:val="14"/>
                <w:szCs w:val="14"/>
                <w:b w:val="1"/>
                <w:bCs w:val="1"/>
                <w:color w:val="auto"/>
              </w:rPr>
              <w:t>value</w:t>
            </w:r>
          </w:p>
        </w:tc>
      </w:tr>
      <w:tr>
        <w:trPr>
          <w:trHeight w:val="188"/>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AB-729 60 mg Q4W</w:t>
            </w:r>
          </w:p>
        </w:tc>
        <w:tc>
          <w:tcPr>
            <w:tcW w:w="1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AB-729 60 mg Q8W</w:t>
            </w:r>
          </w:p>
        </w:tc>
        <w:tc>
          <w:tcPr>
            <w:tcW w:w="20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AB-729 90 mg Q8W</w:t>
            </w:r>
          </w:p>
        </w:tc>
        <w:tc>
          <w:tcPr>
            <w:tcW w:w="1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between Cohorts</w:t>
            </w: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-1.44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-1.39</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-1.63</w:t>
            </w:r>
          </w:p>
        </w:tc>
        <w:tc>
          <w:tcPr>
            <w:tcW w:w="1300" w:type="dxa"/>
            <w:vAlign w:val="bottom"/>
            <w:tcBorders>
              <w:right w:val="single" w:sz="8" w:color="auto"/>
            </w:tcBorders>
          </w:tcPr>
          <w:p>
            <w:pPr>
              <w:ind w:left="760"/>
              <w:spacing w:after="0" w:line="147" w:lineRule="exact"/>
              <w:rPr>
                <w:sz w:val="20"/>
                <w:szCs w:val="20"/>
                <w:color w:val="auto"/>
              </w:rPr>
            </w:pPr>
            <w:r>
              <w:rPr>
                <w:rFonts w:ascii="Arial" w:cs="Arial" w:eastAsia="Arial" w:hAnsi="Arial"/>
                <w:sz w:val="14"/>
                <w:szCs w:val="14"/>
                <w:b w:val="1"/>
                <w:bCs w:val="1"/>
                <w:i w:val="1"/>
                <w:iCs w:val="1"/>
                <w:color w:val="auto"/>
              </w:rPr>
              <w:t xml:space="preserve">p </w:t>
            </w:r>
            <w:r>
              <w:rPr>
                <w:rFonts w:ascii="Arial" w:cs="Arial" w:eastAsia="Arial" w:hAnsi="Arial"/>
                <w:sz w:val="14"/>
                <w:szCs w:val="14"/>
                <w:b w:val="1"/>
                <w:bCs w:val="1"/>
                <w:color w:val="auto"/>
              </w:rPr>
              <w:t>≥ 0.4</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16</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(-0.71 to -1.95)</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(-1.61 to -1.08)</w:t>
            </w:r>
          </w:p>
        </w:tc>
        <w:tc>
          <w:tcPr>
            <w:tcW w:w="200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4"/>
                <w:szCs w:val="14"/>
                <w:color w:val="auto"/>
                <w:w w:val="92"/>
              </w:rPr>
              <w:t>(-0.89 to -2.44)</w:t>
            </w: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FFFFFF"/>
                <w:w w:val="96"/>
              </w:rPr>
              <w:t>‘</w:t>
            </w:r>
            <w:r>
              <w:rPr>
                <w:rFonts w:ascii="Arial" w:cs="Arial" w:eastAsia="Arial" w:hAnsi="Arial"/>
                <w:sz w:val="14"/>
                <w:szCs w:val="14"/>
                <w:b w:val="1"/>
                <w:bCs w:val="1"/>
                <w:color w:val="000000"/>
                <w:w w:val="96"/>
              </w:rPr>
              <w:t>-1.84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-1.57</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-1.79</w:t>
            </w:r>
          </w:p>
        </w:tc>
        <w:tc>
          <w:tcPr>
            <w:tcW w:w="1300" w:type="dxa"/>
            <w:vAlign w:val="bottom"/>
            <w:tcBorders>
              <w:right w:val="single" w:sz="8" w:color="auto"/>
            </w:tcBorders>
          </w:tcPr>
          <w:p>
            <w:pPr>
              <w:ind w:left="760"/>
              <w:spacing w:after="0" w:line="147" w:lineRule="exact"/>
              <w:rPr>
                <w:sz w:val="20"/>
                <w:szCs w:val="20"/>
                <w:color w:val="auto"/>
              </w:rPr>
            </w:pPr>
            <w:r>
              <w:rPr>
                <w:rFonts w:ascii="Arial" w:cs="Arial" w:eastAsia="Arial" w:hAnsi="Arial"/>
                <w:sz w:val="14"/>
                <w:szCs w:val="14"/>
                <w:b w:val="1"/>
                <w:bCs w:val="1"/>
                <w:i w:val="1"/>
                <w:iCs w:val="1"/>
                <w:color w:val="auto"/>
              </w:rPr>
              <w:t xml:space="preserve">p </w:t>
            </w:r>
            <w:r>
              <w:rPr>
                <w:rFonts w:ascii="Arial" w:cs="Arial" w:eastAsia="Arial" w:hAnsi="Arial"/>
                <w:sz w:val="14"/>
                <w:szCs w:val="14"/>
                <w:b w:val="1"/>
                <w:bCs w:val="1"/>
                <w:color w:val="auto"/>
              </w:rPr>
              <w:t>≥ 0.2</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24</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(-0.99 to -2.31)</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(-1.24 to -2.01)</w:t>
            </w:r>
          </w:p>
        </w:tc>
        <w:tc>
          <w:tcPr>
            <w:tcW w:w="200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4"/>
                <w:szCs w:val="14"/>
                <w:color w:val="auto"/>
                <w:w w:val="92"/>
              </w:rPr>
              <w:t>(-1.22 to -2.46)</w:t>
            </w: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-1.84</w:t>
            </w:r>
          </w:p>
        </w:tc>
        <w:tc>
          <w:tcPr>
            <w:tcW w:w="19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-1.68</w:t>
            </w:r>
          </w:p>
        </w:tc>
        <w:tc>
          <w:tcPr>
            <w:tcW w:w="20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color w:val="auto"/>
                <w:w w:val="99"/>
              </w:rPr>
              <w:t>---</w:t>
            </w:r>
          </w:p>
        </w:tc>
        <w:tc>
          <w:tcPr>
            <w:tcW w:w="1300" w:type="dxa"/>
            <w:vAlign w:val="bottom"/>
            <w:tcBorders>
              <w:right w:val="single" w:sz="8" w:color="auto"/>
            </w:tcBorders>
          </w:tcPr>
          <w:p>
            <w:pPr>
              <w:ind w:left="760"/>
              <w:spacing w:after="0" w:line="147" w:lineRule="exact"/>
              <w:rPr>
                <w:sz w:val="20"/>
                <w:szCs w:val="20"/>
                <w:color w:val="auto"/>
              </w:rPr>
            </w:pPr>
            <w:r>
              <w:rPr>
                <w:rFonts w:ascii="Arial" w:cs="Arial" w:eastAsia="Arial" w:hAnsi="Arial"/>
                <w:sz w:val="14"/>
                <w:szCs w:val="14"/>
                <w:b w:val="1"/>
                <w:bCs w:val="1"/>
                <w:i w:val="1"/>
                <w:iCs w:val="1"/>
                <w:color w:val="auto"/>
              </w:rPr>
              <w:t xml:space="preserve">p </w:t>
            </w:r>
            <w:r>
              <w:rPr>
                <w:rFonts w:ascii="Arial" w:cs="Arial" w:eastAsia="Arial" w:hAnsi="Arial"/>
                <w:sz w:val="14"/>
                <w:szCs w:val="14"/>
                <w:b w:val="1"/>
                <w:bCs w:val="1"/>
                <w:color w:val="auto"/>
              </w:rPr>
              <w:t>= 0.5</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32</w:t>
            </w:r>
          </w:p>
        </w:tc>
        <w:tc>
          <w:tcPr>
            <w:tcW w:w="21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(-0.94 to -2.36)</w:t>
            </w:r>
          </w:p>
        </w:tc>
        <w:tc>
          <w:tcPr>
            <w:tcW w:w="190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4"/>
                <w:szCs w:val="14"/>
                <w:color w:val="auto"/>
                <w:w w:val="92"/>
              </w:rPr>
              <w:t>(-1.37 to -2.15)</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4" w:name="page25"/>
    <w:bookmarkEnd w:id="24"/>
    <w:tbl>
      <w:tblPr>
        <w:tblLayout w:type="fixed"/>
        <w:tblInd w:w="650" w:type="dxa"/>
        <w:tblCellMar>
          <w:top w:w="0" w:type="dxa"/>
          <w:left w:w="0" w:type="dxa"/>
          <w:bottom w:w="0" w:type="dxa"/>
          <w:right w:w="0" w:type="dxa"/>
        </w:tblCellMar>
      </w:tblPr>
      <w:tr>
        <w:trPr>
          <w:trHeight w:val="161"/>
        </w:trPr>
        <w:tc>
          <w:tcPr>
            <w:tcW w:w="112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Week</w:t>
            </w:r>
          </w:p>
        </w:tc>
        <w:tc>
          <w:tcPr>
            <w:tcW w:w="218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14"/>
                <w:szCs w:val="14"/>
                <w:b w:val="1"/>
                <w:bCs w:val="1"/>
                <w:color w:val="000000"/>
                <w:w w:val="94"/>
              </w:rPr>
              <w:t>-1.84</w:t>
            </w:r>
          </w:p>
        </w:tc>
        <w:tc>
          <w:tcPr>
            <w:tcW w:w="1900" w:type="dxa"/>
            <w:vAlign w:val="bottom"/>
            <w:tcBorders>
              <w:top w:val="single" w:sz="8" w:color="auto"/>
              <w:right w:val="single" w:sz="8" w:color="auto"/>
            </w:tcBorders>
          </w:tcPr>
          <w:p>
            <w:pPr>
              <w:jc w:val="center"/>
              <w:ind w:left="53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-1.78*</w:t>
            </w:r>
          </w:p>
        </w:tc>
        <w:tc>
          <w:tcPr>
            <w:tcW w:w="200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right w:val="single" w:sz="8" w:color="auto"/>
            </w:tcBorders>
          </w:tcPr>
          <w:p>
            <w:pPr>
              <w:jc w:val="center"/>
              <w:ind w:left="550"/>
              <w:spacing w:after="0"/>
              <w:rPr>
                <w:sz w:val="20"/>
                <w:szCs w:val="20"/>
                <w:color w:val="auto"/>
              </w:rPr>
            </w:pPr>
            <w:r>
              <w:rPr>
                <w:rFonts w:ascii="Arial" w:cs="Arial" w:eastAsia="Arial" w:hAnsi="Arial"/>
                <w:sz w:val="14"/>
                <w:szCs w:val="14"/>
                <w:b w:val="1"/>
                <w:bCs w:val="1"/>
                <w:i w:val="1"/>
                <w:iCs w:val="1"/>
                <w:color w:val="auto"/>
                <w:w w:val="90"/>
              </w:rPr>
              <w:t xml:space="preserve">p </w:t>
            </w:r>
            <w:r>
              <w:rPr>
                <w:rFonts w:ascii="Arial" w:cs="Arial" w:eastAsia="Arial" w:hAnsi="Arial"/>
                <w:sz w:val="14"/>
                <w:szCs w:val="14"/>
                <w:b w:val="1"/>
                <w:bCs w:val="1"/>
                <w:color w:val="auto"/>
                <w:w w:val="90"/>
              </w:rPr>
              <w:t>= 0.7</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40</w:t>
            </w:r>
          </w:p>
        </w:tc>
        <w:tc>
          <w:tcPr>
            <w:tcW w:w="21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color w:val="auto"/>
              </w:rPr>
              <w:t>(-0.88 to -2.47)</w:t>
            </w:r>
          </w:p>
        </w:tc>
        <w:tc>
          <w:tcPr>
            <w:tcW w:w="19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4"/>
                <w:szCs w:val="14"/>
                <w:color w:val="auto"/>
              </w:rPr>
              <w:t>(-1.40 to -2.14)</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right"/>
              <w:ind w:right="10"/>
              <w:spacing w:after="0" w:line="147" w:lineRule="exact"/>
              <w:rPr>
                <w:sz w:val="20"/>
                <w:szCs w:val="20"/>
                <w:color w:val="auto"/>
              </w:rPr>
            </w:pPr>
            <w:r>
              <w:rPr>
                <w:rFonts w:ascii="Arial" w:cs="Arial" w:eastAsia="Arial" w:hAnsi="Arial"/>
                <w:sz w:val="14"/>
                <w:szCs w:val="14"/>
                <w:b w:val="1"/>
                <w:bCs w:val="1"/>
                <w:color w:val="auto"/>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-1.81*</w:t>
            </w:r>
          </w:p>
        </w:tc>
        <w:tc>
          <w:tcPr>
            <w:tcW w:w="19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FFFFFF"/>
                <w:w w:val="96"/>
              </w:rPr>
              <w:t>‘</w:t>
            </w:r>
            <w:r>
              <w:rPr>
                <w:rFonts w:ascii="Arial" w:cs="Arial" w:eastAsia="Arial" w:hAnsi="Arial"/>
                <w:sz w:val="14"/>
                <w:szCs w:val="14"/>
                <w:b w:val="1"/>
                <w:bCs w:val="1"/>
                <w:color w:val="000000"/>
                <w:w w:val="96"/>
              </w:rPr>
              <w:t>-1.87*</w:t>
            </w:r>
          </w:p>
        </w:tc>
        <w:tc>
          <w:tcPr>
            <w:tcW w:w="2000" w:type="dxa"/>
            <w:vAlign w:val="bottom"/>
            <w:tcBorders>
              <w:right w:val="single" w:sz="8" w:color="auto"/>
            </w:tcBorders>
          </w:tcPr>
          <w:p>
            <w:pPr>
              <w:jc w:val="right"/>
              <w:ind w:right="550"/>
              <w:spacing w:after="0" w:line="147" w:lineRule="exact"/>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ind w:left="550"/>
              <w:spacing w:after="0" w:line="147" w:lineRule="exact"/>
              <w:rPr>
                <w:sz w:val="20"/>
                <w:szCs w:val="20"/>
                <w:color w:val="auto"/>
              </w:rPr>
            </w:pPr>
            <w:r>
              <w:rPr>
                <w:rFonts w:ascii="Arial" w:cs="Arial" w:eastAsia="Arial" w:hAnsi="Arial"/>
                <w:sz w:val="14"/>
                <w:szCs w:val="14"/>
                <w:b w:val="1"/>
                <w:bCs w:val="1"/>
                <w:i w:val="1"/>
                <w:iCs w:val="1"/>
                <w:color w:val="auto"/>
                <w:w w:val="90"/>
              </w:rPr>
              <w:t xml:space="preserve">p </w:t>
            </w:r>
            <w:r>
              <w:rPr>
                <w:rFonts w:ascii="Arial" w:cs="Arial" w:eastAsia="Arial" w:hAnsi="Arial"/>
                <w:sz w:val="14"/>
                <w:szCs w:val="14"/>
                <w:b w:val="1"/>
                <w:bCs w:val="1"/>
                <w:color w:val="auto"/>
                <w:w w:val="90"/>
              </w:rPr>
              <w:t>= 0.8</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44</w:t>
            </w:r>
          </w:p>
        </w:tc>
        <w:tc>
          <w:tcPr>
            <w:tcW w:w="21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color w:val="auto"/>
              </w:rPr>
              <w:t>(-0.93 to -2.43)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(-1.32 to -2.34) [N=6]</w:t>
            </w: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7"/>
        </w:trPr>
        <w:tc>
          <w:tcPr>
            <w:tcW w:w="1120" w:type="dxa"/>
            <w:vAlign w:val="bottom"/>
            <w:tcBorders>
              <w:left w:val="single" w:sz="8" w:color="auto"/>
              <w:right w:val="single" w:sz="8" w:color="auto"/>
            </w:tcBorders>
          </w:tcPr>
          <w:p>
            <w:pPr>
              <w:jc w:val="right"/>
              <w:ind w:right="10"/>
              <w:spacing w:after="0" w:line="147" w:lineRule="exact"/>
              <w:rPr>
                <w:sz w:val="20"/>
                <w:szCs w:val="20"/>
                <w:color w:val="auto"/>
              </w:rPr>
            </w:pPr>
            <w:r>
              <w:rPr>
                <w:rFonts w:ascii="Arial" w:cs="Arial" w:eastAsia="Arial" w:hAnsi="Arial"/>
                <w:sz w:val="14"/>
                <w:szCs w:val="14"/>
                <w:b w:val="1"/>
                <w:bCs w:val="1"/>
                <w:color w:val="auto"/>
              </w:rPr>
              <w:t>Week</w:t>
            </w:r>
          </w:p>
        </w:tc>
        <w:tc>
          <w:tcPr>
            <w:tcW w:w="218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4"/>
                <w:szCs w:val="14"/>
                <w:b w:val="1"/>
                <w:bCs w:val="1"/>
                <w:color w:val="000000"/>
              </w:rPr>
              <w:t>-1.89*</w:t>
            </w:r>
          </w:p>
        </w:tc>
        <w:tc>
          <w:tcPr>
            <w:tcW w:w="1900" w:type="dxa"/>
            <w:vAlign w:val="bottom"/>
            <w:tcBorders>
              <w:right w:val="single" w:sz="8" w:color="auto"/>
            </w:tcBorders>
          </w:tcPr>
          <w:p>
            <w:pPr>
              <w:jc w:val="right"/>
              <w:ind w:right="510"/>
              <w:spacing w:after="0" w:line="147" w:lineRule="exact"/>
              <w:rPr>
                <w:sz w:val="20"/>
                <w:szCs w:val="20"/>
                <w:color w:val="auto"/>
              </w:rPr>
            </w:pPr>
            <w:r>
              <w:rPr>
                <w:rFonts w:ascii="Arial" w:cs="Arial" w:eastAsia="Arial" w:hAnsi="Arial"/>
                <w:sz w:val="14"/>
                <w:szCs w:val="14"/>
                <w:color w:val="auto"/>
              </w:rPr>
              <w:t>---</w:t>
            </w:r>
          </w:p>
        </w:tc>
        <w:tc>
          <w:tcPr>
            <w:tcW w:w="2000" w:type="dxa"/>
            <w:vAlign w:val="bottom"/>
            <w:tcBorders>
              <w:right w:val="single" w:sz="8" w:color="auto"/>
            </w:tcBorders>
          </w:tcPr>
          <w:p>
            <w:pPr>
              <w:jc w:val="right"/>
              <w:ind w:right="550"/>
              <w:spacing w:after="0" w:line="147" w:lineRule="exact"/>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ind w:left="530"/>
              <w:spacing w:after="0" w:line="147" w:lineRule="exact"/>
              <w:rPr>
                <w:sz w:val="20"/>
                <w:szCs w:val="20"/>
                <w:color w:val="auto"/>
              </w:rPr>
            </w:pPr>
            <w:r>
              <w:rPr>
                <w:rFonts w:ascii="Arial" w:cs="Arial" w:eastAsia="Arial" w:hAnsi="Arial"/>
                <w:sz w:val="14"/>
                <w:szCs w:val="14"/>
                <w:color w:val="auto"/>
                <w:w w:val="99"/>
              </w:rPr>
              <w:t>---</w:t>
            </w:r>
          </w:p>
        </w:tc>
      </w:tr>
      <w:tr>
        <w:trPr>
          <w:trHeight w:val="188"/>
        </w:trPr>
        <w:tc>
          <w:tcPr>
            <w:tcW w:w="1120" w:type="dxa"/>
            <w:vAlign w:val="bottom"/>
            <w:tcBorders>
              <w:left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48</w:t>
            </w:r>
          </w:p>
        </w:tc>
        <w:tc>
          <w:tcPr>
            <w:tcW w:w="21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4"/>
                <w:szCs w:val="14"/>
                <w:color w:val="auto"/>
              </w:rPr>
              <w:t>(-0.91 to -2.44)</w:t>
            </w:r>
          </w:p>
        </w:tc>
        <w:tc>
          <w:tcPr>
            <w:tcW w:w="190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bl>
    <w:p>
      <w:pPr>
        <w:spacing w:after="0" w:line="73" w:lineRule="exact"/>
        <w:rPr>
          <w:sz w:val="20"/>
          <w:szCs w:val="20"/>
          <w:color w:val="auto"/>
        </w:rPr>
      </w:pPr>
    </w:p>
    <w:p>
      <w:pPr>
        <w:ind w:left="640" w:right="7000" w:hanging="4"/>
        <w:spacing w:after="0" w:line="265" w:lineRule="auto"/>
        <w:tabs>
          <w:tab w:leader="none" w:pos="7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subjects switched to AB-729 60 mg Q12W after Week 20 dose * Data updated since EASL ILC</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presentation</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to provide additional data from the ongoing cohorts of this Phase 1a/1b clinical trial in the second half of 2021, including initial data from the 90 mg every 12-week dosing interval cohort in HBV DNA negative subjects and initial data from the 90 mg every 8-week dosing interval cohort in HBV DNA positive subjects.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efficacy and safety data for AB-729, derived from up to one year of dosing, support our view that 60 mg every 8 weeks is an appropriate dose to move forward in our upcoming Phase 2a clinical trials. To advance our efforts to position AB-729 as a potential cornerstone therapeutic in future HBV combination regimens, we are evaluating AB-729 in several Phase 2a proof-of-concept combination clinical trials with other agents with potentially complementary mechanisms of action, including Peg-IFNα-2a and several investigational agents via clinical collaborations with other companies as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August 2020, we entered into a clinical collaboration agreement with Assembly to evaluate AB-729 in combination with Assembly’s lead HBV core inhibitor (capsid inhibitor) candidate vebicorvir (“VBR”) and standard-of-care NA therapy for the treatment of subjects with chronic HBV infection. We are currently enrolling subjects in a randomized, multi-center, open-label Phase 2a proof-of-concept clinical trial is evaluating the safety, pharmacokinetics, and antiviral activity of the triple combination of AB-729, VBR, and an NA compared to the double combinations of VBR with an NA and AB-729 with an NA. We expect to enroll approximately 60 virologically-suppressed subjects with HBeAg negative chronic HBV infection in the first cohort of this trial. Patients will be dosed for 48 weeks with AB-729 60 mg subcutaneously every 8 weeks and VBR 300 mg orally once daily, with a 48-week follow-up period. We and Assembly will share in the costs of the collaboration. Under the terms of the collaboration, we and Assembly may also add additional cohorts in the future to evaluate other patient populations and/or combinations. Except to the extent necessary to carry out Assembly’s responsibilities with respect to the collaboration trial, we have not provided any license grant to Assembly for use of our AB-729 compound.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Vaccitech plc</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July 2021, we entered into a clinical collaboration agreement with Vaccitech plc (“Vaccitech”) to evaluate the safety, pharmacokinetics, immunogenicity, and antiviral activity of AB-729 followed by Vaccitech’s proprietary immunotherapeutic, VTP-300, in NrtI-suppressed subjects with CHB. Pending regulatory approval, the trial is expected to enroll 40 NA-suppressed, Hepatitis B e-antigen negative or positive, non-cirrhotic CHB subjects. Subjects are expected to receive AB-729 + NA for 24 weeks. At Week 24, subjects will be randomized 1:1 to receive either NA + VTP-300 or NA + VTP-300 sham. At Week 48, all subjects are expected to be evaluated for eligibility to either discontinue all treatments or remain on their NrtI only. Subjects are expected to be followed for an additional 48 weeks. The Phase 2a proof-of-concept clinical trial will be managed by us, subject to oversight by a joint development committee comprised of representatives from us and Vaccitech. We and Vaccitech retain full rights to their respective product candidates and will split all costs associated with the clinical trial. We expect to file a CTA in the second half of 2021 and initiate the clinical trial in early 2022. Pursuant to the agreement, the parties intend to undertake a larger Phase 2b clinical trial depending on the results of the initial Phase 2a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Antios Therapeutics, Inc.</w:t>
      </w:r>
    </w:p>
    <w:p>
      <w:pPr>
        <w:spacing w:after="0" w:line="240"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In June 2021, we entered into a clinical collaboration agreement with Antios Therapeutics, Inc. (“Antios”) to evaluate a triple combination of AB-729, Antios’ proprietary active site polymerase inhibitor nucleotide (ASPIN), ATI-2173, and Viread (tenofovir disoproxil fumarate), for the treatment of subjects with chronic HBV infection. ATI-2173, AB-729 and Viread will be evaluated in combination in a single cohort in the ongoing Antios Phase 2a ANTT201 clinical trial. The multi-center, double-blinded, placebo-controlled, multiple</w:t>
      </w:r>
      <w:r>
        <w:rPr>
          <w:rFonts w:ascii="MS PGothic" w:cs="MS PGothic" w:eastAsia="MS PGothic" w:hAnsi="MS PGothic"/>
          <w:sz w:val="18"/>
          <w:szCs w:val="18"/>
          <w:color w:val="auto"/>
        </w:rPr>
        <w:t>‑</w:t>
      </w:r>
      <w:r>
        <w:rPr>
          <w:rFonts w:ascii="Arial" w:cs="Arial" w:eastAsia="Arial" w:hAnsi="Arial"/>
          <w:sz w:val="18"/>
          <w:szCs w:val="18"/>
          <w:color w:val="auto"/>
        </w:rPr>
        <w:t>dose cohort will evaluate the safety, pharmacokinetics, immunogenicity, and antiviral activity of the combination of ATI-2173, AB-729 and Viread. This cohort is expected to initiate in the second half of 2021. Antios will be responsible for the costs of adding this single cohort to its ongoing clinical trial. Arbutus will be responsible for the manufacture and supply of AB-729. Except to the extent necessary to carry out Antios’ responsibilities with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respect to the collaboration trial, we have not provided any license grant to Antios for use of our AB-729 compound.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2021,we received authorization from the U.S. Food and Drug Administration to proceed with our Investigational New Drug (IND) application for AB-729 in a Phase 2a proof-of-concept clinical trial to evaluate AB-729 in combination with ongoing NA therapy and short courses of Peg-IFNα-2a in subjects with chronic HBV infection. This is a randomized, open label, multicenter Phase 2a trial investigating the safety and antiviral activity of AB-729 in combination with ongoing NA therapy and short courses of Peg-IFNα-2a in subjects with CHB. Pending protocol finalization, the trial is expected to enroll 40 stably NA-suppressed, HBeAg negative, non-cirrhotic CHB subjects. After a 24-week dosing period of AB-729 (60 mg SC every 8 weeks (Q8W)), subjects will be randomized into one of 4 groups:</w:t>
      </w:r>
    </w:p>
    <w:p>
      <w:pPr>
        <w:spacing w:after="0" w:line="89" w:lineRule="exact"/>
        <w:rPr>
          <w:sz w:val="20"/>
          <w:szCs w:val="20"/>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A1: AB-729 + NA + weekly Peg-IFNα-2a for 24 weeks (N = 12)</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A2: NA + weekly Peg-IFNα-2a for 24 weeks (N = 12)</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B1: AB-729 + NA + weekly Peg-IFNα-2a for 12 weeks (N = 8)</w:t>
      </w:r>
    </w:p>
    <w:p>
      <w:pPr>
        <w:spacing w:after="0" w:line="55" w:lineRule="exact"/>
        <w:rPr>
          <w:rFonts w:ascii="Arial" w:cs="Arial" w:eastAsia="Arial" w:hAnsi="Arial"/>
          <w:sz w:val="18"/>
          <w:szCs w:val="18"/>
          <w:color w:val="auto"/>
        </w:rPr>
      </w:pPr>
    </w:p>
    <w:p>
      <w:pPr>
        <w:ind w:left="1260" w:hanging="309"/>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B2: NA + weekly Peg-IFNα-2a for 12 weeks (N = 8)</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completion of the assigned Peg-IFNα-2a treatment period, all subjects will remain on NA therapy for the initial 24-week follow up period, and then will discontinue NA treatment if treatment stopping criteria are met. If subjects stop NA therapy, they will enter an intensive follow-up period for 48 weeks. This Phase 2a proof-of-concept clinical trial is expected to initiate in the second half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Inhibitors (AB-836)</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oral capsid inhibitor discovery effort generated promising next-generation compounds, which led to the nomination of AB-836 in January 2020. AB-836 is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completed CTA/IND-enabling studies for AB-836 in the fourth quarter of 2020 and initiated a Phase 1a/1b clinical trial for AB-836 in the first quarter of 2021 with initial data from healthy volunteers and HBV subjects expected in the second half of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PD-L1 inhibitors complement our pipeline of agents and could potentially be an important part of a combination therapy for the treatment of HBV. Highly functional HBV-specific T cells within our immune system are believed to be required for long-term HBV viral resolution. However, HBV-specific T cells become functionally defective, and greatly reduced in their frequency during chronic HBV infection. One approach to boost HBV-specific T cells is to prevent PD-L1 proteins from attaching to and inhibiting the HBV-specific T cells. We are in lead optimization with oral compounds which are potentially capable of reawakening patients’ HBV-specific immune response by inhibiting PD-L1.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Destabilizers</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AB-729, with an oral therapy in combination with a capsid inhibitor and an approved NA. We continue to advance next-generation oral HBV RNA-destabilizers through lead optimization.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our core mission is to find a cure for HBV, the magnitude of the coronavirus pandemic is undeniable. Given our proven expertise in the discovery of new antiviral therapies, we initiated a drug discovery effort for treating coronaviruses, including COVID-19, in 2020.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are also a member of the COVID R&amp;D consortium to address the SARS-CoV-2 pandemic and any future coronavirus outbreaks. At this time, our COVID-19 research program is focused on the discovery and development of new molecular entities that address specific viral targets including the nsp12 viral polymerase and the nsp5 viral protease. These targets are essential viral proteins which we have experience in targeting. We are actively screening multiple new oral molecular entities.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X-Chem, Inc. and Proteros biostructures GmbH</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March 2021, we entered into a discovery research and license agreement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brings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is expected to allow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the Company to X-Chem and Proteros upon satisfaction of certain development, regulatory and commercial milestones, as well as royalties on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While we have been able to progress with our clinical and pre-clinical activities to date, it is not possible to predict if the COVID-19 pandemic will materially impact our plans and timelines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Royalty Entitlements and Collaborations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 Pharmaceutical Inc.’s (“Alnylam”) global net sales of ONPATTRO.</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7" w:name="page28"/>
    <w:bookmarkEnd w:id="27"/>
    <w:p>
      <w:pPr>
        <w:jc w:val="both"/>
        <w:spacing w:after="0" w:line="290" w:lineRule="auto"/>
        <w:rPr>
          <w:sz w:val="20"/>
          <w:szCs w:val="20"/>
          <w:color w:val="auto"/>
        </w:rPr>
      </w:pPr>
      <w:r>
        <w:rPr>
          <w:rFonts w:ascii="Arial" w:cs="Arial" w:eastAsia="Arial" w:hAnsi="Arial"/>
          <w:sz w:val="16"/>
          <w:szCs w:val="16"/>
          <w:color w:val="auto"/>
        </w:rPr>
        <w:t>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June 30, 2021, an aggregate of $7.2 million of royalties have been collected by OMERS.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Genevant Sciences, Ltd.</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the discovery, development, and commercialization of a broad range of RNA-based therapeutics enabled by our LNP and ligand conjugate delivery technologies. We licensed exclusive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 Under the Genevant License, we are entitled to receive tiered low single-digit royalties on future sales of Genevant products covered by the licensed patents. If Genevant sub-licenses the intellectual property licensed by us to Genevant, we are entitled to receive under the Genevant License, upon the commercialization of a product developed by such sub-licensee, the lesser of (i) twenty percent of the revenue received by Genevant for such sublicensing and (ii) tiered low single-digit royalties on product sales by the sublicensee.</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31,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June 30, 2021,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status of these patents is as follows: with respect to the ‘127 Patent, the PTAB held all claims as invalid as anticipated on September 10, 2019. However this decision was vacated and sent back (remanded) to the PTAB for a rehearing, pending the Supreme Court’s decision whether to grant certiorari in a different case, United States v. Athrax, Inc. (“US v. Athrax”), the holding of which could impact the findings in the ‘127 Patent matter. The Supreme Court granted certiorari in US v. Athrax on October 13, 2020 (i.e. agreed to review the decision appealed from a lower court). Because the Supreme Court has yet to render its opinion in US v. Athrax, the ‘127 Patent hearing remains in abeyance, with no decision reached as to the validity of its claims.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The appeal with respect to the ‘435 Patent is currently awaiting an oral argument date.</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Arbutus filed its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responsive brief on May 11, 2021, and Moderna filed its reply brief on July 1, 2021. A hearing date has not yet been set for this matter.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We filed our response on September 18, 2020.</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exclusive rights licensed by us to Genevant under the Genevant License.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6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2"/>
        </w:trPr>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20,971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14,655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29,293</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(18,642)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(26,288)</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(loss)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(19,387)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r>
      <w:tr>
        <w:trPr>
          <w:trHeight w:val="217"/>
        </w:trPr>
        <w:tc>
          <w:tcPr>
            <w:tcW w:w="4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 attributable to common shares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(22,653)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(17,082)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5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5"/>
                <w:szCs w:val="15"/>
                <w:color w:val="auto"/>
              </w:rPr>
            </w:pPr>
          </w:p>
        </w:tc>
      </w:tr>
      <w:tr>
        <w:trPr>
          <w:trHeight w:val="177"/>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19"/>
                <w:szCs w:val="19"/>
                <w:color w:val="auto"/>
              </w:rPr>
            </w:pPr>
          </w:p>
        </w:tc>
      </w:tr>
      <w:tr>
        <w:trPr>
          <w:trHeight w:val="224"/>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Alnylam Pharmaceuticals, Inc.</w:t>
            </w: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80" w:type="dxa"/>
            <w:vAlign w:val="bottom"/>
          </w:tcPr>
          <w:p>
            <w:pPr>
              <w:spacing w:after="0"/>
              <w:rPr>
                <w:sz w:val="19"/>
                <w:szCs w:val="19"/>
                <w:color w:val="auto"/>
              </w:rPr>
            </w:pPr>
          </w:p>
        </w:tc>
      </w:tr>
      <w:tr>
        <w:trPr>
          <w:trHeight w:val="216"/>
        </w:trPr>
        <w:tc>
          <w:tcPr>
            <w:tcW w:w="514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8"/>
                <w:szCs w:val="18"/>
                <w:color w:val="auto"/>
              </w:rPr>
            </w:pPr>
          </w:p>
        </w:tc>
      </w:tr>
      <w:tr>
        <w:trPr>
          <w:trHeight w:val="521"/>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82"/>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1,514</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50 %</w:t>
            </w:r>
          </w:p>
        </w:tc>
      </w:tr>
      <w:tr>
        <w:trPr>
          <w:trHeight w:val="224"/>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milestone and royalty payments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Alnylam Pharmaceuticals, Inc.</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16"/>
        </w:trPr>
        <w:tc>
          <w:tcPr>
            <w:tcW w:w="5140" w:type="dxa"/>
            <w:vAlign w:val="bottom"/>
          </w:tcPr>
          <w:p>
            <w:pPr>
              <w:ind w:left="240"/>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3,005</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increased $0.8 million and $1.4 million for the three and six months ended June 30, 2021 compared to the same periods in 2020, primarily due to an increase in license royalty revenue from Alnylam and Acuitas due to the growth of Alnylam’s sales of ONPATTRO.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Operating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5"/>
                <w:szCs w:val="15"/>
                <w:color w:val="auto"/>
              </w:rPr>
            </w:pP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7"/>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r>
      <w:tr>
        <w:trPr>
          <w:trHeight w:val="521"/>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66"/>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82"/>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center"/>
              <w:ind w:left="66"/>
              <w:spacing w:after="0"/>
              <w:rPr>
                <w:sz w:val="20"/>
                <w:szCs w:val="20"/>
                <w:color w:val="auto"/>
              </w:rPr>
            </w:pPr>
            <w:r>
              <w:rPr>
                <w:rFonts w:ascii="Arial" w:cs="Arial" w:eastAsia="Arial" w:hAnsi="Arial"/>
                <w:sz w:val="14"/>
                <w:szCs w:val="14"/>
                <w:b w:val="1"/>
                <w:bCs w:val="1"/>
                <w:color w:val="auto"/>
                <w:w w:val="86"/>
              </w:rPr>
              <w:t>(in thousands, except percentages)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74 %</w:t>
            </w: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20,881</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7,119</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24 %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consolidation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29,293</w:t>
            </w:r>
          </w:p>
        </w:tc>
        <w:tc>
          <w:tcPr>
            <w:tcW w:w="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Research and development expenses increased $4.9 million and $7.9 million for the three and six months ended June 30, 2021, respectively, compared to the same periods in 2020. The increase was due primarily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increased $0.9 million and $1.2 million for the three and six months ended June 30, 2021, respectively, as compared to the same periods in 2020, due primarily to increases in non-cash stock-based compensation expense and professional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chronic HBV. As AB-729 continues to progress through Phase 2a proof-of-concept clinical trials, we increase our assumption regarding probability of success commensurate with the progression of the program, which increases the liability.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Site consolidation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final portion of expenses associated with our site consolidation and organizational restructuring of our business in Warminster, PA, which was substantially completed in 2018, were fully recognized in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is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4740" w:type="dxa"/>
            <w:vAlign w:val="bottom"/>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(losses) / gains</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020" w:type="dxa"/>
            <w:vAlign w:val="bottom"/>
          </w:tcPr>
          <w:p>
            <w:pPr>
              <w:jc w:val="right"/>
              <w:ind w:right="84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(1,660)</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decrease in interest income for the three and six months ended June 30, 2021 compared to the same period in 2020 was due primarily to a general decline in market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for the three and six months ended June 30, 2021 consisted primarily of non-cash amortization of discount and issuance costs related to the sale of a portion of our ONPATTRO royalty interest to OMERS in July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Six Months Ended June 30,</w:t>
            </w:r>
          </w:p>
        </w:tc>
        <w:tc>
          <w:tcPr>
            <w:tcW w:w="1360" w:type="dxa"/>
            <w:vAlign w:val="bottom"/>
          </w:tcPr>
          <w:p>
            <w:pPr>
              <w:spacing w:after="0"/>
              <w:rPr>
                <w:sz w:val="15"/>
                <w:szCs w:val="15"/>
                <w:color w:val="auto"/>
              </w:rPr>
            </w:pPr>
          </w:p>
        </w:tc>
      </w:tr>
      <w:tr>
        <w:trPr>
          <w:trHeight w:val="37"/>
        </w:trPr>
        <w:tc>
          <w:tcPr>
            <w:tcW w:w="66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3"/>
        </w:trPr>
        <w:tc>
          <w:tcPr>
            <w:tcW w:w="6620" w:type="dxa"/>
            <w:vAlign w:val="bottom"/>
          </w:tcPr>
          <w:p>
            <w:pPr>
              <w:spacing w:after="0"/>
              <w:rPr>
                <w:sz w:val="15"/>
                <w:szCs w:val="15"/>
                <w:color w:val="auto"/>
              </w:rPr>
            </w:pP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2020</w:t>
            </w:r>
          </w:p>
        </w:tc>
      </w:tr>
      <w:tr>
        <w:trPr>
          <w:trHeight w:val="183"/>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5"/>
                <w:szCs w:val="15"/>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shd w:val="clear" w:color="auto" w:fill="CCEEFF"/>
          </w:tcPr>
          <w:p>
            <w:pPr>
              <w:jc w:val="right"/>
              <w:ind w:right="117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5,114</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items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Net cash used in operating activities</w:t>
            </w:r>
          </w:p>
        </w:tc>
        <w:tc>
          <w:tcPr>
            <w:tcW w:w="1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(24,254)</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31,163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17,440</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(Decrease) increase in cash and cash equivalents</w:t>
            </w:r>
          </w:p>
        </w:tc>
        <w:tc>
          <w:tcPr>
            <w:tcW w:w="1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14,100</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r>
      <w:tr>
        <w:trPr>
          <w:trHeight w:val="216"/>
        </w:trPr>
        <w:tc>
          <w:tcPr>
            <w:tcW w:w="6620" w:type="dxa"/>
            <w:vAlign w:val="bottom"/>
          </w:tcPr>
          <w:p>
            <w:pPr>
              <w:ind w:left="20"/>
              <w:spacing w:after="0" w:line="203" w:lineRule="exact"/>
              <w:rPr>
                <w:sz w:val="20"/>
                <w:szCs w:val="20"/>
                <w:color w:val="auto"/>
              </w:rPr>
            </w:pPr>
            <w:r>
              <w:rPr>
                <w:rFonts w:ascii="Arial" w:cs="Arial" w:eastAsia="Arial" w:hAnsi="Arial"/>
                <w:sz w:val="18"/>
                <w:szCs w:val="18"/>
                <w:color w:val="auto"/>
              </w:rPr>
              <w:t>Cash and cash equivalents, end of period</w:t>
            </w:r>
          </w:p>
        </w:tc>
        <w:tc>
          <w:tcPr>
            <w:tcW w:w="1380" w:type="dxa"/>
            <w:vAlign w:val="bottom"/>
          </w:tcPr>
          <w:p>
            <w:pPr>
              <w:jc w:val="right"/>
              <w:ind w:right="1178"/>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30,954</w:t>
            </w:r>
          </w:p>
        </w:tc>
        <w:tc>
          <w:tcPr>
            <w:tcW w:w="140" w:type="dxa"/>
            <w:vAlign w:val="bottom"/>
          </w:tcPr>
          <w:p>
            <w:pPr>
              <w:spacing w:after="0"/>
              <w:rPr>
                <w:sz w:val="18"/>
                <w:szCs w:val="18"/>
                <w:color w:val="auto"/>
              </w:rPr>
            </w:pP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45,899</w:t>
            </w:r>
          </w:p>
        </w:tc>
      </w:tr>
    </w:tbl>
    <w:p>
      <w:pPr>
        <w:spacing w:after="0" w:line="200" w:lineRule="exact"/>
        <w:rPr>
          <w:sz w:val="20"/>
          <w:szCs w:val="20"/>
          <w:color w:val="auto"/>
        </w:rPr>
      </w:pPr>
    </w:p>
    <w:p>
      <w:pPr>
        <w:sectPr>
          <w:pgSz w:w="11900" w:h="16838" w:orient="portrait"/>
          <w:cols w:equalWidth="0" w:num="1">
            <w:col w:w="11240"/>
          </w:cols>
          <w:pgMar w:left="320" w:top="1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32" w:name="page33"/>
    <w:bookmarkEnd w:id="32"/>
    <w:p>
      <w:pPr>
        <w:jc w:val="both"/>
        <w:spacing w:after="0" w:line="324" w:lineRule="auto"/>
        <w:rPr>
          <w:sz w:val="20"/>
          <w:szCs w:val="20"/>
          <w:color w:val="auto"/>
        </w:rPr>
      </w:pPr>
      <w:r>
        <w:rPr>
          <w:rFonts w:ascii="Arial" w:cs="Arial" w:eastAsia="Arial" w:hAnsi="Arial"/>
          <w:sz w:val="16"/>
          <w:szCs w:val="16"/>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six months ended June 30, 2021, $31.9 million of cash was used in operating activities compared to $24.3 million for the six months ended June 30, 2020, an increase of $7.6 million. The increase was due primarily to a $7.1 million increase in research and development expenses due to higher expenses for our clinical development and discovery programs, including activities under our collaboration with Assembly and internal research efforts to treat COVID-19 and future coronavirus outbreaks, both of which initiated in mid-2020.</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six months ended June 30, 2021, net cash used in investing activities was $20.5 million, consisting primarily of additional investments in marketable securities of $54.1 million, partially offset by maturities of investments in marketable securities of $34.4 million. For the six months ended June 30, 2020, net cash provided by investing activities was $21.0 million consisting of maturities of $46.9 million and purchases of investments in marketable securities of $25.9 million.</w:t>
      </w:r>
    </w:p>
    <w:p>
      <w:pPr>
        <w:spacing w:after="0" w:line="21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the six months ended June 30, 2021 and 2020, net cash provided by financing activities was $31.2 million and $17.4 million, respectively, due primarily to proceeds from sales of common shares under our Open Market Sale Agreement, as amended, with Jefferies LLC (“Jefferies”).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cash, cash equivalents and investments of $121.3 million. We had no outstanding debt as of June 30, 2021.</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an Open Market Sale Agreement (“Sale Agreement”) with Jefferies dated December 20, 2018, as amended on December 20, 2019 (the “2019 Amended Sale Agreement”), under which we may issue and sell common shares, from time to time, under a shelf registration statement on Form S-3 (File No. 333-235674), filed with the SEC on December 23, 2019 (the “2019 Shelf Registration Statement”). In July 2020, we fully utilized the remaining availability under the 2019 Amended Sale Agreement. In August 2020, we entered into a new amendment (the “2020 Amended Sale Agreement”) with Jefferies whereby we may issue and sell common shares from time to time for an aggregate sales price of up to $75 million under the 2019 Shelf Registration Statement.</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August 28, 2020, we filed a new $200 million shelf registration statement on Form S-3 (File No. 333-248467) with the SEC (the “2020 Shelf Registration Statement”). On March 4, 2021, we filed another prospectus supplement with the SEC (the “March 2021 Prospectus Supplement”) in connection with the offering of up to an additional $75.0 million of its common shares pursuant to the Sale Agreement, as amended, under the 2020 Shelf Registration Statement.</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six months ended June 30, 2021, we issued 7,845,925 common shares pursuant to the 2020 Amended Sale Agreement, resulting in net proceeds of approximately $30.7 million. For the six months ended June 30, 2020, we issued 6,438,265 common shares pursuant to the 2019 Amended Sale Agreement, resulting in net proceeds of approximately $17.4 million.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there was approximately $9.8 million available under the August 2020 Prospectus Supplement and $75.0 million available under the March 2021 Prospectus Supplement.</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Cash requirements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At June 30, 2021, we held an aggregate of $121.3 million in cash, cash equivalents and investments. We believe that our cash resources as of June 30, 2021 will be sufficient to fund our operations through the third quarter of 2022 based on our expectation of a net cash burn between $70 million and $75 million in 2021. In the future, substantial additional funds will be required to continue with the active development of our pipeline products and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61" w:lineRule="exact"/>
        <w:rPr>
          <w:sz w:val="20"/>
          <w:szCs w:val="20"/>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44" w:lineRule="exact"/>
        <w:rPr>
          <w:rFonts w:ascii="Arial" w:cs="Arial" w:eastAsia="Arial" w:hAnsi="Arial"/>
          <w:sz w:val="16"/>
          <w:szCs w:val="16"/>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22"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22"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22"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55" w:lineRule="exact"/>
        <w:rPr>
          <w:rFonts w:ascii="Arial" w:cs="Arial" w:eastAsia="Arial" w:hAnsi="Arial"/>
          <w:sz w:val="18"/>
          <w:szCs w:val="18"/>
          <w:color w:val="auto"/>
        </w:rPr>
      </w:pPr>
    </w:p>
    <w:p>
      <w:pPr>
        <w:ind w:left="940" w:hanging="46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55"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intend to seek funding to maintain and advance our business from a variety of sources including public or private equity or debt financing, potential monetization transactions, collaborative or licensing arrangements with pharmaceutical companies, government grants and contracts and other strategic transactions and funding opportunities.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2020.</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2021, our principal executive officer and principal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3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information regarding legal matters, please refer to note 8. Contingencies and Commitments to the Condensed Consolidated Financial Statements contained in Part I of this Quarterly Report on Form 10-Q, which is incorporated herein by reference.</w:t>
      </w: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There have been no material changes in our risk factors from those disclosed in our Annual Report on Form 10-K for the fiscal year-ended December 31, 2020.</w:t>
      </w: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8"/>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00" w:type="dxa"/>
            <w:vAlign w:val="bottom"/>
            <w:gridSpan w:val="13"/>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3"/>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6"/>
          </w:tcPr>
          <w:p>
            <w:pPr>
              <w:spacing w:after="0" w:line="177"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Notice of Articles and Articles of the Company, as amended (incorporated herein by reference to Exhibit 3.1 to the Registrant’s Annual Report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w w:val="99"/>
              </w:rPr>
            </w:pPr>
            <w:hyperlink r:id="rId47">
              <w:r>
                <w:rPr>
                  <w:rFonts w:ascii="Arial" w:cs="Arial" w:eastAsia="Arial" w:hAnsi="Arial"/>
                  <w:sz w:val="16"/>
                  <w:szCs w:val="16"/>
                  <w:color w:val="0000FF"/>
                  <w:w w:val="99"/>
                </w:rPr>
                <w:t>on Form 10-K for the year ended December 31, 2017, filed with the SEC on March 16, 2018)</w:t>
              </w:r>
            </w:hyperlink>
          </w:p>
        </w:tc>
        <w:tc>
          <w:tcPr>
            <w:tcW w:w="3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Amendment to Articles of the Company (incorporated herein by reference to Exhibit 3.1 to the Registrant’s Quarterly Report on Form 10-Q for</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8"/>
              </w:rPr>
            </w:pPr>
            <w:hyperlink r:id="rId48">
              <w:r>
                <w:rPr>
                  <w:rFonts w:ascii="Arial" w:cs="Arial" w:eastAsia="Arial" w:hAnsi="Arial"/>
                  <w:sz w:val="16"/>
                  <w:szCs w:val="16"/>
                  <w:color w:val="0000FF"/>
                  <w:w w:val="98"/>
                </w:rPr>
                <w:t>the quarter ended September 30, 2018, filed with the SEC on November 7, 2018)</w:t>
              </w:r>
            </w:hyperlink>
          </w:p>
        </w:tc>
        <w:tc>
          <w:tcPr>
            <w:tcW w:w="436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87"/>
              </w:rPr>
            </w:pPr>
            <w:hyperlink r:id="rId49">
              <w:r>
                <w:rPr>
                  <w:rFonts w:ascii="Arial" w:cs="Arial" w:eastAsia="Arial" w:hAnsi="Arial"/>
                  <w:sz w:val="18"/>
                  <w:szCs w:val="18"/>
                  <w:color w:val="0000FF"/>
                  <w:w w:val="87"/>
                </w:rPr>
                <w:t>Governance Agreement between the Company and Roivant Sciences Ltd., a Bermuda exempted company, dated January 11, 2015 (incorporated</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2"/>
          </w:tcPr>
          <w:p>
            <w:pPr>
              <w:spacing w:after="0" w:line="151" w:lineRule="exact"/>
              <w:rPr>
                <w:rFonts w:ascii="Arial" w:cs="Arial" w:eastAsia="Arial" w:hAnsi="Arial"/>
                <w:sz w:val="16"/>
                <w:szCs w:val="16"/>
                <w:color w:val="0000FF"/>
              </w:rPr>
            </w:pPr>
            <w:hyperlink r:id="rId49">
              <w:r>
                <w:rPr>
                  <w:rFonts w:ascii="Arial" w:cs="Arial" w:eastAsia="Arial" w:hAnsi="Arial"/>
                  <w:sz w:val="16"/>
                  <w:szCs w:val="16"/>
                  <w:color w:val="0000FF"/>
                </w:rPr>
                <w:t>herein by reference to Exhibit 2.1 to the Registrant’s Current Report on Form 8-K/A filed with the SEC on January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Arbutus Biopharma Corporation 2016 Omnibus Share and Incentive Plan, as supplemented and amended (incorporated herein by reference to</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6"/>
          </w:tcPr>
          <w:p>
            <w:pPr>
              <w:spacing w:after="0" w:line="151" w:lineRule="exact"/>
              <w:rPr>
                <w:rFonts w:ascii="Arial" w:cs="Arial" w:eastAsia="Arial" w:hAnsi="Arial"/>
                <w:sz w:val="16"/>
                <w:szCs w:val="16"/>
                <w:color w:val="0000FF"/>
              </w:rPr>
            </w:pPr>
            <w:hyperlink r:id="rId50">
              <w:r>
                <w:rPr>
                  <w:rFonts w:ascii="Arial" w:cs="Arial" w:eastAsia="Arial" w:hAnsi="Arial"/>
                  <w:sz w:val="16"/>
                  <w:szCs w:val="16"/>
                  <w:color w:val="0000FF"/>
                </w:rPr>
                <w:t>Exhibit 10.1 to the Registrant’s Current Report on Form 8-K filed with the SEC on June 1, 2021)</w:t>
              </w:r>
            </w:hyperlink>
          </w:p>
        </w:tc>
        <w:tc>
          <w:tcPr>
            <w:tcW w:w="312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Certification of Principal Executive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39">
              <w:r>
                <w:rPr>
                  <w:rFonts w:ascii="Arial" w:cs="Arial" w:eastAsia="Arial" w:hAnsi="Arial"/>
                  <w:sz w:val="16"/>
                  <w:szCs w:val="16"/>
                  <w:color w:val="0000FF"/>
                  <w:w w:val="99"/>
                </w:rPr>
                <w:t>to Section 302 of the Sarbanes-Oxley Act of 2002</w:t>
              </w:r>
            </w:hyperlink>
          </w:p>
        </w:tc>
        <w:tc>
          <w:tcPr>
            <w:tcW w:w="666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Certification of Principal Financial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40">
              <w:r>
                <w:rPr>
                  <w:rFonts w:ascii="Arial" w:cs="Arial" w:eastAsia="Arial" w:hAnsi="Arial"/>
                  <w:sz w:val="16"/>
                  <w:szCs w:val="16"/>
                  <w:color w:val="0000FF"/>
                  <w:w w:val="99"/>
                </w:rPr>
                <w:t>to Section 302 of the Sarbanes-Oxley Act of 2002</w:t>
              </w:r>
            </w:hyperlink>
          </w:p>
        </w:tc>
        <w:tc>
          <w:tcPr>
            <w:tcW w:w="66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1" w:lineRule="exact"/>
              <w:rPr>
                <w:rFonts w:ascii="Arial" w:cs="Arial" w:eastAsia="Arial" w:hAnsi="Arial"/>
                <w:sz w:val="16"/>
                <w:szCs w:val="16"/>
                <w:color w:val="0000FF"/>
                <w:w w:val="97"/>
              </w:rPr>
            </w:pPr>
            <w:hyperlink w:anchor="page41">
              <w:r>
                <w:rPr>
                  <w:rFonts w:ascii="Arial" w:cs="Arial" w:eastAsia="Arial" w:hAnsi="Arial"/>
                  <w:sz w:val="16"/>
                  <w:szCs w:val="16"/>
                  <w:color w:val="0000FF"/>
                  <w:w w:val="97"/>
                </w:rPr>
                <w:t>of 2002</w:t>
              </w:r>
            </w:hyperlink>
          </w:p>
        </w:tc>
        <w:tc>
          <w:tcPr>
            <w:tcW w:w="9480" w:type="dxa"/>
            <w:vAlign w:val="bottom"/>
            <w:tcBorders>
              <w:top w:val="single" w:sz="8" w:color="0000FF"/>
            </w:tcBorders>
            <w:gridSpan w:val="8"/>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6"/>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Certification of Principal Financial Officer pursuant to 18 U.S.C. Section 1350, as adopted pursuant to Section 906 of the Sarbanes-Oxley Act of</w:t>
              </w:r>
            </w:hyperlink>
          </w:p>
        </w:tc>
      </w:tr>
      <w:tr>
        <w:trPr>
          <w:trHeight w:val="151"/>
        </w:trPr>
        <w:tc>
          <w:tcPr>
            <w:tcW w:w="9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89"/>
              </w:rPr>
            </w:pPr>
            <w:hyperlink w:anchor="page42">
              <w:r>
                <w:rPr>
                  <w:rFonts w:ascii="Arial" w:cs="Arial" w:eastAsia="Arial" w:hAnsi="Arial"/>
                  <w:sz w:val="16"/>
                  <w:szCs w:val="16"/>
                  <w:color w:val="0000FF"/>
                  <w:w w:val="89"/>
                </w:rPr>
                <w:t>2002</w:t>
              </w:r>
            </w:hyperlink>
          </w:p>
        </w:tc>
        <w:tc>
          <w:tcPr>
            <w:tcW w:w="20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80" w:lineRule="exact"/>
        <w:rPr>
          <w:sz w:val="20"/>
          <w:szCs w:val="20"/>
          <w:color w:val="auto"/>
        </w:rPr>
      </w:pPr>
    </w:p>
    <w:p>
      <w:pPr>
        <w:ind w:left="1040" w:right="120" w:hanging="713"/>
        <w:spacing w:after="0" w:line="260"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following materials from Arbutus Biopharma Corporation’s Quarterly Report on Form 10-Q for the quarter ended June 30, 2021,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1" w:lineRule="exact"/>
        <w:rPr>
          <w:sz w:val="20"/>
          <w:szCs w:val="20"/>
          <w:color w:val="auto"/>
        </w:rPr>
      </w:pPr>
    </w:p>
    <w:p>
      <w:pPr>
        <w:ind w:right="2700" w:firstLine="327"/>
        <w:spacing w:after="0" w:line="411" w:lineRule="auto"/>
        <w:tabs>
          <w:tab w:leader="none" w:pos="10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10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5, 2021.</w:t>
      </w:r>
    </w:p>
    <w:p>
      <w:pPr>
        <w:spacing w:after="0" w:line="200" w:lineRule="exact"/>
        <w:rPr>
          <w:sz w:val="20"/>
          <w:szCs w:val="20"/>
          <w:color w:val="auto"/>
        </w:rPr>
      </w:pP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ARBUTUS BIOPHARMA CORPORATION</w:t>
      </w:r>
    </w:p>
    <w:p>
      <w:pPr>
        <w:spacing w:after="0" w:line="75"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William H Collier</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William H Collier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President and Chief Executive Officer</w:t>
            </w: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320" w:top="144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95" w:lineRule="exact"/>
        <w:rPr>
          <w:sz w:val="20"/>
          <w:szCs w:val="20"/>
          <w:color w:val="auto"/>
        </w:rPr>
      </w:pPr>
    </w:p>
    <w:p>
      <w:pPr>
        <w:ind w:left="1180" w:hanging="38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19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6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June 30, 2021,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6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June 30, 2021,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ⱡ"/>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lvl w:ilvl="1">
      <w:lvlJc w:val="left"/>
      <w:lvlText w:val="%2"/>
      <w:numFmt w:val="decimal"/>
      <w:start w:val="104"/>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47" Type="http://schemas.openxmlformats.org/officeDocument/2006/relationships/hyperlink" Target="http://www.sec.gov/Archives/edgar/data/1447028/000162828018003276/exhibit31_articlesandartic.htm" TargetMode="External"/><Relationship Id="rId48" Type="http://schemas.openxmlformats.org/officeDocument/2006/relationships/hyperlink" Target="http://www.sec.gov/Archives/edgar/data/1447028/000162828018013909/exhibit31amendmenttoarticl.htm" TargetMode="External"/><Relationship Id="rId49" Type="http://schemas.openxmlformats.org/officeDocument/2006/relationships/hyperlink" Target="http://www.sec.gov/Archives/edgar/data/1447028/000117184315000358/exh_21.htm" TargetMode="External"/><Relationship Id="rId50" Type="http://schemas.openxmlformats.org/officeDocument/2006/relationships/hyperlink" Target="http://www.sec.gov/Archives/edgar/data/1447028/000144702821000032/a2016optionplanw3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2021-08-05T16:13:06Z</dcterms:created>
  <dcterms:modified xsi:type="dcterms:W3CDTF">2021-08-05T16:13:06Z</dcterms:modified>
</cp:coreProperties>
</file>