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31,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980"/>
        <w:spacing w:after="0"/>
        <w:tabs>
          <w:tab w:leader="none" w:pos="6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British Columbia, Canada</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9"/>
              </w:rPr>
              <w:t>98-0597776</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9"/>
        </w:trPr>
        <w:tc>
          <w:tcPr>
            <w:tcW w:w="3400" w:type="dxa"/>
            <w:vAlign w:val="bottom"/>
            <w:gridSpan w:val="5"/>
          </w:tcPr>
          <w:p>
            <w:pPr>
              <w:jc w:val="center"/>
              <w:ind w:left="650"/>
              <w:spacing w:after="0"/>
              <w:rPr>
                <w:sz w:val="20"/>
                <w:szCs w:val="20"/>
                <w:color w:val="auto"/>
              </w:rPr>
            </w:pPr>
            <w:r>
              <w:rPr>
                <w:rFonts w:ascii="Arial" w:cs="Arial" w:eastAsia="Arial" w:hAnsi="Arial"/>
                <w:sz w:val="18"/>
                <w:szCs w:val="18"/>
                <w:color w:val="auto"/>
                <w:w w:val="91"/>
              </w:rPr>
              <w:t>(State or Other Jurisdiction of</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2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gridSpan w:val="5"/>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gridSpan w:val="3"/>
          </w:tcPr>
          <w:p>
            <w:pPr>
              <w:jc w:val="center"/>
              <w:ind w:left="970"/>
              <w:spacing w:after="0"/>
              <w:rPr>
                <w:sz w:val="20"/>
                <w:szCs w:val="20"/>
                <w:color w:val="auto"/>
              </w:rPr>
            </w:pPr>
            <w:r>
              <w:rPr>
                <w:rFonts w:ascii="Arial" w:cs="Arial" w:eastAsia="Arial" w:hAnsi="Arial"/>
                <w:sz w:val="18"/>
                <w:szCs w:val="18"/>
                <w:color w:val="auto"/>
                <w:w w:val="95"/>
              </w:rPr>
              <w:t>Identification No.)</w:t>
            </w:r>
          </w:p>
        </w:tc>
      </w:tr>
      <w:tr>
        <w:trPr>
          <w:trHeight w:val="310"/>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0"/>
              </w:rPr>
              <w:t>701 Veterans Circle, Warminster, PA 18974</w:t>
            </w: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367"/>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gridSpan w:val="10"/>
          </w:tcPr>
          <w:p>
            <w:pPr>
              <w:jc w:val="center"/>
              <w:ind w:right="2160"/>
              <w:spacing w:after="0"/>
              <w:rPr>
                <w:sz w:val="20"/>
                <w:szCs w:val="20"/>
                <w:color w:val="auto"/>
              </w:rPr>
            </w:pPr>
            <w:r>
              <w:rPr>
                <w:rFonts w:ascii="Arial" w:cs="Arial" w:eastAsia="Arial" w:hAnsi="Arial"/>
                <w:sz w:val="18"/>
                <w:szCs w:val="18"/>
                <w:color w:val="auto"/>
                <w:w w:val="92"/>
              </w:rPr>
              <w:t>(Address of Principal Executive Offices and Zip Code)</w:t>
            </w:r>
          </w:p>
        </w:tc>
      </w:tr>
      <w:tr>
        <w:trPr>
          <w:trHeight w:val="194"/>
        </w:trPr>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center"/>
              <w:ind w:left="1630"/>
              <w:spacing w:after="0" w:line="194" w:lineRule="exact"/>
              <w:rPr>
                <w:sz w:val="20"/>
                <w:szCs w:val="20"/>
                <w:color w:val="auto"/>
              </w:rPr>
            </w:pPr>
            <w:r>
              <w:rPr>
                <w:rFonts w:ascii="Arial" w:cs="Arial" w:eastAsia="Arial" w:hAnsi="Arial"/>
                <w:sz w:val="18"/>
                <w:szCs w:val="18"/>
                <w:b w:val="1"/>
                <w:bCs w:val="1"/>
                <w:color w:val="auto"/>
                <w:w w:val="90"/>
              </w:rPr>
              <w:t>267-469-0914</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gridSpan w:val="10"/>
          </w:tcPr>
          <w:p>
            <w:pPr>
              <w:jc w:val="center"/>
              <w:ind w:right="216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351"/>
        </w:trPr>
        <w:tc>
          <w:tcPr>
            <w:tcW w:w="6140" w:type="dxa"/>
            <w:vAlign w:val="bottom"/>
            <w:gridSpan w:val="10"/>
          </w:tcPr>
          <w:p>
            <w:pPr>
              <w:jc w:val="center"/>
              <w:ind w:right="19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46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Trading Symbol(s)</w:t>
            </w:r>
          </w:p>
        </w:tc>
        <w:tc>
          <w:tcPr>
            <w:tcW w:w="68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64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50"/>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ABUS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The Nasdaq Stock Market LLC</w:t>
            </w:r>
          </w:p>
        </w:tc>
      </w:tr>
    </w:tbl>
    <w:p>
      <w:pPr>
        <w:spacing w:after="0" w:line="229"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35" w:right="339" w:bottom="1440" w:gutter="0" w:footer="0" w:header="0"/>
        </w:sectPr>
      </w:pPr>
    </w:p>
    <w:p>
      <w:pPr>
        <w:spacing w:after="0" w:line="10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48" w:lineRule="exact"/>
        <w:rPr>
          <w:sz w:val="24"/>
          <w:szCs w:val="24"/>
          <w:color w:val="auto"/>
        </w:rPr>
      </w:pPr>
    </w:p>
    <w:p>
      <w:pPr>
        <w:sectPr>
          <w:pgSz w:w="11900" w:h="16838" w:orient="portrait"/>
          <w:cols w:equalWidth="0" w:num="5">
            <w:col w:w="2040" w:space="720"/>
            <w:col w:w="1360" w:space="720"/>
            <w:col w:w="1520" w:space="520"/>
            <w:col w:w="1960" w:space="300"/>
            <w:col w:w="2100"/>
          </w:cols>
          <w:pgMar w:left="320" w:top="935" w:right="339" w:bottom="1440" w:gutter="0" w:footer="0" w:header="0"/>
          <w:type w:val="continuous"/>
        </w:sectPr>
      </w:pPr>
    </w:p>
    <w:p>
      <w:pPr>
        <w:spacing w:after="0" w:line="13" w:lineRule="exact"/>
        <w:rPr>
          <w:sz w:val="24"/>
          <w:szCs w:val="24"/>
          <w:color w:val="auto"/>
        </w:rPr>
      </w:pPr>
    </w:p>
    <w:p>
      <w:pPr>
        <w:ind w:left="10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60"/>
        <w:spacing w:after="0" w:line="15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60" w:space="720"/>
            <w:col w:w="1520" w:space="720"/>
            <w:col w:w="1540" w:space="720"/>
            <w:col w:w="1540" w:space="720"/>
            <w:col w:w="1200"/>
          </w:cols>
          <w:pgMar w:left="320" w:top="935" w:right="339" w:bottom="1440" w:gutter="0" w:footer="0" w:header="0"/>
          <w:type w:val="continuous"/>
        </w:sectPr>
      </w:pPr>
    </w:p>
    <w:p>
      <w:pPr>
        <w:spacing w:after="0" w:line="1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As of May 3, 2021, the registrant had 96,387,749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60" w:type="dxa"/>
            <w:vAlign w:val="bottom"/>
            <w:gridSpan w:val="8"/>
          </w:tcPr>
          <w:p>
            <w:pPr>
              <w:ind w:left="140"/>
              <w:spacing w:after="0"/>
              <w:rPr>
                <w:sz w:val="20"/>
                <w:szCs w:val="20"/>
                <w:color w:val="auto"/>
              </w:rPr>
            </w:pPr>
            <w:r>
              <w:rPr>
                <w:rFonts w:ascii="Arial" w:cs="Arial" w:eastAsia="Arial" w:hAnsi="Arial"/>
                <w:sz w:val="18"/>
                <w:szCs w:val="18"/>
                <w:b w:val="1"/>
                <w:bCs w:val="1"/>
                <w:color w:val="auto"/>
              </w:rPr>
              <w:t>ARBUTUS BIOPHARMA CORPORATION</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5"/>
          </w:tcPr>
          <w:p>
            <w:pPr>
              <w:ind w:left="60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00" w:type="dxa"/>
            <w:vAlign w:val="bottom"/>
            <w:gridSpan w:val="16"/>
            <w:shd w:val="clear" w:color="auto" w:fill="CCEEFF"/>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980" w:type="dxa"/>
            <w:vAlign w:val="bottom"/>
            <w:tcBorders>
              <w:right w:val="single" w:sz="8" w:color="CCEEFF"/>
            </w:tcBorders>
            <w:gridSpan w:val="4"/>
            <w:shd w:val="clear" w:color="auto" w:fill="CCEEFF"/>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340" w:type="dxa"/>
            <w:vAlign w:val="bottom"/>
            <w:gridSpan w:val="15"/>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980" w:type="dxa"/>
            <w:vAlign w:val="bottom"/>
            <w:gridSpan w:val="4"/>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60" w:type="dxa"/>
            <w:vAlign w:val="bottom"/>
            <w:vMerge w:val="restart"/>
            <w:shd w:val="clear" w:color="auto" w:fill="CCEEFF"/>
          </w:tcPr>
          <w:p>
            <w:pPr>
              <w:ind w:left="500"/>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8340" w:type="dxa"/>
            <w:vAlign w:val="bottom"/>
            <w:gridSpan w:val="15"/>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w:t>
              </w:r>
            </w:hyperlink>
          </w:p>
        </w:tc>
        <w:tc>
          <w:tcPr>
            <w:tcW w:w="980" w:type="dxa"/>
            <w:vAlign w:val="bottom"/>
            <w:tcBorders>
              <w:right w:val="single" w:sz="8" w:color="CCEEFF"/>
            </w:tcBorders>
            <w:gridSpan w:val="4"/>
            <w:shd w:val="clear" w:color="auto" w:fill="CCEEFF"/>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6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1"/>
              </w:rPr>
            </w:pPr>
            <w:hyperlink w:anchor="page16">
              <w:r>
                <w:rPr>
                  <w:rFonts w:ascii="Arial" w:cs="Arial" w:eastAsia="Arial" w:hAnsi="Arial"/>
                  <w:sz w:val="18"/>
                  <w:szCs w:val="18"/>
                  <w:color w:val="0000FF"/>
                  <w:w w:val="91"/>
                </w:rPr>
                <w:t>OPERATIONS</w:t>
              </w:r>
            </w:hyperlink>
          </w:p>
        </w:tc>
        <w:tc>
          <w:tcPr>
            <w:tcW w:w="66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340" w:type="dxa"/>
            <w:vAlign w:val="bottom"/>
            <w:gridSpan w:val="15"/>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980" w:type="dxa"/>
            <w:vAlign w:val="bottom"/>
            <w:gridSpan w:val="4"/>
          </w:tcPr>
          <w:p>
            <w:pPr>
              <w:jc w:val="right"/>
              <w:ind w:righ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60" w:type="dxa"/>
            <w:vAlign w:val="bottom"/>
            <w:shd w:val="clear" w:color="auto" w:fill="CCEEFF"/>
          </w:tcPr>
          <w:p>
            <w:pPr>
              <w:ind w:left="50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340" w:type="dxa"/>
            <w:vAlign w:val="bottom"/>
            <w:gridSpan w:val="15"/>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980" w:type="dxa"/>
            <w:vAlign w:val="bottom"/>
            <w:tcBorders>
              <w:right w:val="single" w:sz="8" w:color="CCEEFF"/>
            </w:tcBorders>
            <w:gridSpan w:val="4"/>
            <w:shd w:val="clear" w:color="auto" w:fill="CCEEFF"/>
          </w:tcPr>
          <w:p>
            <w:pPr>
              <w:jc w:val="right"/>
              <w:ind w:righ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7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line="189" w:lineRule="exact"/>
              <w:rPr>
                <w:rFonts w:ascii="Arial" w:cs="Arial" w:eastAsia="Arial" w:hAnsi="Arial"/>
                <w:sz w:val="18"/>
                <w:szCs w:val="18"/>
                <w:color w:val="0000FF"/>
                <w:w w:val="95"/>
              </w:rPr>
            </w:pPr>
            <w:hyperlink w:anchor="page31">
              <w:r>
                <w:rPr>
                  <w:rFonts w:ascii="Arial" w:cs="Arial" w:eastAsia="Arial" w:hAnsi="Arial"/>
                  <w:sz w:val="18"/>
                  <w:szCs w:val="18"/>
                  <w:color w:val="0000FF"/>
                  <w:w w:val="95"/>
                </w:rPr>
                <w:t>PART II. OTHER INFORMATION</w:t>
              </w:r>
            </w:hyperlink>
          </w:p>
        </w:tc>
        <w:tc>
          <w:tcPr>
            <w:tcW w:w="7620" w:type="dxa"/>
            <w:vAlign w:val="bottom"/>
            <w:gridSpan w:val="14"/>
            <w:shd w:val="clear" w:color="auto" w:fill="CCEEFF"/>
          </w:tcPr>
          <w:p>
            <w:pPr>
              <w:spacing w:after="0"/>
              <w:rPr>
                <w:sz w:val="16"/>
                <w:szCs w:val="16"/>
                <w:color w:val="auto"/>
              </w:rPr>
            </w:pPr>
          </w:p>
        </w:tc>
        <w:tc>
          <w:tcPr>
            <w:tcW w:w="78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1.</w:t>
              </w:r>
            </w:hyperlink>
          </w:p>
        </w:tc>
        <w:tc>
          <w:tcPr>
            <w:tcW w:w="8340" w:type="dxa"/>
            <w:vAlign w:val="bottom"/>
            <w:gridSpan w:val="15"/>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980" w:type="dxa"/>
            <w:vAlign w:val="bottom"/>
            <w:gridSpan w:val="4"/>
          </w:tcPr>
          <w:p>
            <w:pPr>
              <w:jc w:val="right"/>
              <w:ind w:right="2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1A.</w:t>
              </w:r>
            </w:hyperlink>
          </w:p>
        </w:tc>
        <w:tc>
          <w:tcPr>
            <w:tcW w:w="8340" w:type="dxa"/>
            <w:vAlign w:val="bottom"/>
            <w:gridSpan w:val="15"/>
            <w:shd w:val="clear" w:color="auto" w:fill="CCEEFF"/>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980" w:type="dxa"/>
            <w:vAlign w:val="bottom"/>
            <w:tcBorders>
              <w:right w:val="single" w:sz="8" w:color="CCEEFF"/>
            </w:tcBorders>
            <w:gridSpan w:val="4"/>
            <w:shd w:val="clear" w:color="auto" w:fill="CCEEFF"/>
          </w:tcPr>
          <w:p>
            <w:pPr>
              <w:jc w:val="right"/>
              <w:ind w:right="2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8340" w:type="dxa"/>
            <w:vAlign w:val="bottom"/>
            <w:gridSpan w:val="15"/>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UNREGISTERED SALES OF EQUITY SECURITIES AND USE OF PROCEEDS</w:t>
              </w:r>
            </w:hyperlink>
          </w:p>
        </w:tc>
        <w:tc>
          <w:tcPr>
            <w:tcW w:w="980" w:type="dxa"/>
            <w:vAlign w:val="bottom"/>
            <w:gridSpan w:val="4"/>
          </w:tcPr>
          <w:p>
            <w:pPr>
              <w:jc w:val="right"/>
              <w:ind w:right="2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7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3180" w:type="dxa"/>
            <w:vAlign w:val="bottom"/>
            <w:gridSpan w:val="10"/>
            <w:shd w:val="clear" w:color="auto" w:fill="CCEEFF"/>
          </w:tcPr>
          <w:p>
            <w:pPr>
              <w:spacing w:after="0" w:line="189" w:lineRule="exact"/>
              <w:rPr>
                <w:rFonts w:ascii="Arial" w:cs="Arial" w:eastAsia="Arial" w:hAnsi="Arial"/>
                <w:sz w:val="18"/>
                <w:szCs w:val="18"/>
                <w:color w:val="0000FF"/>
                <w:w w:val="93"/>
              </w:rPr>
            </w:pPr>
            <w:hyperlink w:anchor="page32">
              <w:r>
                <w:rPr>
                  <w:rFonts w:ascii="Arial" w:cs="Arial" w:eastAsia="Arial" w:hAnsi="Arial"/>
                  <w:sz w:val="18"/>
                  <w:szCs w:val="18"/>
                  <w:color w:val="0000FF"/>
                  <w:w w:val="93"/>
                </w:rPr>
                <w:t>DEFAULTS UPON SENIOR SECURITIES</w:t>
              </w:r>
            </w:hyperlink>
          </w:p>
        </w:tc>
        <w:tc>
          <w:tcPr>
            <w:tcW w:w="5160" w:type="dxa"/>
            <w:vAlign w:val="bottom"/>
            <w:gridSpan w:val="5"/>
            <w:shd w:val="clear" w:color="auto" w:fill="CCEEFF"/>
          </w:tcPr>
          <w:p>
            <w:pPr>
              <w:spacing w:after="0"/>
              <w:rPr>
                <w:sz w:val="16"/>
                <w:szCs w:val="16"/>
                <w:color w:val="auto"/>
              </w:rPr>
            </w:pPr>
          </w:p>
        </w:tc>
        <w:tc>
          <w:tcPr>
            <w:tcW w:w="78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3180" w:type="dxa"/>
            <w:vAlign w:val="bottom"/>
            <w:gridSpan w:val="10"/>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5160" w:type="dxa"/>
            <w:vAlign w:val="bottom"/>
            <w:gridSpan w:val="5"/>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5.</w:t>
              </w:r>
            </w:hyperlink>
          </w:p>
        </w:tc>
        <w:tc>
          <w:tcPr>
            <w:tcW w:w="1880" w:type="dxa"/>
            <w:vAlign w:val="bottom"/>
            <w:gridSpan w:val="7"/>
            <w:shd w:val="clear" w:color="auto" w:fill="CCEEFF"/>
          </w:tcPr>
          <w:p>
            <w:pPr>
              <w:spacing w:after="0" w:line="189" w:lineRule="exact"/>
              <w:rPr>
                <w:rFonts w:ascii="Arial" w:cs="Arial" w:eastAsia="Arial" w:hAnsi="Arial"/>
                <w:sz w:val="18"/>
                <w:szCs w:val="18"/>
                <w:color w:val="0000FF"/>
                <w:w w:val="95"/>
              </w:rPr>
            </w:pPr>
            <w:hyperlink w:anchor="page32">
              <w:r>
                <w:rPr>
                  <w:rFonts w:ascii="Arial" w:cs="Arial" w:eastAsia="Arial" w:hAnsi="Arial"/>
                  <w:sz w:val="18"/>
                  <w:szCs w:val="18"/>
                  <w:color w:val="0000FF"/>
                  <w:w w:val="95"/>
                </w:rPr>
                <w:t>OTHER INFORMATION</w:t>
              </w:r>
            </w:hyperlink>
          </w:p>
        </w:tc>
        <w:tc>
          <w:tcPr>
            <w:tcW w:w="6460" w:type="dxa"/>
            <w:vAlign w:val="bottom"/>
            <w:gridSpan w:val="8"/>
            <w:shd w:val="clear" w:color="auto" w:fill="CCEEFF"/>
          </w:tcPr>
          <w:p>
            <w:pPr>
              <w:spacing w:after="0"/>
              <w:rPr>
                <w:sz w:val="16"/>
                <w:szCs w:val="16"/>
                <w:color w:val="auto"/>
              </w:rPr>
            </w:pPr>
          </w:p>
        </w:tc>
        <w:tc>
          <w:tcPr>
            <w:tcW w:w="78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50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6.</w:t>
              </w:r>
            </w:hyperlink>
          </w:p>
        </w:tc>
        <w:tc>
          <w:tcPr>
            <w:tcW w:w="1880" w:type="dxa"/>
            <w:vAlign w:val="bottom"/>
            <w:gridSpan w:val="7"/>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6460" w:type="dxa"/>
            <w:vAlign w:val="bottom"/>
            <w:gridSpan w:val="8"/>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79,421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marketable securities, current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137,341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127,704</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Property and equipment, net of accumulated depreciation of $8,063</w:t>
            </w:r>
          </w:p>
        </w:tc>
        <w:tc>
          <w:tcPr>
            <w:tcW w:w="3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2020: $7,621)</w:t>
            </w:r>
          </w:p>
        </w:tc>
        <w:tc>
          <w:tcPr>
            <w:tcW w:w="38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Liability-classified options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liability, current</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35,114</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unlimited number without par value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360"/>
              <w:spacing w:after="0"/>
              <w:rPr>
                <w:sz w:val="20"/>
                <w:szCs w:val="20"/>
                <w:color w:val="auto"/>
              </w:rPr>
            </w:pPr>
            <w:r>
              <w:rPr>
                <w:rFonts w:ascii="Arial" w:cs="Arial" w:eastAsia="Arial" w:hAnsi="Arial"/>
                <w:sz w:val="18"/>
                <w:szCs w:val="18"/>
                <w:color w:val="auto"/>
              </w:rPr>
              <w:t>Issued and outstanding: 1,164,000 (December 31, 2020: 1,164,000)</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149,408</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Authorized: unlimited number without par value</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96,245,371 (December 31, 2020: 89,678,722)</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985,939</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60,751</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(1,045,961)</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(48,171)</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101,966</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1"/>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Collaborations and licenses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royalty revenue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10,416</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(13,147)</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gain (loss)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other loss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r>
      <w:tr>
        <w:trPr>
          <w:trHeight w:val="223"/>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Items applicable to preferred shares: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b w:val="1"/>
                <w:bCs w:val="1"/>
                <w:color w:val="auto"/>
              </w:rPr>
              <w:t>Net loss attributable to common shares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93,434,378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67,683,586</w:t>
            </w:r>
          </w:p>
        </w:tc>
      </w:t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on available-for-sale securities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Convertible Preferred</w:t>
            </w:r>
          </w:p>
        </w:tc>
        <w:tc>
          <w:tcPr>
            <w:tcW w:w="2180" w:type="dxa"/>
            <w:vAlign w:val="bottom"/>
            <w:gridSpan w:val="4"/>
            <w:vMerge w:val="restart"/>
          </w:tcPr>
          <w:p>
            <w:pPr>
              <w:jc w:val="right"/>
              <w:ind w:right="50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0"/>
                <w:szCs w:val="10"/>
                <w:color w:val="auto"/>
              </w:rPr>
            </w:pPr>
          </w:p>
        </w:tc>
        <w:tc>
          <w:tcPr>
            <w:tcW w:w="1020" w:type="dxa"/>
            <w:vAlign w:val="bottom"/>
          </w:tcPr>
          <w:p>
            <w:pPr>
              <w:jc w:val="center"/>
              <w:ind w:right="28"/>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w w:val="95"/>
              </w:rPr>
              <w:t>Accretion of accumulated dividends 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320" w:type="dxa"/>
            <w:vAlign w:val="bottom"/>
            <w:vMerge w:val="continue"/>
          </w:tcPr>
          <w:p>
            <w:pPr>
              <w:spacing w:after="0"/>
              <w:rPr>
                <w:sz w:val="7"/>
                <w:szCs w:val="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7"/>
                <w:szCs w:val="7"/>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7"/>
                <w:szCs w:val="7"/>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Arial" w:cs="Arial" w:eastAsia="Arial" w:hAnsi="Arial"/>
                <w:sz w:val="14"/>
                <w:szCs w:val="14"/>
                <w:color w:val="auto"/>
              </w:rPr>
              <w:t>Certain fair value adjustments to</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Arial" w:cs="Arial" w:eastAsia="Arial" w:hAnsi="Arial"/>
                <w:sz w:val="14"/>
                <w:szCs w:val="14"/>
                <w:color w:val="auto"/>
              </w:rPr>
              <w:t>liability stock option awards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1"/>
              </w:rPr>
              <w:t>Issuance of common shares pursuant to</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common shares pursuant to</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1"/>
              </w:rPr>
              <w:t>Issuance of common shares pursuant to</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ESPP</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Arial" w:cs="Arial" w:eastAsia="Arial" w:hAnsi="Arial"/>
                <w:sz w:val="14"/>
                <w:szCs w:val="14"/>
                <w:color w:val="auto"/>
              </w:rPr>
              <w:t>Unrealized gain on available-for-sale</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1,013,118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Convertible Preferred</w:t>
            </w:r>
          </w:p>
        </w:tc>
        <w:tc>
          <w:tcPr>
            <w:tcW w:w="20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0"/>
                <w:szCs w:val="10"/>
                <w:color w:val="auto"/>
              </w:rPr>
            </w:pPr>
          </w:p>
        </w:tc>
        <w:tc>
          <w:tcPr>
            <w:tcW w:w="1000" w:type="dxa"/>
            <w:vAlign w:val="bottom"/>
          </w:tcPr>
          <w:p>
            <w:pPr>
              <w:jc w:val="center"/>
              <w:ind w:right="48"/>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64,780,314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Accretion of accumulated dividends 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vMerge w:val="continue"/>
          </w:tcPr>
          <w:p>
            <w:pPr>
              <w:spacing w:after="0"/>
              <w:rPr>
                <w:sz w:val="7"/>
                <w:szCs w:val="7"/>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20" w:type="dxa"/>
            <w:vAlign w:val="bottom"/>
          </w:tcPr>
          <w:p>
            <w:pPr>
              <w:spacing w:after="0"/>
              <w:rPr>
                <w:sz w:val="7"/>
                <w:szCs w:val="7"/>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4"/>
                <w:szCs w:val="14"/>
                <w:color w:val="auto"/>
                <w:w w:val="98"/>
              </w:rPr>
              <w:t>Certain fair value adjustments to liability</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shares pursuant to</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4,147,081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4"/>
                <w:szCs w:val="14"/>
                <w:color w:val="auto"/>
                <w:w w:val="97"/>
              </w:rPr>
              <w:t>Issuance of common shares pursuant to</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Unrealized gain on available-for-sale</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(13,861)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(13,861)</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68,961,395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73,256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of U.S. Dollars)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280" w:type="dxa"/>
            <w:vAlign w:val="bottom"/>
            <w:tcBorders>
              <w:bottom w:val="single" w:sz="8" w:color="auto"/>
            </w:tcBorders>
          </w:tcPr>
          <w:p>
            <w:pPr>
              <w:spacing w:after="0"/>
              <w:rPr>
                <w:sz w:val="16"/>
                <w:szCs w:val="16"/>
                <w:color w:val="auto"/>
              </w:rPr>
            </w:pPr>
          </w:p>
        </w:tc>
      </w:tr>
      <w:tr>
        <w:trPr>
          <w:trHeight w:val="195"/>
        </w:trPr>
        <w:tc>
          <w:tcPr>
            <w:tcW w:w="66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w w:val="89"/>
              </w:rPr>
              <w:t>2020</w:t>
            </w: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tcPr>
          <w:p>
            <w:pPr>
              <w:jc w:val="right"/>
              <w:ind w:right="10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(16,381)</w:t>
            </w:r>
          </w:p>
        </w:tc>
        <w:tc>
          <w:tcPr>
            <w:tcW w:w="8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(13,861)</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Non-cash royalty revenue</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operating items: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6"/>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operating activities</w:t>
            </w:r>
          </w:p>
        </w:tc>
        <w:tc>
          <w:tcPr>
            <w:tcW w:w="1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(17,881)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(15,453)</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(24,369)</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 of investments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21,968</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of property and equipment</w:t>
            </w: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provided (used) by investing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26,874</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12,481</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1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27,170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(5,383)</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52,251</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31,799</w:t>
            </w:r>
          </w:p>
        </w:tc>
      </w:tr>
      <w:tr>
        <w:trPr>
          <w:trHeight w:val="207"/>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260" w:type="dxa"/>
            <w:vAlign w:val="bottom"/>
            <w:tcBorders>
              <w:bottom w:val="single" w:sz="8" w:color="auto"/>
            </w:tcBorders>
          </w:tcPr>
          <w:p>
            <w:pPr>
              <w:jc w:val="right"/>
              <w:ind w:right="10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79,421</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66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dividends accrued</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5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34"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Arbutus Biopharma Corporation (the “Company” or “Arbutus”) is a clinical-stage, biopharmaceutical company primarily focused on developing a cure for people with chronic hepatitis B virus (“HBV”) infection. The Company is advancing multiple product candidates with distinct mechanisms of action that it believes have the potential to provide a new curative regimen for chronic HBV infection. The Company has also initiated a drug discovery and development effort for treating coronaviruses, including COVID-19.</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two lead product candidates are AB-729, the Company’s proprietary subcutaneously-delivered RNA interference (“RNAi”) product candidate that suppresses HBsAg expression, and AB-836, the Company’s proprietary next-generation oral capsid inhibitor that suppresses HBV DNA replication. AB-729 is currently in an ongoing Phase 1a/1b clinical trial and a Phase 2 clinical trial in collaboration with Assembly Biosciences, Inc. (“Assembly”). The Company initiated a Phase 1a/1b clinical trial for AB-836 in the first quarter of 2021 with initial data expected in the second half of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the Company had an aggregate of $132.0 million in cash, cash equivalents and investments in marketable securities. The Company believes that these cash resources will be sufficient to fund its operations through the third quarter of 2022.</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as well as prohibitions in certain countries on enrolling subjects in new clinical trials. Future disruptions related to the COVID-19 pandemic could negatively impact the Company’s plans and timelines for the remainder of 2021 and beyond, including enrolling and monitoring subjects in its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 w:name="page8"/>
    <w:bookmarkEnd w:id="7"/>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2020 included in the Company’s Annual Report on Form 10-K for the year ended December 31, 2020 (the “2020 Form 10-K”). These unaudited condensed consolidated financial statements reflect, in the opinion of management, all adjustments and reclassifications necessary to fairly present the Company’s financial position as of March 31, 2021, the Company’s results of operations for the three months ended March 31, 2021 and the Company’s cash flows for the three months ended March 31, 2021. Such adjustments are of a normal recurring nature. The results of operations for the three months ended March 31, 2021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2020, except as described below under 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one wholly-owned subsidiary, Arbutus Biopharma Inc. (“Arbutus Inc.”). All intercompany transactions and balances have been eliminated. Certain prior year amounts have been reclassified to conform to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Series A participating convertible preferred shares (“Preferred Shares”), as further described in note 10. The Company’s Preferred Shares are participating securities, as they entitle the holders to participate in dividends. However, the Company’s Preferred Shares do not require the holders to participate in losses of the Company and accordingly, if the Company reports a net loss attributable to holders of the Company’s common shares, net losses are not allocated to holders of the Preferred Shares.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since the effect of the Company’s stock options and convertible preferred stock was anti-dilutive. During the three months ended March 31, 2021 and 2020, potential common shares of 35.0 million and 30.4 million, respectively, consisting of the “if-converted” number of Preferred Shares and outstanding stock options, were excluded from the calculation of net loss per share because their inclusion would be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Accounting Standards Codification 606, Revenue From Contracts with Customers (“ASC 606”) requires an entity to recognize the amount of revenue to which it expects to be entitled for the transfer of promised goods or services to customers under a five-step model: (i) identify contract(s) with a customer;</w:t>
      </w:r>
    </w:p>
    <w:p>
      <w:pPr>
        <w:ind w:firstLine="8"/>
        <w:spacing w:after="0" w:line="260" w:lineRule="auto"/>
        <w:tabs>
          <w:tab w:leader="none" w:pos="303"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regularly sold on a stand-alone basis and is determined by reference to market rates for the good or service when sold to others or by using an adjusted market assessment approach if the selling price on a stand-alone basis is not available.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20" w:hanging="486"/>
        <w:spacing w:after="0" w:line="26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$3.6 million as of March 31, 2021 and the increase of $0.1 million has been recorded as a component of total operating expenses in the statement of operations and comprehensive loss for the three months ended March 31, 2021.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5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As of March 31, 2021</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5"/>
          </w:tcPr>
          <w:p>
            <w:pPr>
              <w:ind w:left="760"/>
              <w:spacing w:after="0" w:line="149"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6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79,421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gridSpan w:val="4"/>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131,961</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131,961</w:t>
            </w:r>
          </w:p>
        </w:tc>
        <w:tc>
          <w:tcPr>
            <w:tcW w:w="20" w:type="dxa"/>
            <w:vAlign w:val="bottom"/>
            <w:tcBorders>
              <w:top w:val="single" w:sz="8" w:color="auto"/>
            </w:tcBorders>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60" w:type="dxa"/>
            <w:vAlign w:val="bottom"/>
            <w:gridSpan w:val="4"/>
          </w:tcPr>
          <w:p>
            <w:pPr>
              <w:ind w:left="120"/>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2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60" w:type="dxa"/>
            <w:vAlign w:val="bottom"/>
            <w:gridSpan w:val="4"/>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3,753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20" w:type="dxa"/>
            <w:vAlign w:val="bottom"/>
            <w:tcBorders>
              <w:top w:val="single" w:sz="8" w:color="auto"/>
            </w:tcBorders>
          </w:tcPr>
          <w:p>
            <w:pPr>
              <w:spacing w:after="0"/>
              <w:rPr>
                <w:sz w:val="19"/>
                <w:szCs w:val="19"/>
                <w:color w:val="auto"/>
              </w:rPr>
            </w:pPr>
          </w:p>
        </w:tc>
      </w:tr>
      <w:tr>
        <w:trPr>
          <w:trHeight w:val="53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5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5"/>
          </w:tcPr>
          <w:p>
            <w:pPr>
              <w:ind w:left="740"/>
              <w:spacing w:after="0" w:line="148"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6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60" w:type="dxa"/>
            <w:vAlign w:val="bottom"/>
            <w:gridSpan w:val="4"/>
          </w:tcPr>
          <w:p>
            <w:pPr>
              <w:ind w:left="120"/>
              <w:spacing w:after="0"/>
              <w:rPr>
                <w:sz w:val="20"/>
                <w:szCs w:val="20"/>
                <w:color w:val="auto"/>
              </w:rPr>
            </w:pPr>
            <w:r>
              <w:rPr>
                <w:rFonts w:ascii="Arial" w:cs="Arial" w:eastAsia="Arial" w:hAnsi="Arial"/>
                <w:sz w:val="18"/>
                <w:szCs w:val="18"/>
                <w:color w:val="auto"/>
              </w:rPr>
              <w:t>Liability-classified stock option awards</w:t>
            </w:r>
          </w:p>
        </w:tc>
        <w:tc>
          <w:tcPr>
            <w:tcW w:w="30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4"/>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3,676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9"/>
              </w:rPr>
              <w:t>Liability at beginning of</w:t>
            </w:r>
          </w:p>
        </w:tc>
        <w:tc>
          <w:tcPr>
            <w:tcW w:w="200" w:type="dxa"/>
            <w:vAlign w:val="bottom"/>
          </w:tcPr>
          <w:p>
            <w:pPr>
              <w:spacing w:after="0"/>
              <w:rPr>
                <w:sz w:val="14"/>
                <w:szCs w:val="14"/>
                <w:color w:val="auto"/>
              </w:rPr>
            </w:pPr>
          </w:p>
        </w:tc>
        <w:tc>
          <w:tcPr>
            <w:tcW w:w="158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Fair value of liability-</w:t>
            </w:r>
          </w:p>
        </w:tc>
        <w:tc>
          <w:tcPr>
            <w:tcW w:w="186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9"/>
              </w:rPr>
              <w:t>Increase (decrease) in fair</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87"/>
              </w:rPr>
              <w:t>classified options</w:t>
            </w:r>
          </w:p>
        </w:tc>
        <w:tc>
          <w:tcPr>
            <w:tcW w:w="186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the period</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exercised in the period</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5"/>
              </w:rPr>
              <w:t>value of liability</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Three Months Ended March 31, 2021</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1280"/>
              <w:spacing w:after="0"/>
              <w:rPr>
                <w:sz w:val="20"/>
                <w:szCs w:val="20"/>
                <w:color w:val="auto"/>
              </w:rPr>
            </w:pPr>
            <w:r>
              <w:rPr>
                <w:rFonts w:ascii="Arial" w:cs="Arial" w:eastAsia="Arial" w:hAnsi="Arial"/>
                <w:sz w:val="18"/>
                <w:szCs w:val="18"/>
                <w:color w:val="auto"/>
              </w:rPr>
              <w:t>(9)</w:t>
            </w:r>
          </w:p>
        </w:tc>
        <w:tc>
          <w:tcPr>
            <w:tcW w:w="42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Liability at beginning of the period</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(decrease) in fair value of</w:t>
            </w:r>
          </w:p>
        </w:tc>
        <w:tc>
          <w:tcPr>
            <w:tcW w:w="24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Liability at end of the period</w:t>
            </w:r>
          </w:p>
        </w:tc>
      </w:tr>
      <w:tr>
        <w:trPr>
          <w:trHeight w:val="188"/>
        </w:trPr>
        <w:tc>
          <w:tcPr>
            <w:tcW w:w="43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5"/>
              </w:rPr>
              <w:t>liability</w:t>
            </w: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4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jc w:val="center"/>
              <w:ind w:right="339"/>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w:t>
            </w:r>
          </w:p>
        </w:tc>
        <w:tc>
          <w:tcPr>
            <w:tcW w:w="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 w:type="dxa"/>
            <w:vAlign w:val="bottom"/>
          </w:tcPr>
          <w:p>
            <w:pPr>
              <w:spacing w:after="0"/>
              <w:rPr>
                <w:sz w:val="20"/>
                <w:szCs w:val="20"/>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2,953</w:t>
            </w:r>
          </w:p>
        </w:tc>
        <w:tc>
          <w:tcPr>
            <w:tcW w:w="4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112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3,065</w:t>
            </w:r>
          </w:p>
        </w:tc>
        <w:tc>
          <w:tcPr>
            <w:tcW w:w="40" w:type="dxa"/>
            <w:vAlign w:val="bottom"/>
          </w:tcPr>
          <w:p>
            <w:pPr>
              <w:spacing w:after="0"/>
              <w:rPr>
                <w:sz w:val="20"/>
                <w:szCs w:val="20"/>
                <w:color w:val="auto"/>
              </w:rPr>
            </w:pPr>
          </w:p>
        </w:tc>
      </w:tr>
      <w:tr>
        <w:trPr>
          <w:trHeight w:val="809"/>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 in marketable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18"/>
                <w:szCs w:val="18"/>
                <w:b w:val="1"/>
                <w:bCs w:val="1"/>
                <w:color w:val="auto"/>
                <w:vertAlign w:val="superscript"/>
              </w:rPr>
              <w:t>(1)</w:t>
            </w: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4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March 31, 2021</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0" w:type="dxa"/>
            <w:vAlign w:val="bottom"/>
            <w:gridSpan w:val="3"/>
          </w:tcPr>
          <w:p>
            <w:pPr>
              <w:jc w:val="right"/>
              <w:ind w:right="435"/>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51,210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51,210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51,210</w:t>
            </w:r>
          </w:p>
        </w:tc>
      </w:tr>
      <w:tr>
        <w:trPr>
          <w:trHeight w:val="188"/>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15,996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15,999</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32,497</w:t>
            </w:r>
          </w:p>
        </w:tc>
      </w:tr>
      <w:tr>
        <w:trPr>
          <w:trHeight w:val="224"/>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52,523</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52,540</w:t>
            </w:r>
          </w:p>
        </w:tc>
      </w:tr>
    </w:tbl>
    <w:p>
      <w:pPr>
        <w:spacing w:after="0" w:line="201" w:lineRule="exact"/>
        <w:rPr>
          <w:sz w:val="20"/>
          <w:szCs w:val="20"/>
          <w:color w:val="auto"/>
        </w:rPr>
      </w:pPr>
    </w:p>
    <w:p>
      <w:pPr>
        <w:ind w:left="500" w:hanging="168"/>
        <w:spacing w:after="0"/>
        <w:tabs>
          <w:tab w:leader="none" w:pos="5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 and is reported in other comprehensive loss.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2020</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0" w:type="dxa"/>
            <w:vAlign w:val="bottom"/>
            <w:gridSpan w:val="3"/>
          </w:tcPr>
          <w:p>
            <w:pPr>
              <w:jc w:val="right"/>
              <w:ind w:right="434"/>
              <w:spacing w:after="0" w:line="149"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19"/>
                <w:szCs w:val="19"/>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13,703</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15,703</w:t>
            </w: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9"/>
                <w:szCs w:val="19"/>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11,557</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r>
      <w:tr>
        <w:trPr>
          <w:trHeight w:val="230"/>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37,468</w:t>
            </w: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bl>
    <w:p>
      <w:pPr>
        <w:spacing w:after="0" w:line="229" w:lineRule="exact"/>
        <w:rPr>
          <w:sz w:val="20"/>
          <w:szCs w:val="20"/>
          <w:color w:val="auto"/>
        </w:rPr>
      </w:pPr>
    </w:p>
    <w:p>
      <w:pPr>
        <w:ind w:left="500" w:hanging="168"/>
        <w:spacing w:after="0"/>
        <w:tabs>
          <w:tab w:leader="none" w:pos="5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 and is reported in other comprehensive loss.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contractual term to maturity of the $52.5 million of marketable securities held by the Company as of March 31, 2021 is less than one year. As of December 31, 2020, the Company’s $71.0 million of marketable securities also had contractual maturities of less than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months ended March 31, 2021 or 2020.</w:t>
      </w:r>
    </w:p>
    <w:p>
      <w:pPr>
        <w:spacing w:after="0" w:line="200" w:lineRule="exact"/>
        <w:rPr>
          <w:sz w:val="20"/>
          <w:szCs w:val="20"/>
          <w:color w:val="auto"/>
        </w:rPr>
      </w:pPr>
    </w:p>
    <w:p>
      <w:pPr>
        <w:spacing w:after="0" w:line="2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Under the Genevant License, the Company is entitled to receive tiered low single-digit royalties on future sales of Genevant products covered by the licensed patents. If Genevant sub-licenses the intellectual property licensed by the Company to Genevant, the Company is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On July 31, 2020, Roivant recapitalized Genevant through an equity investment and conversion of previously issued convertible debt securities held by Roivant. In addition, the Company participated in the recapitalization of Genevant with an investment of $2.5 million. The Company determined that this $2.5 million additional investment in Genevant represented the funding of prior losses and accordingly, the Company recorded the amount as an equity investment loss on the Condensed Consolidated Statements of Operations and Comprehensive Loss in 2020.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recapitalization, the Company owned approximately 16% of the common equity of Genevant. In connection with the recapitalization, Genevant, the Company and Roivant entered into an Amended and Restated Shareholders Agreement that provides Roivant with substantial control of Genevant. The Company has a non-voting observer seat on Genevant’s Board of Directors. Due to the Company’s loss of significant influence with respect to Genevant as a result of the recapitalization, the Company discontinued the use of the equity method of accounting for its interest in Genevant. Following the recapitalization, 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The Company’s entitlement to receive future royalties or sublicensing revenue under the Genevant License was not impacted by the recapitalization.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2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1"/>
              </w:rPr>
              <w:t>December 31, 2020</w:t>
            </w:r>
          </w:p>
        </w:tc>
      </w:tr>
      <w:tr>
        <w:trPr>
          <w:trHeight w:val="187"/>
        </w:trPr>
        <w:tc>
          <w:tcPr>
            <w:tcW w:w="2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6"/>
                <w:szCs w:val="16"/>
                <w:color w:val="auto"/>
              </w:rPr>
            </w:pPr>
          </w:p>
        </w:tc>
      </w:tr>
      <w:tr>
        <w:trPr>
          <w:trHeight w:val="23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48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7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480" w:type="dxa"/>
            <w:vAlign w:val="bottom"/>
          </w:tcPr>
          <w:p>
            <w:pPr>
              <w:jc w:val="right"/>
              <w:ind w:right="12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6,063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8,901</w:t>
            </w:r>
          </w:p>
        </w:tc>
      </w:tr>
    </w:tbl>
    <w:p>
      <w:pPr>
        <w:spacing w:after="0" w:line="200" w:lineRule="exact"/>
        <w:rPr>
          <w:sz w:val="20"/>
          <w:szCs w:val="20"/>
          <w:color w:val="auto"/>
        </w:rPr>
      </w:pPr>
    </w:p>
    <w:p>
      <w:pPr>
        <w:spacing w:after="0" w:line="2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Sale of future royalties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2021, the Company estimated an effective annual interest rate of approximately 16%. Over the course of the Agreement, the actual interest rate will be affected by the amount and timing of royalty revenue recognized and changes in the timing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forecasted royalty revenue. On a quarterly basis, the Company will reassess the expected timing of the royalty revenue, recalculate the amortization and effective interest rate and adjust the accounting prospectively as needed.</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2021, the Company has recorded an aggregate of $6.0 million of non-cash royalty revenue for royalties earned by OMERS. There are a number of factors that could materially affect the amount and timing of royalty payments from Alnylam, none of which are within the Company’s control. The table below shows the activity related to the net liability for the three months ended March 31, 2021 and 2020: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24"/>
        </w:trPr>
        <w:tc>
          <w:tcPr>
            <w:tcW w:w="728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19,366</w:t>
            </w:r>
          </w:p>
        </w:tc>
        <w:tc>
          <w:tcPr>
            <w:tcW w:w="8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19,375</w:t>
            </w: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his decision for the second phase of the arbitration, awarding UBC $5.9 million, which included interest of approximately $2.6 million. The Company paid the $5.9 million award to UBC in September 2019 and paid an additional $0.2 million award for costs and attorneys’ fees in March 2021, and this matter is now fully resolved.</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are currently scheduled to begin on April 25, 2022. The Company does not believe that any royalties are due to UBC and the Company intends to vigorously contest UBC’s allegation.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fair value of the contingent consideration was $3.6 million as of March 31, 2021.</w:t>
      </w:r>
    </w:p>
    <w:p>
      <w:pPr>
        <w:spacing w:after="0" w:line="200" w:lineRule="exact"/>
        <w:rPr>
          <w:sz w:val="20"/>
          <w:szCs w:val="20"/>
          <w:color w:val="auto"/>
        </w:rPr>
      </w:pPr>
    </w:p>
    <w:p>
      <w:pPr>
        <w:spacing w:after="0" w:line="29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contracts are described in detail in the Overview section of Part II, Item 8, “Financial Statements and Supplementary Data” in the Company’s 2020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Biosciences,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Company entered into a clinical collaboration agreement with Assembly to evaluate AB-729 in combination with Assembly’s lead HBV core inhibitor (capsid inhibitor) candidate vebicorvir (“VBR”) and standard-of-care NA therapy for the treatment of subjects with chronic HBV infection. The Company and Assembly will share in the costs of the collaboration. The Company incurred $0.8 million of costs related to the collaboration during the three months ended March 31, 2021 and reflected those costs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X-Chem and Proteros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March 2021, the Company, X-Chem, Inc. (“X-Chem”) and Proteros biostructures GmbH (“Proteros”) entered into a discovery research and license agreement focused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is expected to allow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2012, the Company entered into a license agreement with Alnylam that entitles Alnylam to develop and commercialize products with the Company’s LNP technology. Alnylam’s ONPATTRO, which represents the first approved application of the Company’s LNP technology, was approved by the United States Food and Drug Administration (“FDA”) and the European Medicines Agency (“EMA”) during the third quarter of 2018 and was launched by Alnylam immediately upon approval in the United States.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w:t>
      </w:r>
    </w:p>
    <w:p>
      <w:pPr>
        <w:spacing w:after="0" w:line="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Revenues are summarized in the following table: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8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83"/>
        </w:trPr>
        <w:tc>
          <w:tcPr>
            <w:tcW w:w="7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31"/>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9"/>
        </w:trPr>
        <w:tc>
          <w:tcPr>
            <w:tcW w:w="788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4"/>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1,491</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an Open Market Sale Agreement (the “Sale Agreement”) with Jefferies LLC (“Jefferies”) dated December 20, 2018, as amended on December 20, 2019 (the “2019 Amended Sale Agreement”), under which it may issue and sell common shares, from time to time, under a shelf registration statement on Form S-3 (File No. 333-235674), filed with the SEC on December 23, 2019 (the “2019 Shelf Registration Statement”). In July 2020, the Company fully utilized the remaining availability under the 2019 Amended Sale Agreement. In August 2020, the Company entered into an amendment to the 2019 Amended Sale Agreement (as amended, the “2020 Amended Sale Agreement”) with Jefferies, whereby the Company may issue and sell common shares, from time to time, for an aggregate sales price of up to $75 million, under the 2019 Shelf Registration Statement. On August 7, 2020, the Company filed a prospectus supplement with the SEC (the “August 2020 Prospectus Supplement”) under the 2019 Shelf Registration Statement in connection with the offering of up to an additional $75 million of its common shares pursuant to the 2020 Amended Sale Agreement.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filed a new shelf registration statement on Form S-3 (File No. 333-248467) with the SEC on August 28, 2020 (the “2020 Shelf Registration Statement”). On March 4, 2021, the Company entered into an amendment to the 2020 Amended Sale Agreement with Jefferies to reflect that the Company may issue and sell additional common shares from time to time without a cap on the aggregate sales price (as amended, the “2021 Amended Sale Agreement”). Also, on March 4, 2021, the Company filed a prospectus supplement with the SEC (the “March 2021 Prospectus Supplement”) in connection with the offering of up to an additional $75.0 million of its common shares pursuant to the 2021 Amended Sale Agreement under the 2020 Shelf Registration Statement.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the Company issued 6,395,780 common shares pursuant to the 2020 Amended Sale Agreement, resulting in net proceeds of approximately $26.4 million. For the three months ended March 31, 2020, the Company issued 4,147,081 common shares pursuant to the 2019 Amended Sale Agreement, resulting in net proceeds of approximately $12.3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was approximately $14.2 million available under the August 2020 Prospectus Supplement and $75.0 million available under the March 2021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stock based compensation for the three months ended March 31, 2021 and 2020 and the expense recognized in the condensed consolidated statements of operations: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390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31"/>
        </w:trPr>
        <w:tc>
          <w:tcPr>
            <w:tcW w:w="7280" w:type="dxa"/>
            <w:vAlign w:val="bottom"/>
            <w:shd w:val="clear" w:color="auto" w:fill="CCEEFF"/>
          </w:tcPr>
          <w:p>
            <w:pPr>
              <w:jc w:val="center"/>
              <w:ind w:right="4970"/>
              <w:spacing w:after="0"/>
              <w:rPr>
                <w:sz w:val="20"/>
                <w:szCs w:val="20"/>
                <w:color w:val="auto"/>
              </w:rPr>
            </w:pPr>
            <w:r>
              <w:rPr>
                <w:rFonts w:ascii="Arial" w:cs="Arial" w:eastAsia="Arial" w:hAnsi="Arial"/>
                <w:sz w:val="18"/>
                <w:szCs w:val="18"/>
                <w:color w:val="auto"/>
                <w:w w:val="91"/>
              </w:rPr>
              <w:t>Options granted during period</w:t>
            </w:r>
          </w:p>
        </w:tc>
        <w:tc>
          <w:tcPr>
            <w:tcW w:w="1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2,896,550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2,097,237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7280" w:type="dxa"/>
            <w:vAlign w:val="bottom"/>
            <w:shd w:val="clear" w:color="auto" w:fill="CCEEFF"/>
          </w:tcPr>
          <w:p>
            <w:pPr>
              <w:jc w:val="center"/>
              <w:ind w:right="4970"/>
              <w:spacing w:after="0"/>
              <w:rPr>
                <w:sz w:val="20"/>
                <w:szCs w:val="20"/>
                <w:color w:val="auto"/>
              </w:rPr>
            </w:pPr>
            <w:r>
              <w:rPr>
                <w:rFonts w:ascii="Arial" w:cs="Arial" w:eastAsia="Arial" w:hAnsi="Arial"/>
                <w:sz w:val="18"/>
                <w:szCs w:val="18"/>
                <w:b w:val="1"/>
                <w:bCs w:val="1"/>
                <w:color w:val="auto"/>
                <w:w w:val="86"/>
              </w:rPr>
              <w:t>Stock compensation expense</w:t>
            </w:r>
          </w:p>
        </w:tc>
        <w:tc>
          <w:tcPr>
            <w:tcW w:w="1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280" w:type="dxa"/>
            <w:vAlign w:val="bottom"/>
          </w:tcPr>
          <w:p>
            <w:pPr>
              <w:jc w:val="center"/>
              <w:ind w:right="5010"/>
              <w:spacing w:after="0"/>
              <w:rPr>
                <w:sz w:val="20"/>
                <w:szCs w:val="20"/>
                <w:color w:val="auto"/>
              </w:rPr>
            </w:pPr>
            <w:r>
              <w:rPr>
                <w:rFonts w:ascii="Arial" w:cs="Arial" w:eastAsia="Arial" w:hAnsi="Arial"/>
                <w:sz w:val="18"/>
                <w:szCs w:val="18"/>
                <w:color w:val="auto"/>
                <w:w w:val="88"/>
              </w:rPr>
              <w:t>Research and development</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7280" w:type="dxa"/>
            <w:vAlign w:val="bottom"/>
            <w:shd w:val="clear" w:color="auto" w:fill="CCEEFF"/>
          </w:tcPr>
          <w:p>
            <w:pPr>
              <w:jc w:val="center"/>
              <w:ind w:right="4990"/>
              <w:spacing w:after="0"/>
              <w:rPr>
                <w:sz w:val="20"/>
                <w:szCs w:val="20"/>
                <w:color w:val="auto"/>
              </w:rPr>
            </w:pPr>
            <w:r>
              <w:rPr>
                <w:rFonts w:ascii="Arial" w:cs="Arial" w:eastAsia="Arial" w:hAnsi="Arial"/>
                <w:sz w:val="18"/>
                <w:szCs w:val="18"/>
                <w:color w:val="auto"/>
                <w:w w:val="91"/>
              </w:rPr>
              <w:t>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4"/>
        </w:trPr>
        <w:tc>
          <w:tcPr>
            <w:tcW w:w="728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1,445</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2, 2017, the Company announced that it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approximately 23 million common shares on October 18, 2021 (subject to limited exceptions in the event of certain fundamental corporate transactions relating to the Company’s capital structure or assets, which would permit earlier conversion at Roivant’s option). Assuming conversion of the Preferred Shares into common shares, based on the number of common shares outstanding on March 31, 2021 Roivant would hold 32% of the Company’s common shares. Roivant has agreed to a four year lock-up period for this investment and its existing holdings in the Company. Roivant has also agreed to a four year standstill whereby Roivant will not acquire greater than 49.99% of the Company’s common shares or securities convertible into common shares. Both the lockup and standstill periods expire on October 18, 2021. Following the expiration of the standstill period, Roivant will no longer be contractually prohibited from acquiring control of the Company. The initial investment of $50.0 million closed on October 16, 2017, and the remaining amount of $66.4 million closed on January 12, 2018 following regulatory and shareholder approvals.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the Preferred Shares wholly as equity with no bifurcation of the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and 2020,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2020 and our unaudited condensed consolidated financial statements for the three months ended March 31, 2021.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of our product candidates to improve upon the standard of care and contribute to a functional curative combination treatment regimen;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suite of products that intervene at different points in the viral life cycle, with the potential to reactivate the host immune system;</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pre-clinical results to adaptively design clinical trials for additional cohorts of patients, testing the combination and the duration of therapy;</w:t>
      </w:r>
    </w:p>
    <w:p>
      <w:pPr>
        <w:spacing w:after="0" w:line="8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of substantially increasing diagnosis and treatment rates for people with chronic HBV through the introduction of an HBV curative regimen with a finite duration;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HBV product candidate pipeline through internal development, acquisitions and in-licenses;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additional data from ongoing cohorts of the Phase 1a/1b trial of AB-729 to be available in the second quarter of 2021 (other than initial data from the 90 mg every 12-week dosing interval cohort in HBV DNA negative subjects and initial data from the 90 mg every 8-week dosing interval cohort in HBV DNA positive subjects, which are expected in the second half of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 w:name="page18"/>
    <w:bookmarkEnd w:id="17"/>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intention to initiate two Phase 2 clinical trials with AB-729, some with one or more approved or investigational agents, in the second half of 2021;</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anticipated trial design, timing, number of patients and dosing of our Phase 2 clinical trial of Assembly Biosciences, Inc.’s (“Assembly”) investigational HBV core inhibitor candidate, also known as a capsid inhibitor, vebicorvir, in combination with our proprietary GalNAc delivered RNAi therapeutic candidate, AB-729, and standard-of-care nucleos(t)ide reverse transcriptase inhibitor (NrtI) therapy for the treatment of patients with chronic HBV infection;</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obtain initial data from the ongoing Phase 1a/1b clinical trial for AB-836 in the second half of 2021;</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 and other competitive capsid inhibitors;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AB-729 to have a dosing schedule as infrequently as every 8 to 12 weeks;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6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for our collaboration with X-Chem, Inc. (“X-Chem”) and Proteros biostructures GmbH (“Proteros”) to result in the rapid screening of one of the largest small molecule libraries against M</w:t>
      </w:r>
      <w:r>
        <w:rPr>
          <w:rFonts w:ascii="Arial" w:cs="Arial" w:eastAsia="Arial" w:hAnsi="Arial"/>
          <w:sz w:val="22"/>
          <w:szCs w:val="22"/>
          <w:color w:val="auto"/>
          <w:vertAlign w:val="superscript"/>
        </w:rPr>
        <w:t>pro</w:t>
      </w:r>
      <w:r>
        <w:rPr>
          <w:rFonts w:ascii="Arial" w:cs="Arial" w:eastAsia="Arial" w:hAnsi="Arial"/>
          <w:sz w:val="17"/>
          <w:szCs w:val="17"/>
          <w:color w:val="auto"/>
        </w:rPr>
        <w:t xml:space="preserve"> and the potential for us to progress related inhibitors to clinical candidates;</w:t>
      </w:r>
    </w:p>
    <w:p>
      <w:pPr>
        <w:spacing w:after="0" w:line="1" w:lineRule="exact"/>
        <w:rPr>
          <w:rFonts w:ascii="Arial" w:cs="Arial" w:eastAsia="Arial" w:hAnsi="Arial"/>
          <w:sz w:val="17"/>
          <w:szCs w:val="17"/>
          <w:color w:val="auto"/>
        </w:rPr>
      </w:pPr>
    </w:p>
    <w:p>
      <w:pPr>
        <w:ind w:left="660" w:hanging="328"/>
        <w:spacing w:after="0" w:line="28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for our collaboration with X-Chem, Inc. (“X-Chem”) and Proteros biostructures GmbH (“Proteros”) to result in the rapid screening of one of the largest small molecule libraries against Mpro and the potential for us to progress related inhibitors to clinical candidates;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from the Gritstone Oncology, Inc. licensing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royalty payments from the agreement related to Genevant Sciences Ltd.;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through the third quarter of 2022 based on our expectation of a net cash burn between $70 million and $75 million in 2021; and</w:t>
      </w:r>
    </w:p>
    <w:p>
      <w:pPr>
        <w:spacing w:after="0" w:line="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2020 (the “Form 10-K”), and in particular the risks and uncertainties discussed under “Item 1A-Risk Factors” of this Form 10-Q and the Form 10-K. As a result, you should not place undue reliance on forward-looking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Arbutus Biopharma Corporation (“Arbutus”, the “Company”, “we”, “us”, and “our”) is a clinical-stage, biopharmaceutical company focused primarily on developing a cure for people with chronic hepatitis B virus (“HBV”) infection. We are advancing multiple product candidates with distinct mechanisms of action and we believe the combination of two or more of these product candidates has the potential to provide a new curative regimen for chronic HBV infection. We have also initiated a drug discovery and development effort for treating coronaviruses, including COVID-19.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21" w:lineRule="exact"/>
        <w:rPr>
          <w:sz w:val="20"/>
          <w:szCs w:val="20"/>
          <w:color w:val="auto"/>
        </w:rPr>
      </w:pPr>
    </w:p>
    <w:p>
      <w:pPr>
        <w:jc w:val="both"/>
        <w:ind w:left="660" w:hanging="328"/>
        <w:spacing w:after="0" w:line="274"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Developing a broad portfolio of proprietary therapeutic product candidates that target multiple elements of the HBV viral lifecycle.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HBV product pipeline includes RNA interference (“RNAi”) therapeutics, oral capsid inhibitors, oral HBV RNA destabilizer compounds and oral compounds that inhibit PD-L1 with the intention of reawakening patients’ HBV-specific immune response. We believe that suppressing HBV DNA replication and hepatitis B surface antigen (“HBsAg”) expression as well as reawakening patients’ HBV-specific immune response are the most important elements to achieving a functional cure. We define a functional cure as unquantifiable plasma HBV DNA and HBsAg levels greater than six months after end of therapy with or without quantifiable anti-HBsAg antibodies.</w:t>
      </w:r>
    </w:p>
    <w:p>
      <w:pPr>
        <w:spacing w:after="0" w:line="69"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Our two lead product candidates are AB-729, our proprietary subcutaneously-delivered RNAi product candidate that suppresses HBsAg expression, which is thought to be a key prerequisite to enable reawakening of a patient’s immune system to respond to HBV, and AB-836, our proprietary next-generation oral capsid inhibitor that suppresses HBV DNA replication.</w:t>
      </w:r>
    </w:p>
    <w:p>
      <w:pPr>
        <w:spacing w:after="0" w:line="75"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AB-729 is currently in an ongoing Phase 1a/1b clinical trial and a Phase 2 clinical trial in collaboration with Assembly Biosciences, Inc. (“Assembly”). We have announced positive preliminary results in the Phase 1a/1b clinical trial from several single and multi-dose cohorts of subjects with chronic HBV infection, which have demonstrated that treatment with AB-729 resulted in meaningful declines in HBsAg while being well tolerated with no serious adverse events noted after both single and repeat dosing. We expect to provide additional data from ongoing cohorts of this Phase 1a/1b clinical trial in the second quarter of 2021, except for initial data from the 90 mg every 12-week dosing interval cohort in HBV DNA negative subjects and initial data from the 90 mg every 8-week dosing interval cohort in HBV DNA positive subjects, which are expected in the second half of 2021.</w:t>
      </w:r>
    </w:p>
    <w:p>
      <w:pPr>
        <w:spacing w:after="0" w:line="86"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We initiated a Phase 1a/1b clinical trial for AB-836 in the first quarter of 2021 with initial data anticipated in the second half of 2021. AB-836 is from a novel chemical series differentiated from competitor compounds and has the potential to provide increased efficacy and an enhanced resistance profile.</w:t>
      </w:r>
    </w:p>
    <w:p>
      <w:pPr>
        <w:spacing w:after="0" w:line="75"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Additionally, we are in lead optimization with oral compounds that inhibit PD-L1 with the intention of reawakening patients’ HBV-specific immune response and next-generation oral HBV RNA destabilizer compounds that are designed to destabilize and ultimately degrade HBV RNAs resulting in the reduction of HBsAg.</w:t>
      </w:r>
    </w:p>
    <w:p>
      <w:pPr>
        <w:spacing w:after="0" w:line="179" w:lineRule="exact"/>
        <w:rPr>
          <w:rFonts w:ascii="Arial" w:cs="Arial" w:eastAsia="Arial" w:hAnsi="Arial"/>
          <w:sz w:val="17"/>
          <w:szCs w:val="17"/>
          <w:color w:val="auto"/>
        </w:rPr>
      </w:pPr>
    </w:p>
    <w:p>
      <w:pPr>
        <w:ind w:left="660" w:hanging="328"/>
        <w:spacing w:after="0" w:line="254" w:lineRule="auto"/>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Creating combinations of therapeutic product candidates with complementary mechanisms of action designed to provide a functional cure for people with chronic HBV infection. </w:t>
      </w:r>
      <w:r>
        <w:rPr>
          <w:rFonts w:ascii="Arial" w:cs="Arial" w:eastAsia="Arial" w:hAnsi="Arial"/>
          <w:sz w:val="18"/>
          <w:szCs w:val="18"/>
          <w:color w:val="auto"/>
        </w:rPr>
        <w:t>We believe that our proprietary product candidates AB-729 and AB-836, along with existing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may be combined into our first combination therapy for people with chronic HBV infection. Additionally, through our collaboration with Assembly, we have initiated a Phase 2 proof-of-concept clinical trial with a triple combination of AB-729, our RNAi product candidate, Assembly’s lead HBV core inhibitor (capsid inhibitor) product candidate, vebicorvir (“VBR”), and nucleos(t)ide analog (“NA”) therapy for the treatment of people with chronic HBV infection. We also intend to initiate two Phase 2 proof-of-concept clinical trials with AB-729 in combination with one or more approved or investigational agents in the second half of 2021 with dosing of AB-729 as infrequently as every 8 or 12 weeks.</w:t>
      </w:r>
    </w:p>
    <w:p>
      <w:pPr>
        <w:spacing w:after="0" w:line="191" w:lineRule="exact"/>
        <w:rPr>
          <w:rFonts w:ascii="Arial" w:cs="Arial" w:eastAsia="Arial" w:hAnsi="Arial"/>
          <w:sz w:val="18"/>
          <w:szCs w:val="18"/>
          <w:color w:val="auto"/>
        </w:rPr>
      </w:pPr>
    </w:p>
    <w:p>
      <w:pPr>
        <w:ind w:left="660" w:hanging="328"/>
        <w:spacing w:after="0" w:line="262" w:lineRule="auto"/>
        <w:tabs>
          <w:tab w:leader="none" w:pos="444"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Advancement of an internal research program focused on identifying new small molecule antiviral medicines to treat COVID-19 and future coronavirus outbreaks. </w:t>
      </w:r>
      <w:r>
        <w:rPr>
          <w:rFonts w:ascii="Arial" w:cs="Arial" w:eastAsia="Arial" w:hAnsi="Arial"/>
          <w:sz w:val="17"/>
          <w:szCs w:val="17"/>
          <w:color w:val="auto"/>
        </w:rPr>
        <w:t>This program is focused on the discovery and development of new molecular entities for treating coronaviruses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COVID-19) that address specific viral targets including the nsp12 viral polymerase and the nsp5 viral protease. Our collaboration with X-Chem, Inc. (“X-Chem”) and Proteros biostructures GmbH (“Proteros”) is expected to allow for the rapid screening of one of the largest small molecule libraries against M</w:t>
      </w:r>
      <w:r>
        <w:rPr>
          <w:rFonts w:ascii="Arial" w:cs="Arial" w:eastAsia="Arial" w:hAnsi="Arial"/>
          <w:sz w:val="22"/>
          <w:szCs w:val="22"/>
          <w:color w:val="auto"/>
          <w:vertAlign w:val="superscript"/>
        </w:rPr>
        <w:t>pro</w:t>
      </w:r>
      <w:r>
        <w:rPr>
          <w:rFonts w:ascii="Arial" w:cs="Arial" w:eastAsia="Arial" w:hAnsi="Arial"/>
          <w:sz w:val="17"/>
          <w:szCs w:val="17"/>
          <w:color w:val="auto"/>
        </w:rPr>
        <w:t xml:space="preserve"> (an essential protein required for the virus to replicate itself) and use state-of-the-art structure guided methods to rapidly optimize M</w:t>
      </w:r>
      <w:r>
        <w:rPr>
          <w:rFonts w:ascii="Arial" w:cs="Arial" w:eastAsia="Arial" w:hAnsi="Arial"/>
          <w:sz w:val="22"/>
          <w:szCs w:val="22"/>
          <w:color w:val="auto"/>
          <w:vertAlign w:val="superscript"/>
        </w:rPr>
        <w:t>pro</w:t>
      </w:r>
      <w:r>
        <w:rPr>
          <w:rFonts w:ascii="Arial" w:cs="Arial" w:eastAsia="Arial" w:hAnsi="Arial"/>
          <w:sz w:val="17"/>
          <w:szCs w:val="17"/>
          <w:color w:val="auto"/>
        </w:rPr>
        <w:t xml:space="preserve"> inhibitors, which we could potentially progress to clinical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have the potential to improve upon the standard of care and potentially lead to a functional cure.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63590" cy="290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two lead product candidates are AB-729 and AB-836, which are both currently in ongoing Phase 1a/1b clinical trials. Additionally, through our collaboration with Assembly, we have initiated a Phase 2 proof-of-concept clinical trial with AB-729, VBR, and an NA. In parallel, we are in lead optimization with oral compounds for our PD-L1 program and next-generation HBV RNA destabilizer program. At this time, our coronavirus research program is focused on the discovery and development of new molecular entities that address specific viral targets including the nsp12 viral polymerase and the nsp5 viral protease.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explore expansion of our HBV pipeline through internal discovery and development activities and through potential strategic alliances.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chronically infected with HBV. Reducing HBsAg is widely believed to be a key prerequisite to enable a patient’s immune system to reawaken and respond against the virus.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AB-729 is a subcutaneously-delivered RNAi therapeutic targeted to hepatocytes using our proprietary covalently conjugated GalNAc delivery technology. AB-729 reduces all HBV antigens and inhibits viral replication. In July 2019, we initiated a single- and multi-dose Phase 1a/1b clinical trial for AB-729, designed to investigate the safety, tolerability, pharmacokinetics, and pharmacodynamics of AB-729 in healthy volunteers and in chronic HBV subjects and to determine the most appropriate doses and dosing intervals to take forward into Phase 2 clinical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ongoing first-in-human clinical trial of AB-729 consists of three parts:</w:t>
      </w:r>
    </w:p>
    <w:p>
      <w:pPr>
        <w:spacing w:after="0" w:line="117" w:lineRule="exact"/>
        <w:rPr>
          <w:sz w:val="20"/>
          <w:szCs w:val="20"/>
          <w:color w:val="auto"/>
        </w:rPr>
      </w:pPr>
    </w:p>
    <w:p>
      <w:pPr>
        <w:ind w:left="280" w:hanging="110"/>
        <w:spacing w:after="0"/>
        <w:tabs>
          <w:tab w:leader="none" w:pos="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Part 1, three cohorts of healthy volunteers were randomized 4:2 to receive single doses (60 mg, 180 mg or 360 mg) of AB-729 or placebo.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ind w:left="500" w:hanging="330"/>
        <w:spacing w:after="0" w:line="263" w:lineRule="auto"/>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Part 2, non-cirrhotic, hepatitis B e-antigen (“HBeAg”) positive or negative chronic HBV subjects (n=6) currently taking NA therapy with HBV DNA below the limit of quantitation received single doses (60 mg to 180 mg) of AB-729. An additional cohort in Part 2 included 90 mg single-dose of AB-729 in HBV DNA positive chronic HBV subjects (n=6).</w:t>
      </w:r>
    </w:p>
    <w:p>
      <w:pPr>
        <w:spacing w:after="0" w:line="75" w:lineRule="exact"/>
        <w:rPr>
          <w:rFonts w:ascii="Arial" w:cs="Arial" w:eastAsia="Arial" w:hAnsi="Arial"/>
          <w:sz w:val="18"/>
          <w:szCs w:val="18"/>
          <w:color w:val="auto"/>
        </w:rPr>
      </w:pPr>
    </w:p>
    <w:p>
      <w:pPr>
        <w:ind w:left="500" w:hanging="330"/>
        <w:spacing w:after="0" w:line="263" w:lineRule="auto"/>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Part 3, chronic HBV subjects, HBV DNA negative first and HBV DNA positive later, receive multiple doses of AB-729 for up to six months. Upon completion of six months of dosing, so far, all subjects in the 60 mg dose every 4 weeks and 60 mg dose every 8 weeks cohorts have elected the option to reconsent and receive an additional six months of dosing for a total of 48 weeks.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1 of the trial, which dosed healthy volunteers, was completed and supported advancing doses ranging from 60 mg to 180 mg into Part 2. We expect Part 2, which dosed subjects with chronic HBV infection with single doses of AB-729, to complete its 48 weeks of follow-up period in the second quarter of 2021. Additionally, several cohorts in Part 3 have received multiple doses of AB-729. Results to date demonstrate that treatment of AB-729 has been safe and well tolerated. Efficacy results to date suggest that:</w:t>
      </w:r>
    </w:p>
    <w:p>
      <w:pPr>
        <w:spacing w:after="0" w:line="79" w:lineRule="exact"/>
        <w:rPr>
          <w:sz w:val="20"/>
          <w:szCs w:val="20"/>
          <w:color w:val="auto"/>
        </w:rPr>
      </w:pPr>
    </w:p>
    <w:p>
      <w:pPr>
        <w:ind w:left="500" w:hanging="330"/>
        <w:spacing w:after="0" w:line="277"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Single doses of 60 mg, 90 mg and 180 mg resulted in comparable mean HBsAg declines at week 12 followed by a sustained plateau phase (-0.99 log10 IU/mL vs -1.23 log10 IU/mL, vs -1.10 log10 IU/mL, respectively)</w:t>
      </w:r>
    </w:p>
    <w:p>
      <w:pPr>
        <w:spacing w:after="0" w:line="62" w:lineRule="exact"/>
        <w:rPr>
          <w:rFonts w:ascii="Arial" w:cs="Arial" w:eastAsia="Arial" w:hAnsi="Arial"/>
          <w:sz w:val="18"/>
          <w:szCs w:val="18"/>
          <w:color w:val="auto"/>
        </w:rPr>
      </w:pPr>
    </w:p>
    <w:p>
      <w:pPr>
        <w:ind w:left="500" w:hanging="330"/>
        <w:spacing w:after="0" w:line="277"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Repeat dosing using the 60 mg dose every 4 weeks resulted in a continuous and robust mean HBsAg decline at week 16 (-1.44 log10 IU/mL, N=7) and continued through week 24 (-1.84 log10 IU/mL, N=7)</w:t>
      </w:r>
    </w:p>
    <w:p>
      <w:pPr>
        <w:spacing w:after="0" w:line="62" w:lineRule="exact"/>
        <w:rPr>
          <w:rFonts w:ascii="Arial" w:cs="Arial" w:eastAsia="Arial" w:hAnsi="Arial"/>
          <w:sz w:val="18"/>
          <w:szCs w:val="18"/>
          <w:color w:val="auto"/>
        </w:rPr>
      </w:pPr>
    </w:p>
    <w:p>
      <w:pPr>
        <w:ind w:left="500" w:hanging="330"/>
        <w:spacing w:after="0" w:line="277"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Repeat dosing using the 60 mg dose every 8 weeks resulted in comparable mean HBsAg declines relative to the 60 mg dose every 4 weeks at week 16 (-1.39 log10 IU/mL vs -1.44 log10 IU/mL, p&lt;0.7, respectively)</w:t>
      </w:r>
    </w:p>
    <w:p>
      <w:pPr>
        <w:spacing w:after="0" w:line="62" w:lineRule="exact"/>
        <w:rPr>
          <w:rFonts w:ascii="Arial" w:cs="Arial" w:eastAsia="Arial" w:hAnsi="Arial"/>
          <w:sz w:val="18"/>
          <w:szCs w:val="18"/>
          <w:color w:val="auto"/>
        </w:rPr>
      </w:pPr>
    </w:p>
    <w:p>
      <w:pPr>
        <w:ind w:left="500" w:hanging="330"/>
        <w:spacing w:after="0" w:line="277"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HBV DNA positive HBV subjects, a single 90 mg dose resulted in robust mean declines in HBsAg (-1.02 log10 IU/mL) and HBV DNA (-1.53 log10 IU/mL) at week 12, as well as decreases in HBV RNA and core-related antigen</w:t>
      </w:r>
    </w:p>
    <w:p>
      <w:pPr>
        <w:spacing w:after="0" w:line="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 Similar mean HBsAg reductions were observed in HBV DNA positive and negative chronic HBV subjects</w:t>
      </w:r>
    </w:p>
    <w:p>
      <w:pPr>
        <w:spacing w:after="0" w:line="6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 These findings support complete target engagement by AB-729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provide additional data from ongoing cohorts of the Phase 1a/1b clinical trial in the second quarter of 2021, including additional data from the 60 mg multi-dose cohort (4 week and 8 week dosing intervals) and initial data from the 90 mg multi-dose cohort (8 week dosing interval). We expect initial data from the 90 mg every 12-week dosing interval cohort in HBV DNA negative subjects and initial data from the 90 mg every 8-week dosing interval cohort in HBV DNA positive subjects to be available in the second half of 2021. Additionally, we intend to advance AB-729 into two Phase 2 proof-of-concept combination clinical trials with one or more approved or investigational agents in the second half of 2021 with dosing of AB-729 as infrequently as every 8 or 12 weeks.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we entered into a clinical collaboration agreement with Assembly to evaluate AB-729 in combination with Assembly’s lead HBV core inhibitor (capsid inhibitor) candidate vebicorvir (“VBR”) and standard-of-care NA therapy for the treatment of subjects with chronic HBV infection. Under the terms of the agreement, this trial will be a randomized, multi-center, open-label Phase 2 proof-of-concept clinical trial that will evaluate the safety, pharmacokinetics, and antiviral activity of the triple combination of AB-729, VBR, and an NA compared to the double combinations of VBR with an NA and AB-729 with an NA. We expect to enroll approximately 60 virologically-suppressed subjects with HBeAg negative chronic HBV infection in the first cohort of this trial. Patients will be dosed for 48 weeks with AB-729 60 mg subcutaneously every 8 weeks and VBR 300 mg orally once daily, with a 48-week follow-up period. We and Assembly recently initiated screening for this clinical trial. We and Assembly will share in the costs of the collaboration. Under the terms of the collaboration, we and Assembly may also add additional cohorts in the future to evaluate other patient populations and/or combinations. Except to the extent necessary to carry out Assembly’s responsibilities with respect to the collaboration trial, we have not provided any license grant to Assembly for use of our AB-729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Oral Capsid Inhibitors (AB-836)</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oral capsid inhibitor discovery effort generated promising next-generation compounds, which led to the nomination of AB-836 in January 2020. AB-836 is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completed CTA/IND-enabling studies for AB-836 in the fourth quarter of 2020 and initiated a Phase 1a/1b clinical trial for AB-836 in the first quarter of 2021 with initial data expected in the second half of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PD-L1 inhibitors complement our pipeline of agents and could potentially be an important part of a combination therapy for the treatment of HBV. Highly functional HBV-specific T cells within our immune system are believed to be required for long-term HBV viral resolution. However, HBV-specific T cells become functionally defective, and greatly reduced in their frequency during chronic HBV infection. One approach to boost HBV-specific T cells is to prevent PD-L1 proteins from attaching to and inhibiting the HBV-specific T cells. We are in lead optimization with oral compounds which are potentially capable of reawakening patients’ HBV-specific immune response by inhibiting PD-L1.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 We continue to advance next-generation oral HBV RNA-destabilizers through lead optimization.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our core mission is to find a cure for HBV, the magnitude of the coronavirus pandemic is undeniable. Given our proven expertise in the discovery of new antiviral therapies, we initiated a drug discovery effort for treating coronaviruses, including COVID-19, in 2020.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are also a member of the COVID R&amp;D consortium to address the SARS-CoV-2 pandemic and any future coronavirus outbreaks. At this time, our COVID-19 research program is focused on the discovery and development of new molecular entities that address specific viral targets including the nsp12 viral polymerase and the nsp5 viral protease. These targets are essential viral proteins which we have experience in targeting. We are actively screening multiple new oral molecular entities.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likely continue to have, a major impact on clinical development, at least in the near-term, include shortages and delays in the supply chain, and prohibitions in certain countries on enrolling subjects in new clinical trials. Future disruptions related to the COVID-19 pandemic could negatively impact our plans and timelines through the remainder of 2021 and beyond, including enrolling and monitoring subjects in our clinical trials.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Entitlements and Collaborations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Assembly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entered into a clinical collaboration agreement with Assembly to evaluate AB-729 in a Phase 2 proof-of-concept clinical trial in combination with Assembly’s lead HBV core inhibitor (capsid inhibitor) candidate VBR and standard-of-care NA therapy for the treatment of patients with chronic HBV infection. We and Assembly have initiated screening and will share in the costs of the collaboration.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 Pharmaceutical Inc.’s (“Alnylam”) global net sales of ONPATTRO.</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March 31, 2021, an aggregate of $6.0 million of royalties have been collected by OMERS.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Genevant Sciences, Ltd.</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the discovery, development, and commercialization of a broad range of RNA-based therapeutics enabled by our LNP and ligand conjugate delivery technologies. We licensed exclusive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 Under the Genevant License, we are entitled to receive tiered low single-digit royalties on future sales of Genevant products covered by the licensed patents. If Genevant sub-licenses the intellectual property licensed by us to Genevant, we are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31,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March 31, 2021,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status of these patents is as follows: with respect to the ‘127 Patent, the PTAB held all claims as invalid as anticipated on September 10, 2019. However this decision was vacated and sent back (remanded) to the PTAB for a rehearing, pending the Supreme Court’s decision whether to grant certiorari in a different case, United States v. Athrax, Inc. (“US v. Athrax”), the holding of which could impact the findings in the ‘127 Patent matter. The Supreme Court granted certiorari in US v. Athrax on October 13, 2020 (i.e. agreed to review the decision appealed from a lower court). Because the Supreme Court has yet to render its opinion in US v. Athrax, the ‘127 Patent hearing remains in abeyance, with no decision reached as to the validity of its claims.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The appeal with respect to the ‘435 Patent is currently awaiting an oral argument date.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9, 2019, Moderna filed an additional petition requesting Inter Partes Review of Arbutus United States Patent 8,058,069 (“the ’069 Patent”). The PTAB instituted Inter Partes Review of the ‘069 Patent, upholding all claims as valid. On September 23, 2020, Moderna appealed the ‘069 Inter Partes Review decision to the Federal Circuit Court of Appeals. Moderna filed its opening brief in that appeal on February 23, 2021, and our response brief is due on May 11,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We filed our response on September 18, 2020.</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exclusive rights licensed by us to Genevant under the Genevant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X-Chem, Inc. and Proteros biostructures GmbH</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March 2021, we entered into a discovery research and license agreement with X-Chem and Proteros to focus on the discovery of novel inhibitors targeting the SARS-CoV-2 nsp5 main protease (M</w:t>
      </w:r>
      <w:r>
        <w:rPr>
          <w:rFonts w:ascii="Arial" w:cs="Arial" w:eastAsia="Arial" w:hAnsi="Arial"/>
          <w:sz w:val="22"/>
          <w:szCs w:val="22"/>
          <w:color w:val="auto"/>
          <w:vertAlign w:val="superscript"/>
        </w:rPr>
        <w:t>pro</w:t>
      </w:r>
      <w:r>
        <w:rPr>
          <w:rFonts w:ascii="Arial" w:cs="Arial" w:eastAsia="Arial" w:hAnsi="Arial"/>
          <w:sz w:val="17"/>
          <w:szCs w:val="17"/>
          <w:color w:val="auto"/>
        </w:rPr>
        <w:t>). The agreement is designed to accelerate the development of pan-coronavirus agents to treat COVID-19 and potential future coronavirus outbreaks. This collaboration brings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is expected to allow for the rapid screening of one of the largest small molecule libraries against M</w:t>
      </w:r>
      <w:r>
        <w:rPr>
          <w:rFonts w:ascii="Arial" w:cs="Arial" w:eastAsia="Arial" w:hAnsi="Arial"/>
          <w:sz w:val="22"/>
          <w:szCs w:val="22"/>
          <w:color w:val="auto"/>
          <w:vertAlign w:val="superscript"/>
        </w:rPr>
        <w:t>pro</w:t>
      </w:r>
      <w:r>
        <w:rPr>
          <w:rFonts w:ascii="Arial" w:cs="Arial" w:eastAsia="Arial" w:hAnsi="Arial"/>
          <w:sz w:val="17"/>
          <w:szCs w:val="17"/>
          <w:color w:val="auto"/>
        </w:rPr>
        <w:t xml:space="preserve"> (an essential protein required for the virus to replicate itself) and the use of state-of-the-art structure guided methods to rapidly optimize M</w:t>
      </w:r>
      <w:r>
        <w:rPr>
          <w:rFonts w:ascii="Arial" w:cs="Arial" w:eastAsia="Arial" w:hAnsi="Arial"/>
          <w:sz w:val="22"/>
          <w:szCs w:val="22"/>
          <w:color w:val="auto"/>
          <w:vertAlign w:val="superscript"/>
        </w:rPr>
        <w:t>pro</w:t>
      </w:r>
      <w:r>
        <w:rPr>
          <w:rFonts w:ascii="Arial" w:cs="Arial" w:eastAsia="Arial" w:hAnsi="Arial"/>
          <w:sz w:val="17"/>
          <w:szCs w:val="17"/>
          <w:color w:val="auto"/>
        </w:rPr>
        <w:t xml:space="preserve"> inhibitors, which we could potentially progress to clinical candidates. The agreement provides for payments by the Company to X-Chem and Proteros upon satisfaction of certain development, regulatory and commercial milestones, as well as royalties on sales.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8"/>
                <w:szCs w:val="18"/>
                <w:color w:val="auto"/>
              </w:rPr>
            </w:pPr>
          </w:p>
        </w:tc>
      </w:t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60" w:type="dxa"/>
            <w:vAlign w:val="bottom"/>
            <w:shd w:val="clear" w:color="auto" w:fill="CCEEFF"/>
          </w:tcPr>
          <w:p>
            <w:pPr>
              <w:spacing w:after="0"/>
              <w:rPr>
                <w:sz w:val="20"/>
                <w:szCs w:val="20"/>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60" w:type="dxa"/>
            <w:vAlign w:val="bottom"/>
            <w:tcBorders>
              <w:bottom w:val="single" w:sz="8" w:color="auto"/>
            </w:tcBorders>
          </w:tcPr>
          <w:p>
            <w:pPr>
              <w:spacing w:after="0"/>
              <w:rPr>
                <w:sz w:val="19"/>
                <w:szCs w:val="19"/>
                <w:color w:val="auto"/>
              </w:rPr>
            </w:pP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(13,147)</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(714)</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(13,861)</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(2,978)</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(16,839)</w:t>
            </w:r>
          </w:p>
        </w:tc>
      </w:tr>
      <w:tr>
        <w:trPr>
          <w:trHeight w:val="459"/>
        </w:trPr>
        <w:tc>
          <w:tcPr>
            <w:tcW w:w="51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Revenues are summarized in the following table: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1"/>
        </w:trPr>
        <w:tc>
          <w:tcPr>
            <w:tcW w:w="5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 of Total</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8"/>
              </w:rPr>
              <w:t>% of Total</w:t>
            </w:r>
          </w:p>
        </w:tc>
        <w:tc>
          <w:tcPr>
            <w:tcW w:w="6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(in thousands, except percentages)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51 %</w:t>
            </w:r>
          </w:p>
        </w:tc>
        <w:tc>
          <w:tcPr>
            <w:tcW w:w="6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60" w:type="dxa"/>
            <w:vAlign w:val="bottom"/>
          </w:tcPr>
          <w:p>
            <w:pPr>
              <w:spacing w:after="0"/>
              <w:rPr>
                <w:sz w:val="19"/>
                <w:szCs w:val="19"/>
                <w:color w:val="auto"/>
              </w:rPr>
            </w:pPr>
          </w:p>
        </w:tc>
      </w:tr>
      <w:tr>
        <w:trPr>
          <w:trHeight w:val="224"/>
        </w:trPr>
        <w:tc>
          <w:tcPr>
            <w:tcW w:w="512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contracts are addressed in detail in the Overview section of Part I, Item 2, “Management’s Discussion and Analysis of Financial Condition and Results of Operations” in our 2020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Total revenue increased $0.6 million for the three months ended March 31, 2021 compared to the same period in 2020, primarily due to an increase in license royalty revenue from Alnylam and Acuitas due to the growth of Alnylam’s sales of ONPATTRO.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1500" w:type="dxa"/>
            <w:vAlign w:val="bottom"/>
            <w:tcBorders>
              <w:bottom w:val="single" w:sz="8" w:color="auto"/>
            </w:tcBorders>
          </w:tcPr>
          <w:p>
            <w:pPr>
              <w:spacing w:after="0"/>
              <w:rPr>
                <w:sz w:val="16"/>
                <w:szCs w:val="16"/>
                <w:color w:val="auto"/>
              </w:rPr>
            </w:pPr>
          </w:p>
        </w:tc>
      </w:tr>
      <w:tr>
        <w:trPr>
          <w:trHeight w:val="187"/>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of Total</w:t>
            </w:r>
          </w:p>
        </w:tc>
      </w:tr>
      <w:tr>
        <w:trPr>
          <w:trHeight w:val="18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thousands, except percentages)</w:t>
            </w:r>
          </w:p>
        </w:tc>
        <w:tc>
          <w:tcPr>
            <w:tcW w:w="1500" w:type="dxa"/>
            <w:vAlign w:val="bottom"/>
          </w:tcPr>
          <w:p>
            <w:pPr>
              <w:spacing w:after="0"/>
              <w:rPr>
                <w:sz w:val="15"/>
                <w:szCs w:val="15"/>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500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17,789</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increased $3.0 million for the three months ended March 31, 2021 compared to the same period in 2020. The increase was due primarily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$0.3 million for the three months ended March 31, 2021, as compared to the same period in 2020, due primarily to increased non-cash stock-based compensation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 There were no changes to the assumptions related to the contingency during the three months ended March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 consolidation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final portion of expenses associated with our site consolidation and organizational restructuring of our business in Warminster, PA, which was substantially completed in 2018, were fully recognized in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Other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0"/>
        </w:trPr>
        <w:tc>
          <w:tcPr>
            <w:tcW w:w="802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88"/>
        </w:trPr>
        <w:tc>
          <w:tcPr>
            <w:tcW w:w="8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(1,041)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(losses) / gains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802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interest income for the three months ended March 31, 2021 compared to the same period in 2020 was due primarily to a general decline in market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March 31, 2021 consisted primarily of non-cash amortization of discount and issuance costs related to the sale of a portion of our ONPATTRO royalty interest to OMERS in July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Pr>
          <w:p>
            <w:pPr>
              <w:spacing w:after="0"/>
              <w:rPr>
                <w:sz w:val="16"/>
                <w:szCs w:val="16"/>
                <w:color w:val="auto"/>
              </w:rPr>
            </w:pPr>
          </w:p>
        </w:tc>
      </w:tr>
      <w:tr>
        <w:trPr>
          <w:trHeight w:val="39"/>
        </w:trPr>
        <w:tc>
          <w:tcPr>
            <w:tcW w:w="66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9"/>
        </w:trPr>
        <w:tc>
          <w:tcPr>
            <w:tcW w:w="66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w w:val="96"/>
              </w:rPr>
              <w:t>2020</w:t>
            </w:r>
          </w:p>
        </w:tc>
      </w:tr>
      <w:tr>
        <w:trPr>
          <w:trHeight w:val="188"/>
        </w:trPr>
        <w:tc>
          <w:tcPr>
            <w:tcW w:w="6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6"/>
                <w:szCs w:val="16"/>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(17,881)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(15,453)</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26,874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12,481</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27,170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(5,383)</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79,421</w:t>
            </w:r>
          </w:p>
        </w:tc>
        <w:tc>
          <w:tcPr>
            <w:tcW w:w="14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26,416</w:t>
            </w:r>
          </w:p>
        </w:tc>
      </w:tr>
    </w:tbl>
    <w:p>
      <w:pPr>
        <w:spacing w:after="0" w:line="22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$17.9 million of cash was used in operating activities compared to $15.5 million for the three months ended March 31, 2020, an increase of $2.4 million. The increase was due primarily to a $3.0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color w:val="auto"/>
        </w:rPr>
        <w:t>increase in research and development expenses due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net cash provided by investing activities was $18.2 million, consisting primarily of additional investments in marketable securities of $2.0 million, offset by maturities of investments in marketable securities of $20.4 million. For the three months ended March 31, 2020, net cash used in investing activities was $2.4 million consisting of maturities of $22.0 million and purchases of investments in marketable securities of $24.4 million.</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2021 and 2020, net cash provided by financing activities was $26.9 million and $12.5 million, respectively, due primarily to proceeds from sales of common shares under our Open Market Sale Agreement, as amended, with Jefferies LLC (“Jefferies”).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cash, cash equivalents and investments of $132.0 million. We had no outstanding debt as of March 31, 2021.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Open Market Sale Agreement (“Sales Agreement”) with Jefferies dated December 20, 2018, as amended on December 20, 2019 (the “2019 Amended Sale Agreement”), under which we may issue and sell common shares, from time to time, under a shelf registration statement on Form S-3 (File No. 333-235674), filed with the SEC on December 23, 2019 (the “2019 Shelf Registration Statement”). In July 2020, we fully utilized the remaining availability under the 2019 Amended Sale Agreement. In August 2020, we entered into a new amendment (the “2020 Amended Sale Agreement”) with Jefferies whereby we may issue and sell common shares from time to time for an aggregate sales price of up to $75 million under the 2019 Shelf Registration Statement.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2020, we filed a new $200 million shelf registration statement on Form S-3 (File No. 333-248467) with the SEC (the “2020 Shelf Registration Statement”). On March 4, 2021, we filed another prospectus supplement with the SEC (the “March 2021 Prospectus Supplement”) in connection with the offering of up to an additional $75.0 million of its common shares pursuant to the Sale Agreement, as amended, under the 2020 Shelf Registration Statement.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issued 6,395,780 common shares pursuant to the 2020 Amended Sale Agreement, resulting in net proceeds of approximately $26.4 million. For the three months ended March 31, 2020, we issued 4,147,081 common shares pursuant to the 2019 Amended Sale Agreement, resulting in net proceeds of approximately $12.3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was approximately $14.2 million available under the August 2020 Prospectus Supplement and $75.0 million available under the March 2021 Prospectus Supplement.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we held an aggregate of $132.0 million in cash, cash equivalents and investments. We believe that our cash resources as of March 31, 2021 will be sufficient to fund our operations through the third quarter of 2022 based on our expectation of a net cash burn between $70 million and $75 million in 2021. In the future, substantial additional funds will be required to continue with the active development of our pipeline products and technologies.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71"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48"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63"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8"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63"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8"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8"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63"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intend to seek funding to maintain and advance our business from a variety of sources including public or private equity or debt financing, potential monetization transactions, collaborative or licensing arrangements with pharmaceutical companies, government grants and contracts and other strategic transactions and funding opportunities.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2020.</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0" w:name="page31"/>
    <w:bookmarkEnd w:id="30"/>
    <w:p>
      <w:pPr>
        <w:jc w:val="both"/>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March 31, 2021.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2021, our principal executive officer and principal financial officer concluded that, as of such date, our disclosure controls and procedures were effective at the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matters, please refer to Note 8. Contingencies and Commitments to the Condensed Consolidated Financial Statements contained in Part I of this Quarterly Report on Form 10-Q, which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year-ended December 31, 2020.</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21"/>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40" w:type="dxa"/>
            <w:vAlign w:val="bottom"/>
            <w:gridSpan w:val="17"/>
          </w:tcPr>
          <w:p>
            <w:pPr>
              <w:ind w:left="3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7"/>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13"/>
          </w:tcPr>
          <w:p>
            <w:pPr>
              <w:ind w:left="3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82"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Notice of Articles and Articles of the Company, as amended (incorporated herein by reference to Exhibit 3.1 to the Registrant’s Annual</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Report on Form 10-K for the year ended December 31, 2017, filed with the SEC on March 16, 2018)</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Amendment to Articles of the Company (incorporated herein by reference to Exhibit 3.1 to the Registrant’s Quarterly Report on Form 10-Q</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for the quarter ended September 30, 2018, filed with the SEC on November 7, 2018)</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Governance Agreement between the Company and Roivant Sciences Ltd., a Bermuda exempted company, dated January 11, 2015</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(incorporated herein by reference to Exhibit 2.1 to the Registrant’s Current Report on Form 8-K/A filed with the SEC on January</w:t>
              </w:r>
            </w:hyperlink>
          </w:p>
        </w:tc>
        <w:tc>
          <w:tcPr>
            <w:tcW w:w="780" w:type="dxa"/>
            <w:vAlign w:val="bottom"/>
            <w:gridSpan w:val="9"/>
          </w:tcPr>
          <w:p>
            <w:pPr>
              <w:jc w:val="right"/>
              <w:ind w:right="120"/>
              <w:spacing w:after="0" w:line="156" w:lineRule="exact"/>
              <w:rPr>
                <w:rFonts w:ascii="Arial" w:cs="Arial" w:eastAsia="Arial" w:hAnsi="Arial"/>
                <w:sz w:val="18"/>
                <w:szCs w:val="18"/>
                <w:color w:val="0000FF"/>
                <w:w w:val="84"/>
              </w:rPr>
            </w:pPr>
            <w:hyperlink r:id="rId45">
              <w:r>
                <w:rPr>
                  <w:rFonts w:ascii="Arial" w:cs="Arial" w:eastAsia="Arial" w:hAnsi="Arial"/>
                  <w:sz w:val="18"/>
                  <w:szCs w:val="18"/>
                  <w:color w:val="0000FF"/>
                  <w:w w:val="84"/>
                </w:rPr>
                <w:t>26, 2015)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3"/>
            <w:vMerge w:val="restart"/>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Amendment No. 3 to the Open Market Sale Agreement</w:t>
              </w:r>
            </w:hyperlink>
          </w:p>
        </w:tc>
        <w:tc>
          <w:tcPr>
            <w:tcW w:w="160" w:type="dxa"/>
            <w:vAlign w:val="bottom"/>
            <w:tcBorders>
              <w:top w:val="single" w:sz="8" w:color="0000FF"/>
              <w:bottom w:val="single" w:sz="8" w:color="0000FF"/>
            </w:tcBorders>
            <w:gridSpan w:val="2"/>
          </w:tcPr>
          <w:p>
            <w:pPr>
              <w:spacing w:after="0" w:line="129" w:lineRule="exact"/>
              <w:rPr>
                <w:rFonts w:ascii="Arial" w:cs="Arial" w:eastAsia="Arial" w:hAnsi="Arial"/>
                <w:sz w:val="12"/>
                <w:szCs w:val="12"/>
                <w:color w:val="0000FF"/>
                <w:w w:val="77"/>
              </w:rPr>
            </w:pPr>
            <w:hyperlink r:id="rId46">
              <w:r>
                <w:rPr>
                  <w:rFonts w:ascii="Arial" w:cs="Arial" w:eastAsia="Arial" w:hAnsi="Arial"/>
                  <w:sz w:val="12"/>
                  <w:szCs w:val="12"/>
                  <w:color w:val="0000FF"/>
                  <w:w w:val="77"/>
                </w:rPr>
                <w:t>SM</w:t>
              </w:r>
            </w:hyperlink>
          </w:p>
        </w:tc>
        <w:tc>
          <w:tcPr>
            <w:tcW w:w="5500" w:type="dxa"/>
            <w:vAlign w:val="bottom"/>
            <w:tcBorders>
              <w:top w:val="single" w:sz="8" w:color="0000FF"/>
              <w:bottom w:val="single" w:sz="8" w:color="0000FF"/>
            </w:tcBorders>
            <w:gridSpan w:val="5"/>
            <w:vMerge w:val="restart"/>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 dated March 4, 2021, by and between Arbutus Biopharma Corporation and</w:t>
              </w:r>
            </w:hyperlink>
          </w:p>
        </w:tc>
        <w:tc>
          <w:tcPr>
            <w:tcW w:w="380" w:type="dxa"/>
            <w:vAlign w:val="bottom"/>
            <w:tcBorders>
              <w:top w:val="single" w:sz="8" w:color="0000FF"/>
              <w:bottom w:val="single" w:sz="8" w:color="0000FF"/>
            </w:tcBorders>
            <w:gridSpan w:val="6"/>
            <w:vMerge w:val="restart"/>
          </w:tcPr>
          <w:p>
            <w:pPr>
              <w:spacing w:after="0"/>
              <w:rPr>
                <w:sz w:val="12"/>
                <w:szCs w:val="12"/>
                <w:color w:val="auto"/>
              </w:rPr>
            </w:pPr>
          </w:p>
        </w:tc>
        <w:tc>
          <w:tcPr>
            <w:tcW w:w="1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980" w:type="dxa"/>
            <w:vAlign w:val="bottom"/>
            <w:tcBorders>
              <w:bottom w:val="single" w:sz="8" w:color="0000FF"/>
            </w:tcBorders>
            <w:gridSpan w:val="3"/>
            <w:vMerge w:val="continue"/>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5500" w:type="dxa"/>
            <w:vAlign w:val="bottom"/>
            <w:tcBorders>
              <w:bottom w:val="single" w:sz="8" w:color="0000FF"/>
            </w:tcBorders>
            <w:gridSpan w:val="5"/>
            <w:vMerge w:val="continue"/>
          </w:tcPr>
          <w:p>
            <w:pPr>
              <w:spacing w:after="0"/>
              <w:rPr>
                <w:sz w:val="8"/>
                <w:szCs w:val="8"/>
                <w:color w:val="auto"/>
              </w:rPr>
            </w:pPr>
          </w:p>
        </w:tc>
        <w:tc>
          <w:tcPr>
            <w:tcW w:w="380" w:type="dxa"/>
            <w:vAlign w:val="bottom"/>
            <w:gridSpan w:val="6"/>
            <w:vMerge w:val="continue"/>
          </w:tcPr>
          <w:p>
            <w:pPr>
              <w:spacing w:after="0"/>
              <w:rPr>
                <w:sz w:val="8"/>
                <w:szCs w:val="8"/>
                <w:color w:val="auto"/>
              </w:rPr>
            </w:pPr>
          </w:p>
        </w:tc>
        <w:tc>
          <w:tcPr>
            <w:tcW w:w="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Jefferies LLC (incorporated herein by reference to Exhibit 10.1 to the Registrant’s Current Report on Form 8-K filed with the SEC on March</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4, 2021.)</w:t>
              </w:r>
            </w:hyperlink>
          </w:p>
        </w:tc>
        <w:tc>
          <w:tcPr>
            <w:tcW w:w="220" w:type="dxa"/>
            <w:vAlign w:val="bottom"/>
            <w:tcBorders>
              <w:top w:val="single" w:sz="8" w:color="0000FF"/>
            </w:tcBorders>
          </w:tcPr>
          <w:p>
            <w:pPr>
              <w:spacing w:after="0"/>
              <w:rPr>
                <w:sz w:val="13"/>
                <w:szCs w:val="13"/>
                <w:color w:val="auto"/>
              </w:rPr>
            </w:pPr>
          </w:p>
        </w:tc>
        <w:tc>
          <w:tcPr>
            <w:tcW w:w="3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Certification of Principal Executive Officer pursuant to Rule 13a-14(a) or 15d-14(a) of the Securities Exchange Act of 1934, as adopted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pursuant to Section 302 of the Sarbanes-Oxley Act of 2002</w:t>
              </w:r>
            </w:hyperlink>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Certification of Principal Financial Officer pursuant to Rule 13a-14(a) or 15d-14(a) of the Securities Exchange Act of 1934, as adopted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pursuant to Section 302 of the Sarbanes-Oxley Act of 2002</w:t>
              </w:r>
            </w:hyperlink>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37">
              <w:r>
                <w:rPr>
                  <w:rFonts w:ascii="Arial" w:cs="Arial" w:eastAsia="Arial" w:hAnsi="Arial"/>
                  <w:sz w:val="18"/>
                  <w:szCs w:val="18"/>
                  <w:color w:val="0000FF"/>
                  <w:w w:val="92"/>
                </w:rPr>
                <w:t>Act of 2002</w:t>
              </w:r>
            </w:hyperlink>
          </w:p>
        </w:tc>
        <w:tc>
          <w:tcPr>
            <w:tcW w:w="9120" w:type="dxa"/>
            <w:vAlign w:val="bottom"/>
            <w:tcBorders>
              <w:top w:val="single" w:sz="8" w:color="0000FF"/>
            </w:tcBorders>
            <w:gridSpan w:val="13"/>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9"/>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38">
              <w:r>
                <w:rPr>
                  <w:rFonts w:ascii="Arial" w:cs="Arial" w:eastAsia="Arial" w:hAnsi="Arial"/>
                  <w:sz w:val="18"/>
                  <w:szCs w:val="18"/>
                  <w:color w:val="0000FF"/>
                  <w:w w:val="92"/>
                </w:rPr>
                <w:t>Act of 2002</w:t>
              </w:r>
            </w:hyperlink>
          </w:p>
        </w:tc>
        <w:tc>
          <w:tcPr>
            <w:tcW w:w="9060" w:type="dxa"/>
            <w:vAlign w:val="bottom"/>
            <w:tcBorders>
              <w:top w:val="single" w:sz="8" w:color="0000FF"/>
            </w:tcBorders>
            <w:gridSpan w:val="12"/>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40" w:right="400" w:hanging="715"/>
        <w:spacing w:after="0" w:line="21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Arbutus Biopharma Corporation’s Quarterly Report on Form 10-Q for the quarter ended March 31, 2021,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54" w:lineRule="exact"/>
        <w:rPr>
          <w:sz w:val="20"/>
          <w:szCs w:val="20"/>
          <w:color w:val="auto"/>
        </w:rPr>
      </w:pPr>
    </w:p>
    <w:p>
      <w:pPr>
        <w:ind w:right="2500" w:firstLine="325"/>
        <w:spacing w:after="0" w:line="422" w:lineRule="auto"/>
        <w:tabs>
          <w:tab w:leader="none" w:pos="10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5, 2021.</w:t>
      </w: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ARBUTUS BIOPHARMA CORPORATION</w:t>
      </w:r>
    </w:p>
    <w:p>
      <w:pPr>
        <w:spacing w:after="0" w:line="81"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60" w:type="dxa"/>
            <w:vAlign w:val="bottom"/>
          </w:tcPr>
          <w:p>
            <w:pPr>
              <w:spacing w:after="0"/>
              <w:rPr>
                <w:sz w:val="20"/>
                <w:szCs w:val="20"/>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 Collier</w:t>
            </w:r>
          </w:p>
        </w:tc>
      </w:tr>
      <w:tr>
        <w:trPr>
          <w:trHeight w:val="222"/>
        </w:trPr>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William H Collier</w:t>
            </w: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280" w:type="dxa"/>
            <w:vAlign w:val="bottom"/>
          </w:tcPr>
          <w:p>
            <w:pPr>
              <w:spacing w:after="0"/>
              <w:rPr>
                <w:sz w:val="24"/>
                <w:szCs w:val="24"/>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32</w:t>
            </w:r>
          </w:p>
        </w:tc>
        <w:tc>
          <w:tcPr>
            <w:tcW w:w="52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104" w:lineRule="exact"/>
        <w:rPr>
          <w:sz w:val="20"/>
          <w:szCs w:val="20"/>
          <w:color w:val="auto"/>
        </w:rPr>
      </w:pPr>
    </w:p>
    <w:p>
      <w:pPr>
        <w:ind w:left="1220" w:hanging="402"/>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90"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6"/>
          <w:szCs w:val="16"/>
          <w:color w:val="auto"/>
        </w:rPr>
      </w:pPr>
    </w:p>
    <w:p>
      <w:pPr>
        <w:jc w:val="both"/>
        <w:ind w:left="1700" w:right="20" w:hanging="396"/>
        <w:spacing w:after="0" w:line="286" w:lineRule="auto"/>
        <w:tabs>
          <w:tab w:leader="none" w:pos="16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1700" w:hanging="396"/>
        <w:spacing w:after="0" w:line="263" w:lineRule="auto"/>
        <w:tabs>
          <w:tab w:leader="none" w:pos="16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700" w:hanging="396"/>
        <w:spacing w:after="0" w:line="263" w:lineRule="auto"/>
        <w:tabs>
          <w:tab w:leader="none" w:pos="16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700" w:hanging="396"/>
        <w:spacing w:after="0" w:line="286" w:lineRule="auto"/>
        <w:tabs>
          <w:tab w:leader="none" w:pos="16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700" w:right="20" w:hanging="396"/>
        <w:spacing w:after="0" w:line="334" w:lineRule="auto"/>
        <w:tabs>
          <w:tab w:leader="none" w:pos="16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700" w:hanging="396"/>
        <w:spacing w:after="0" w:line="277" w:lineRule="auto"/>
        <w:tabs>
          <w:tab w:leader="none" w:pos="16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22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104" w:lineRule="exact"/>
        <w:rPr>
          <w:sz w:val="20"/>
          <w:szCs w:val="20"/>
          <w:color w:val="auto"/>
        </w:rPr>
      </w:pPr>
    </w:p>
    <w:p>
      <w:pPr>
        <w:ind w:left="1220" w:hanging="402"/>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90"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6"/>
          <w:szCs w:val="16"/>
          <w:color w:val="auto"/>
        </w:rPr>
      </w:pPr>
    </w:p>
    <w:p>
      <w:pPr>
        <w:jc w:val="both"/>
        <w:ind w:left="1700" w:right="20" w:hanging="396"/>
        <w:spacing w:after="0" w:line="286" w:lineRule="auto"/>
        <w:tabs>
          <w:tab w:leader="none" w:pos="16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1700" w:hanging="396"/>
        <w:spacing w:after="0" w:line="263" w:lineRule="auto"/>
        <w:tabs>
          <w:tab w:leader="none" w:pos="16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700" w:hanging="396"/>
        <w:spacing w:after="0" w:line="263" w:lineRule="auto"/>
        <w:tabs>
          <w:tab w:leader="none" w:pos="16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700" w:hanging="396"/>
        <w:spacing w:after="0" w:line="286" w:lineRule="auto"/>
        <w:tabs>
          <w:tab w:leader="none" w:pos="16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700" w:right="20" w:hanging="396"/>
        <w:spacing w:after="0" w:line="334" w:lineRule="auto"/>
        <w:tabs>
          <w:tab w:leader="none" w:pos="16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700" w:hanging="396"/>
        <w:spacing w:after="0" w:line="277" w:lineRule="auto"/>
        <w:tabs>
          <w:tab w:leader="none" w:pos="16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8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2021,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3" w:lineRule="exact"/>
        <w:rPr>
          <w:sz w:val="20"/>
          <w:szCs w:val="20"/>
          <w:color w:val="auto"/>
        </w:rPr>
      </w:pPr>
    </w:p>
    <w:p>
      <w:pPr>
        <w:ind w:left="1620" w:hanging="397"/>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8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Arbutus Biopharma Corporation (the “Company”) for the quarter ended March 31, 2021,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19" w:lineRule="exact"/>
        <w:rPr>
          <w:sz w:val="20"/>
          <w:szCs w:val="20"/>
          <w:color w:val="auto"/>
        </w:rPr>
      </w:pPr>
    </w:p>
    <w:p>
      <w:pPr>
        <w:ind w:left="1620" w:hanging="397"/>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endash "/>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3" Type="http://schemas.openxmlformats.org/officeDocument/2006/relationships/hyperlink" Target="http://www.sec.gov/Archives/edgar/data/1447028/000162828018003276/exhibit31_articlesandartic.htm" TargetMode="External"/><Relationship Id="rId44" Type="http://schemas.openxmlformats.org/officeDocument/2006/relationships/hyperlink" Target="http://www.sec.gov/Archives/edgar/data/1447028/000162828018013909/exhibit31amendmenttoarticl.htm" TargetMode="External"/><Relationship Id="rId45" Type="http://schemas.openxmlformats.org/officeDocument/2006/relationships/hyperlink" Target="http://www.sec.gov/Archives/edgar/data/1447028/000117184315000358/exh_21.htm" TargetMode="External"/><Relationship Id="rId46" Type="http://schemas.openxmlformats.org/officeDocument/2006/relationships/hyperlink" Target="http://www.sec.gov/Archives/edgar/data/1447028/000110465921032191/tm218604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2021-05-05T15:38:48Z</dcterms:created>
  <dcterms:modified xsi:type="dcterms:W3CDTF">2021-05-05T15:38:48Z</dcterms:modified>
</cp:coreProperties>
</file>