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Arbutus Biopharma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18,663,982.00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18,668,111.00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18,682,708.00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Investment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17,376,366.00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17,376,366.00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17,376,366.00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Arbutus Biopharma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VETERANS CIRCLE, WARMINSTER, PA, 18974</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12.2  %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Morgan Stanley Investment Management Inc.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Deidre A. Downes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Authorized Signatory, Morgan Stanley Investment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No.03879J100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October 07,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hereby agree that, unless differentiated, this Schedule 13G is</w:t>
      </w:r>
    </w:p>
    <w:p>
      <w:pPr>
        <w:pStyle w:val="PreformattedText"/>
        <w:bidi w:val="0"/>
        <w:spacing w:before="0" w:after="0"/>
        <w:jc w:val="left"/>
        <w:rPr/>
      </w:pPr>
      <w:r>
        <w:rPr/>
      </w:r>
    </w:p>
    <w:p>
      <w:pPr>
        <w:pStyle w:val="PreformattedText"/>
        <w:bidi w:val="0"/>
        <w:spacing w:before="0" w:after="0"/>
        <w:jc w:val="left"/>
        <w:rPr/>
      </w:pPr>
      <w:r>
        <w:rPr/>
        <w:t xml:space="preserve">              </w:t>
      </w:r>
      <w:r>
        <w:rPr/>
        <w:t>filed on 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BY: /s/ Deidre A. Downes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Deidre A. Downes/Authorized Signatory,</w:t>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No.03879J100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 a wholly-owned subsidiary of</w:t>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1231</Words>
  <Characters>6994</Characters>
  <CharactersWithSpaces>8582</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