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16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u w:val="single"/>
        </w:rPr>
        <w:t>001-34949</w:t>
      </w:r>
    </w:p>
    <w:p>
      <w:pPr>
        <w:pStyle w:val="TextBody"/>
        <w:bidi w:val="0"/>
        <w:spacing w:lineRule="auto" w:line="288" w:before="160" w:after="283"/>
        <w:jc w:val="center"/>
        <w:rPr>
          <w:rFonts w:ascii="Times New Roman;sans-serif" w:hAnsi="Times New Roman;sans-serif"/>
          <w:b/>
          <w:color w:val="000000"/>
          <w:sz w:val="36"/>
          <w:u w:val="single"/>
        </w:rPr>
      </w:pPr>
      <w:r>
        <w:rPr>
          <w:rFonts w:ascii="Times New Roman;sans-serif" w:hAnsi="Times New Roman;sans-serif"/>
          <w:b/>
          <w:color w:val="000000"/>
          <w:sz w:val="36"/>
          <w:u w:val="single"/>
        </w:rPr>
        <w:t>ARBUTUS BIOPHARMA CORPORATION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585" w:type="dxa"/>
        <w:jc w:val="center"/>
        <w:tblInd w:w="0" w:type="dxa"/>
        <w:tblLayout w:type="fixed"/>
        <w:tblCellMar>
          <w:top w:w="28" w:type="dxa"/>
          <w:left w:w="28" w:type="dxa"/>
          <w:bottom w:w="28" w:type="dxa"/>
          <w:right w:w="28" w:type="dxa"/>
        </w:tblCellMar>
      </w:tblPr>
      <w:tblGrid>
        <w:gridCol w:w="945"/>
        <w:gridCol w:w="829"/>
        <w:gridCol w:w="835"/>
        <w:gridCol w:w="109"/>
        <w:gridCol w:w="109"/>
        <w:gridCol w:w="109"/>
        <w:gridCol w:w="481"/>
        <w:gridCol w:w="481"/>
        <w:gridCol w:w="687"/>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98-0597776</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701 Veterans Circle, Warminster, PA 18974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267-469-0914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79" w:type="dxa"/>
        <w:jc w:val="center"/>
        <w:tblInd w:w="0" w:type="dxa"/>
        <w:tblLayout w:type="fixed"/>
        <w:tblCellMar>
          <w:top w:w="28" w:type="dxa"/>
          <w:left w:w="28" w:type="dxa"/>
          <w:bottom w:w="28" w:type="dxa"/>
          <w:right w:w="28" w:type="dxa"/>
        </w:tblCellMar>
      </w:tblPr>
      <w:tblGrid>
        <w:gridCol w:w="1070"/>
        <w:gridCol w:w="937"/>
        <w:gridCol w:w="948"/>
        <w:gridCol w:w="539"/>
        <w:gridCol w:w="539"/>
        <w:gridCol w:w="541"/>
        <w:gridCol w:w="1085"/>
        <w:gridCol w:w="1085"/>
        <w:gridCol w:w="1535"/>
      </w:tblGrid>
      <w:tr>
        <w:trPr/>
        <w:tc>
          <w:tcPr>
            <w:tcW w:w="10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without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ABUS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711"/>
        <w:gridCol w:w="626"/>
        <w:gridCol w:w="628"/>
        <w:gridCol w:w="479"/>
        <w:gridCol w:w="479"/>
        <w:gridCol w:w="481"/>
        <w:gridCol w:w="614"/>
        <w:gridCol w:w="614"/>
        <w:gridCol w:w="616"/>
        <w:gridCol w:w="769"/>
        <w:gridCol w:w="769"/>
        <w:gridCol w:w="772"/>
        <w:gridCol w:w="703"/>
        <w:gridCol w:w="703"/>
        <w:gridCol w:w="99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44"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Yes  ☐     No ☒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November 3, 2023, the registrant had 167,695,247 common shares, without par value,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tbl>
      <w:tblPr>
        <w:tblW w:w="10205" w:type="dxa"/>
        <w:jc w:val="left"/>
        <w:tblInd w:w="0" w:type="dxa"/>
        <w:tblLayout w:type="fixed"/>
        <w:tblCellMar>
          <w:top w:w="28" w:type="dxa"/>
          <w:left w:w="28" w:type="dxa"/>
          <w:bottom w:w="28" w:type="dxa"/>
          <w:right w:w="28" w:type="dxa"/>
        </w:tblCellMar>
      </w:tblPr>
      <w:tblGrid>
        <w:gridCol w:w="535"/>
        <w:gridCol w:w="471"/>
        <w:gridCol w:w="471"/>
        <w:gridCol w:w="2756"/>
        <w:gridCol w:w="2704"/>
        <w:gridCol w:w="2693"/>
        <w:gridCol w:w="167"/>
        <w:gridCol w:w="167"/>
        <w:gridCol w:w="241"/>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0">
              <w:r>
                <w:rPr>
                  <w:rStyle w:val="InternetLink"/>
                  <w:rFonts w:ascii="Times New Roman;sans-serif" w:hAnsi="Times New Roman;sans-serif"/>
                  <w:b w:val="false"/>
                  <w:color w:val="0000FF"/>
                  <w:sz w:val="20"/>
                  <w:u w:val="single"/>
                </w:rPr>
                <w:t>PART I. FINANCIAL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10">
              <w:r>
                <w:rPr>
                  <w:rStyle w:val="InternetLink"/>
                  <w:rFonts w:ascii="Times New Roman;sans-serif" w:hAnsi="Times New Roman;sans-serif"/>
                  <w:b w:val="false"/>
                  <w:color w:val="0000FF"/>
                  <w:sz w:val="20"/>
                  <w:u w:val="single"/>
                </w:rPr>
                <w:t>1</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3">
              <w:r>
                <w:rPr>
                  <w:rStyle w:val="InternetLink"/>
                  <w:strike w:val="false"/>
                  <w:dstrike w:val="false"/>
                  <w:color w:val="0000FF"/>
                  <w:u w:val="none"/>
                  <w:effect w:val="none"/>
                </w:rPr>
                <w:t>           </w:t>
              </w:r>
            </w:hyperlink>
            <w:hyperlink w:anchor="i14d5f09582bc48bcbaad537a0880741b_13">
              <w:r>
                <w:rPr>
                  <w:rStyle w:val="InternetLink"/>
                  <w:rFonts w:ascii="Times New Roman;sans-serif" w:hAnsi="Times New Roman;sans-serif"/>
                  <w:b w:val="false"/>
                  <w:strike w:val="false"/>
                  <w:dstrike w:val="false"/>
                  <w:color w:val="0000FF"/>
                  <w:sz w:val="20"/>
                  <w:u w:val="none"/>
                  <w:effect w:val="none"/>
                </w:rPr>
                <w:t>ITEM 1.</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3">
              <w:r>
                <w:rPr>
                  <w:rStyle w:val="InternetLink"/>
                  <w:rFonts w:ascii="Times New Roman;sans-serif" w:hAnsi="Times New Roman;sans-serif"/>
                  <w:b w:val="false"/>
                  <w:color w:val="0000FF"/>
                  <w:sz w:val="20"/>
                  <w:u w:val="single"/>
                </w:rPr>
                <w:t>FINANCIAL STATEMENTS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13">
              <w:r>
                <w:rPr>
                  <w:rStyle w:val="InternetLink"/>
                  <w:rFonts w:ascii="Times New Roman;sans-serif" w:hAnsi="Times New Roman;sans-serif"/>
                  <w:b w:val="false"/>
                  <w:color w:val="0000FF"/>
                  <w:sz w:val="20"/>
                  <w:u w:val="single"/>
                </w:rPr>
                <w:t>1</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14d5f09582bc48bcbaad537a0880741b_61">
              <w:r>
                <w:rPr>
                  <w:rStyle w:val="InternetLink"/>
                  <w:strike w:val="false"/>
                  <w:dstrike w:val="false"/>
                  <w:color w:val="0000FF"/>
                  <w:u w:val="none"/>
                  <w:effect w:val="none"/>
                </w:rPr>
                <w:t>   </w:t>
              </w:r>
            </w:hyperlink>
            <w:hyperlink w:anchor="i14d5f09582bc48bcbaad537a0880741b_61">
              <w:r>
                <w:rPr>
                  <w:rStyle w:val="InternetLink"/>
                  <w:rFonts w:ascii="Times New Roman;sans-serif" w:hAnsi="Times New Roman;sans-serif"/>
                  <w:b w:val="false"/>
                  <w:strike w:val="false"/>
                  <w:dstrike w:val="false"/>
                  <w:color w:val="0000FF"/>
                  <w:sz w:val="20"/>
                  <w:u w:val="none"/>
                  <w:effect w:val="none"/>
                </w:rPr>
                <w:t>ITEM 2.</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61">
              <w:r>
                <w:rPr>
                  <w:rStyle w:val="InternetLink"/>
                  <w:rFonts w:ascii="Times New Roman;sans-serif" w:hAnsi="Times New Roman;sans-serif"/>
                  <w:b w:val="false"/>
                  <w:color w:val="0000FF"/>
                  <w:sz w:val="20"/>
                  <w:u w:val="single"/>
                </w:rPr>
                <w:t>19</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4d5f09582bc48bcbaad537a0880741b_85">
              <w:r>
                <w:rPr>
                  <w:rStyle w:val="InternetLink"/>
                  <w:rFonts w:ascii="Times New Roman;sans-serif" w:hAnsi="Times New Roman;sans-serif"/>
                  <w:b w:val="false"/>
                  <w:strike w:val="false"/>
                  <w:dstrike w:val="false"/>
                  <w:color w:val="0000FF"/>
                  <w:sz w:val="20"/>
                  <w:u w:val="none"/>
                  <w:effect w:val="none"/>
                </w:rPr>
                <w:t>ITEM 3.</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85">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85">
              <w:r>
                <w:rPr>
                  <w:rStyle w:val="InternetLink"/>
                  <w:rFonts w:ascii="Times New Roman;sans-serif" w:hAnsi="Times New Roman;sans-serif"/>
                  <w:b w:val="false"/>
                  <w:color w:val="0000FF"/>
                  <w:sz w:val="20"/>
                  <w:u w:val="single"/>
                </w:rPr>
                <w:t>35</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4d5f09582bc48bcbaad537a0880741b_88">
              <w:r>
                <w:rPr>
                  <w:rStyle w:val="InternetLink"/>
                  <w:rFonts w:ascii="Times New Roman;sans-serif" w:hAnsi="Times New Roman;sans-serif"/>
                  <w:b w:val="false"/>
                  <w:strike w:val="false"/>
                  <w:dstrike w:val="false"/>
                  <w:color w:val="0000FF"/>
                  <w:sz w:val="20"/>
                  <w:u w:val="none"/>
                  <w:effect w:val="none"/>
                </w:rPr>
                <w:t>ITEM 4.</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88">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88">
              <w:r>
                <w:rPr>
                  <w:rStyle w:val="InternetLink"/>
                  <w:rFonts w:ascii="Times New Roman;sans-serif" w:hAnsi="Times New Roman;sans-serif"/>
                  <w:b w:val="false"/>
                  <w:color w:val="0000FF"/>
                  <w:sz w:val="20"/>
                  <w:u w:val="single"/>
                </w:rPr>
                <w:t>35</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91">
              <w:r>
                <w:rPr>
                  <w:rStyle w:val="InternetLink"/>
                  <w:rFonts w:ascii="Times New Roman;sans-serif" w:hAnsi="Times New Roman;sans-serif"/>
                  <w:b w:val="false"/>
                  <w:color w:val="0000FF"/>
                  <w:sz w:val="20"/>
                  <w:u w:val="single"/>
                </w:rPr>
                <w:t>PART II. 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91">
              <w:r>
                <w:rPr>
                  <w:rStyle w:val="InternetLink"/>
                  <w:rFonts w:ascii="Times New Roman;sans-serif" w:hAnsi="Times New Roman;sans-serif"/>
                  <w:b w:val="false"/>
                  <w:color w:val="0000FF"/>
                  <w:sz w:val="20"/>
                  <w:u w:val="single"/>
                </w:rPr>
                <w:t>37</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4d5f09582bc48bcbaad537a0880741b_94">
              <w:r>
                <w:rPr>
                  <w:rStyle w:val="InternetLink"/>
                  <w:rFonts w:ascii="Times New Roman;sans-serif" w:hAnsi="Times New Roman;sans-serif"/>
                  <w:b w:val="false"/>
                  <w:strike w:val="false"/>
                  <w:dstrike w:val="false"/>
                  <w:color w:val="0000FF"/>
                  <w:sz w:val="20"/>
                  <w:u w:val="none"/>
                  <w:effect w:val="none"/>
                </w:rPr>
                <w:t>ITEM 1.</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94">
              <w:r>
                <w:rPr>
                  <w:rStyle w:val="InternetLink"/>
                  <w:rFonts w:ascii="Times New Roman;sans-serif" w:hAnsi="Times New Roman;sans-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94">
              <w:r>
                <w:rPr>
                  <w:rStyle w:val="InternetLink"/>
                  <w:rFonts w:ascii="Times New Roman;sans-serif" w:hAnsi="Times New Roman;sans-serif"/>
                  <w:b w:val="false"/>
                  <w:color w:val="0000FF"/>
                  <w:sz w:val="20"/>
                  <w:u w:val="single"/>
                </w:rPr>
                <w:t>37</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4d5f09582bc48bcbaad537a0880741b_97">
              <w:r>
                <w:rPr>
                  <w:rStyle w:val="InternetLink"/>
                  <w:strike w:val="false"/>
                  <w:dstrike w:val="false"/>
                  <w:color w:val="0000FF"/>
                  <w:u w:val="none"/>
                  <w:effect w:val="none"/>
                </w:rPr>
                <w:t xml:space="preserve">  </w:t>
              </w:r>
            </w:hyperlink>
            <w:hyperlink w:anchor="i14d5f09582bc48bcbaad537a0880741b_97">
              <w:r>
                <w:rPr>
                  <w:rStyle w:val="InternetLink"/>
                  <w:rFonts w:ascii="Times New Roman;sans-serif" w:hAnsi="Times New Roman;sans-serif"/>
                  <w:b w:val="false"/>
                  <w:strike w:val="false"/>
                  <w:dstrike w:val="false"/>
                  <w:color w:val="0000FF"/>
                  <w:sz w:val="20"/>
                  <w:u w:val="none"/>
                  <w:effect w:val="none"/>
                </w:rPr>
                <w:t>ITEM 1A.</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97">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97">
              <w:r>
                <w:rPr>
                  <w:rStyle w:val="InternetLink"/>
                  <w:rFonts w:ascii="Times New Roman;sans-serif" w:hAnsi="Times New Roman;sans-serif"/>
                  <w:b w:val="false"/>
                  <w:color w:val="0000FF"/>
                  <w:sz w:val="20"/>
                  <w:u w:val="single"/>
                </w:rPr>
                <w:t>38</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14d5f09582bc48bcbaad537a0880741b_100">
              <w:r>
                <w:rPr>
                  <w:rStyle w:val="InternetLink"/>
                  <w:strike w:val="false"/>
                  <w:dstrike w:val="false"/>
                  <w:color w:val="0000FF"/>
                  <w:u w:val="none"/>
                  <w:effect w:val="none"/>
                </w:rPr>
                <w:t> </w:t>
              </w:r>
            </w:hyperlink>
            <w:hyperlink w:anchor="i14d5f09582bc48bcbaad537a0880741b_100">
              <w:r>
                <w:rPr>
                  <w:rStyle w:val="InternetLink"/>
                  <w:rFonts w:ascii="Times New Roman;sans-serif" w:hAnsi="Times New Roman;sans-serif"/>
                  <w:b w:val="false"/>
                  <w:strike w:val="false"/>
                  <w:dstrike w:val="false"/>
                  <w:color w:val="0000FF"/>
                  <w:sz w:val="20"/>
                  <w:u w:val="none"/>
                  <w:effect w:val="none"/>
                </w:rPr>
                <w:t>ITEM 2.</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00">
              <w:r>
                <w:rPr>
                  <w:rStyle w:val="InternetLink"/>
                  <w:rFonts w:ascii="Times New Roman;sans-serif" w:hAnsi="Times New Roman;sans-serif"/>
                  <w:b w:val="false"/>
                  <w:color w:val="0000FF"/>
                  <w:sz w:val="20"/>
                  <w:u w:val="singl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100">
              <w:r>
                <w:rPr>
                  <w:rStyle w:val="InternetLink"/>
                  <w:rFonts w:ascii="Times New Roman;sans-serif" w:hAnsi="Times New Roman;sans-serif"/>
                  <w:b w:val="false"/>
                  <w:color w:val="0000FF"/>
                  <w:sz w:val="20"/>
                  <w:u w:val="single"/>
                </w:rPr>
                <w:t>38</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4d5f09582bc48bcbaad537a0880741b_103">
              <w:r>
                <w:rPr>
                  <w:rStyle w:val="InternetLink"/>
                  <w:rFonts w:ascii="Times New Roman;sans-serif" w:hAnsi="Times New Roman;sans-serif"/>
                  <w:b w:val="false"/>
                  <w:strike w:val="false"/>
                  <w:dstrike w:val="false"/>
                  <w:color w:val="0000FF"/>
                  <w:sz w:val="20"/>
                  <w:u w:val="none"/>
                  <w:effect w:val="none"/>
                </w:rPr>
                <w:t>ITEM 3.</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03">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103">
              <w:r>
                <w:rPr>
                  <w:rStyle w:val="InternetLink"/>
                  <w:rFonts w:ascii="Times New Roman;sans-serif" w:hAnsi="Times New Roman;sans-serif"/>
                  <w:b w:val="false"/>
                  <w:color w:val="0000FF"/>
                  <w:sz w:val="20"/>
                  <w:u w:val="single"/>
                </w:rPr>
                <w:t>38</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4d5f09582bc48bcbaad537a0880741b_106">
              <w:r>
                <w:rPr>
                  <w:rStyle w:val="InternetLink"/>
                  <w:rFonts w:ascii="Times New Roman;sans-serif" w:hAnsi="Times New Roman;sans-serif"/>
                  <w:b w:val="false"/>
                  <w:strike w:val="false"/>
                  <w:dstrike w:val="false"/>
                  <w:color w:val="0000FF"/>
                  <w:sz w:val="20"/>
                  <w:u w:val="none"/>
                  <w:effect w:val="none"/>
                </w:rPr>
                <w:t>ITEM 4.</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06">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106">
              <w:r>
                <w:rPr>
                  <w:rStyle w:val="InternetLink"/>
                  <w:rFonts w:ascii="Times New Roman;sans-serif" w:hAnsi="Times New Roman;sans-serif"/>
                  <w:b w:val="false"/>
                  <w:color w:val="0000FF"/>
                  <w:sz w:val="20"/>
                  <w:u w:val="single"/>
                </w:rPr>
                <w:t>38</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14d5f09582bc48bcbaad537a0880741b_109">
              <w:r>
                <w:rPr>
                  <w:rStyle w:val="InternetLink"/>
                  <w:strike w:val="false"/>
                  <w:dstrike w:val="false"/>
                  <w:color w:val="0000FF"/>
                  <w:u w:val="none"/>
                  <w:effect w:val="none"/>
                </w:rPr>
                <w:t> </w:t>
              </w:r>
            </w:hyperlink>
            <w:hyperlink w:anchor="i14d5f09582bc48bcbaad537a0880741b_109">
              <w:r>
                <w:rPr>
                  <w:rStyle w:val="InternetLink"/>
                  <w:rFonts w:ascii="Times New Roman;sans-serif" w:hAnsi="Times New Roman;sans-serif"/>
                  <w:b w:val="false"/>
                  <w:strike w:val="false"/>
                  <w:dstrike w:val="false"/>
                  <w:color w:val="0000FF"/>
                  <w:sz w:val="20"/>
                  <w:u w:val="none"/>
                  <w:effect w:val="none"/>
                </w:rPr>
                <w:t>ITEM 5.</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09">
              <w:r>
                <w:rPr>
                  <w:rStyle w:val="InternetLink"/>
                  <w:rFonts w:ascii="Times New Roman;sans-serif" w:hAnsi="Times New Roman;sans-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109">
              <w:r>
                <w:rPr>
                  <w:rStyle w:val="InternetLink"/>
                  <w:rFonts w:ascii="Times New Roman;sans-serif" w:hAnsi="Times New Roman;sans-serif"/>
                  <w:b w:val="false"/>
                  <w:color w:val="0000FF"/>
                  <w:sz w:val="20"/>
                  <w:u w:val="single"/>
                </w:rPr>
                <w:t>38</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14d5f09582bc48bcbaad537a0880741b_112">
              <w:r>
                <w:rPr>
                  <w:rStyle w:val="InternetLink"/>
                  <w:strike w:val="false"/>
                  <w:dstrike w:val="false"/>
                  <w:color w:val="0000FF"/>
                  <w:u w:val="none"/>
                  <w:effect w:val="none"/>
                </w:rPr>
                <w:t> </w:t>
              </w:r>
            </w:hyperlink>
            <w:hyperlink w:anchor="i14d5f09582bc48bcbaad537a0880741b_112">
              <w:r>
                <w:rPr>
                  <w:rStyle w:val="InternetLink"/>
                  <w:rFonts w:ascii="Times New Roman;sans-serif" w:hAnsi="Times New Roman;sans-serif"/>
                  <w:b w:val="false"/>
                  <w:strike w:val="false"/>
                  <w:dstrike w:val="false"/>
                  <w:color w:val="0000FF"/>
                  <w:sz w:val="20"/>
                  <w:u w:val="none"/>
                  <w:effect w:val="none"/>
                </w:rPr>
                <w:t>ITEM 6.</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4d5f09582bc48bcbaad537a0880741b_112">
              <w:r>
                <w:rPr>
                  <w:rStyle w:val="InternetLink"/>
                  <w:rFonts w:ascii="Times New Roman;sans-serif" w:hAnsi="Times New Roman;sans-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d5f09582bc48bcbaad537a0880741b_112">
              <w:r>
                <w:rPr>
                  <w:rStyle w:val="InternetLink"/>
                  <w:rFonts w:ascii="Times New Roman;sans-serif" w:hAnsi="Times New Roman;sans-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tbl>
      <w:tblPr>
        <w:tblW w:w="9161" w:type="dxa"/>
        <w:jc w:val="center"/>
        <w:tblInd w:w="0" w:type="dxa"/>
        <w:tblLayout w:type="fixed"/>
        <w:tblCellMar>
          <w:top w:w="28" w:type="dxa"/>
          <w:left w:w="28" w:type="dxa"/>
          <w:bottom w:w="28" w:type="dxa"/>
          <w:right w:w="28" w:type="dxa"/>
        </w:tblCellMar>
      </w:tblPr>
      <w:tblGrid>
        <w:gridCol w:w="2070"/>
        <w:gridCol w:w="1826"/>
        <w:gridCol w:w="1849"/>
        <w:gridCol w:w="284"/>
        <w:gridCol w:w="1114"/>
        <w:gridCol w:w="147"/>
        <w:gridCol w:w="109"/>
        <w:gridCol w:w="109"/>
        <w:gridCol w:w="109"/>
        <w:gridCol w:w="273"/>
        <w:gridCol w:w="1072"/>
        <w:gridCol w:w="199"/>
      </w:tblGrid>
      <w:tr>
        <w:trPr/>
        <w:tc>
          <w:tcPr>
            <w:tcW w:w="207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of accumulated depreciation of $11,541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2022: $10,801) </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158,641 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license revenue, current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license revenue, non-current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non-current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unlimited number without par value</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167,695,247</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 157,455,363)</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(1,203,803)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158,641 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65"/>
        <w:gridCol w:w="1055"/>
        <w:gridCol w:w="1065"/>
        <w:gridCol w:w="264"/>
        <w:gridCol w:w="922"/>
        <w:gridCol w:w="112"/>
        <w:gridCol w:w="112"/>
        <w:gridCol w:w="112"/>
        <w:gridCol w:w="112"/>
        <w:gridCol w:w="264"/>
        <w:gridCol w:w="922"/>
        <w:gridCol w:w="112"/>
        <w:gridCol w:w="109"/>
        <w:gridCol w:w="109"/>
        <w:gridCol w:w="109"/>
        <w:gridCol w:w="805"/>
        <w:gridCol w:w="381"/>
        <w:gridCol w:w="219"/>
        <w:gridCol w:w="219"/>
        <w:gridCol w:w="219"/>
        <w:gridCol w:w="219"/>
        <w:gridCol w:w="805"/>
        <w:gridCol w:w="381"/>
        <w:gridCol w:w="313"/>
      </w:tblGrid>
      <w:tr>
        <w:trPr/>
        <w:tc>
          <w:tcPr>
            <w:tcW w:w="126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and licenses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13,585 </w:t>
            </w:r>
          </w:p>
        </w:tc>
        <w:tc>
          <w:tcPr>
            <w:tcW w:w="3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75,668 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(loss)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3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21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13"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(53,537)</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(43,080)</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w:t>
            </w:r>
          </w:p>
        </w:tc>
        <w:tc>
          <w:tcPr>
            <w:tcW w:w="3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(53,537)</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(47,524)</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167,512,708 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150,995,191 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165,085,243 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149,385,999 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(51,933)</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(50,193)</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320"/>
        <w:gridCol w:w="322"/>
        <w:gridCol w:w="525"/>
        <w:gridCol w:w="526"/>
        <w:gridCol w:w="240"/>
        <w:gridCol w:w="109"/>
        <w:gridCol w:w="109"/>
        <w:gridCol w:w="109"/>
        <w:gridCol w:w="196"/>
        <w:gridCol w:w="871"/>
        <w:gridCol w:w="109"/>
        <w:gridCol w:w="109"/>
        <w:gridCol w:w="109"/>
        <w:gridCol w:w="109"/>
        <w:gridCol w:w="204"/>
        <w:gridCol w:w="674"/>
        <w:gridCol w:w="113"/>
        <w:gridCol w:w="109"/>
        <w:gridCol w:w="109"/>
        <w:gridCol w:w="109"/>
        <w:gridCol w:w="196"/>
        <w:gridCol w:w="888"/>
        <w:gridCol w:w="109"/>
        <w:gridCol w:w="109"/>
        <w:gridCol w:w="109"/>
        <w:gridCol w:w="109"/>
        <w:gridCol w:w="260"/>
        <w:gridCol w:w="879"/>
        <w:gridCol w:w="145"/>
        <w:gridCol w:w="109"/>
        <w:gridCol w:w="109"/>
        <w:gridCol w:w="109"/>
        <w:gridCol w:w="209"/>
        <w:gridCol w:w="787"/>
        <w:gridCol w:w="172"/>
      </w:tblGrid>
      <w:tr>
        <w:trPr/>
        <w:tc>
          <w:tcPr>
            <w:tcW w:w="8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157,455,363 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7,423,622 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101,356 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151,852 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165,132,193 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(49,634)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143,915 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1,790,546 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166,922,739 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134,693 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633,922 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138,586 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167,695,247 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79,546 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(1,257,340)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(48,884)</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119,337 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bidi w:val="0"/>
        <w:spacing w:before="0" w:after="0"/>
        <w:jc w:val="center"/>
        <w:rPr/>
      </w:pPr>
      <w:r>
        <w:rPr/>
      </w:r>
    </w:p>
    <w:tbl>
      <w:tblPr>
        <w:tblW w:w="10225" w:type="dxa"/>
        <w:jc w:val="center"/>
        <w:tblInd w:w="0" w:type="dxa"/>
        <w:tblLayout w:type="fixed"/>
        <w:tblCellMar>
          <w:top w:w="28" w:type="dxa"/>
          <w:left w:w="28" w:type="dxa"/>
          <w:bottom w:w="28" w:type="dxa"/>
          <w:right w:w="28" w:type="dxa"/>
        </w:tblCellMar>
      </w:tblPr>
      <w:tblGrid>
        <w:gridCol w:w="784"/>
        <w:gridCol w:w="268"/>
        <w:gridCol w:w="269"/>
        <w:gridCol w:w="109"/>
        <w:gridCol w:w="109"/>
        <w:gridCol w:w="109"/>
        <w:gridCol w:w="525"/>
        <w:gridCol w:w="526"/>
        <w:gridCol w:w="231"/>
        <w:gridCol w:w="109"/>
        <w:gridCol w:w="109"/>
        <w:gridCol w:w="109"/>
        <w:gridCol w:w="196"/>
        <w:gridCol w:w="871"/>
        <w:gridCol w:w="109"/>
        <w:gridCol w:w="109"/>
        <w:gridCol w:w="109"/>
        <w:gridCol w:w="109"/>
        <w:gridCol w:w="196"/>
        <w:gridCol w:w="646"/>
        <w:gridCol w:w="109"/>
        <w:gridCol w:w="109"/>
        <w:gridCol w:w="109"/>
        <w:gridCol w:w="109"/>
        <w:gridCol w:w="196"/>
        <w:gridCol w:w="886"/>
        <w:gridCol w:w="109"/>
        <w:gridCol w:w="109"/>
        <w:gridCol w:w="109"/>
        <w:gridCol w:w="109"/>
        <w:gridCol w:w="246"/>
        <w:gridCol w:w="832"/>
        <w:gridCol w:w="138"/>
        <w:gridCol w:w="109"/>
        <w:gridCol w:w="109"/>
        <w:gridCol w:w="109"/>
        <w:gridCol w:w="203"/>
        <w:gridCol w:w="763"/>
        <w:gridCol w:w="160"/>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144,987,736 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(48,335)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fair value adjustments to liability stock option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Share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3,579,952 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148,728,237 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fair value adjustments to liability stock option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66,025 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148,794,262 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(50,097)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153,142 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fair value adjustments to liability stock option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3,832,717 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152,711,702 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(1,181,871)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(51,004)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145,517 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w:t>
      </w:r>
    </w:p>
    <w:tbl>
      <w:tblPr>
        <w:tblW w:w="7974" w:type="dxa"/>
        <w:jc w:val="center"/>
        <w:tblInd w:w="0" w:type="dxa"/>
        <w:tblLayout w:type="fixed"/>
        <w:tblCellMar>
          <w:top w:w="28" w:type="dxa"/>
          <w:left w:w="28" w:type="dxa"/>
          <w:bottom w:w="28" w:type="dxa"/>
          <w:right w:w="28" w:type="dxa"/>
        </w:tblCellMar>
      </w:tblPr>
      <w:tblGrid>
        <w:gridCol w:w="1933"/>
        <w:gridCol w:w="1699"/>
        <w:gridCol w:w="1707"/>
        <w:gridCol w:w="213"/>
        <w:gridCol w:w="785"/>
        <w:gridCol w:w="118"/>
        <w:gridCol w:w="118"/>
        <w:gridCol w:w="118"/>
        <w:gridCol w:w="118"/>
        <w:gridCol w:w="213"/>
        <w:gridCol w:w="785"/>
        <w:gridCol w:w="167"/>
      </w:tblGrid>
      <w:tr>
        <w:trPr/>
        <w:tc>
          <w:tcPr>
            <w:tcW w:w="193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items: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property and equipment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royalty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and amortization of investments in marketable securities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operating items: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license revenue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in marketable securities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Disposition of investments in marketable securities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Share Purchase Agreement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the Open Market Sale Agreement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stock options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ESPP</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Decrease in cash and cash equivalents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(85,278)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of U.S. Dollars, except share and per share amounts) </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1.    </w:t>
      </w:r>
      <w:r>
        <w:rPr>
          <w:rFonts w:ascii="Times New Roman;sans-serif" w:hAnsi="Times New Roman;sans-serif"/>
          <w:b/>
          <w:color w:val="000000"/>
          <w:sz w:val="20"/>
        </w:rPr>
        <w:t>Nature of business and future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Arbutus Biopharma Corporation (“Arbutus” or the “Company”) is a clinical-stage biopharmaceutical company leveraging its extensive virology expertise to develop a functional cure for patients with chronic hepatitis B virus (“cHBV”). The Company believes the key to success in developing a functional cure involves suppressing HBV DNA, reducing surface antigen and boosting HBV-specific immune response. The Company’s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 Additionally, the Company has identified compounds in its internal PD-L1 portfolio that could be used in oncology indications. </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Company had an aggregate of $144.7 million in cash, cash equivalents and investments in marketable securities. The Company had no outstanding debt as of September 30, 2023. The Company believes it has sufficient cash resources to fund its operations for at least the next 12 months.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shd w:fill="FFFFFF" w:val="clear"/>
        </w:rPr>
        <w:t>2.    </w:t>
      </w:r>
      <w:r>
        <w:rPr>
          <w:rFonts w:ascii="Times New Roman;sans-serif" w:hAnsi="Times New Roman;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2022 included in the Company’s Annual Report on Form 10-K for the year ended December 31, 2022.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September 30, 2023 and December 31, 2022, the Company’s results of operations for the three and nine months ended September 30, 2023 and 2022, and the Company’s cash flows for the nine months ended September 30, 2023 and 2022. Such adjustments are of a normal recurring nature. The results of operations for the three and nine months ended September 30, 2023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2022, except as described below under Recent Accounting Pronouncements.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intercompany balances and transactions have been eliminated. Certain prior year amounts have been reclassified to conform to the current year presentation.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is calculated based on the weighted average number of common shares outstanding. Diluted net loss per share does not differ from basic net loss per share for the three and nine months ended September 30, 2023 and 2022, since the effect of including potential common shares would be anti-dilutive. For the nine months ended September 30, 2023, potential common shares of 21.0 million pertaining to outstanding stock options and unvested restricted stock units were excluded from the calculation of net loss per share. A total of approximately 15.9 million outstanding stock options were excluded from the calculation for the nine months ended September 30,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from collaborations and licenses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collaboration agreements fall under the scope of Accounting Standards Codification (“ASC”) Topic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 xml:space="preserve">(“ASC 808”), when both parties are active participants in the arrangement and are exposed to significant risks and rewards. For certain arrangements under the scope of ASC 808, the Company analogizes to ASC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for some aspects, including for the delivery of a good or service (i.e., a unit of account).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sans-serif" w:hAnsi="Times New Roman;sans-serif"/>
          <w:b w:val="false"/>
          <w:i/>
          <w:color w:val="000000"/>
          <w:sz w:val="20"/>
        </w:rPr>
        <w:t>Balance Sheet - Offsetting</w:t>
      </w:r>
      <w:r>
        <w:rPr>
          <w:color w:val="000000"/>
        </w:rPr>
        <w:t xml:space="preserve"> </w:t>
      </w:r>
      <w:r>
        <w:rPr>
          <w:rFonts w:ascii="Times New Roman;sans-serif" w:hAnsi="Times New Roman;sans-serif"/>
          <w:b w:val="false"/>
          <w:color w:val="000000"/>
          <w:sz w:val="20"/>
        </w:rPr>
        <w:t>(“ASC 210-20”) the Company’s deferred revenue is offset by a contract asset as further discussed in Note 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a single segment.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issued Accounting Standards Update 2016-13, Financial Instruments - Credit Losses: Measurement of Credit Losses in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adoption of ASC 326 did not have a material impact on the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all other recently issued standards and has determined that such standards will not have a material impact on the Company’s financial statements or do not otherwise apply to the Company’s operations.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financial instruments and other items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 </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1 inputs are quoted market prices for identical instruments available in active markets.</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3 inputs are unobservable inputs for the asset or liability and will reflect management’s assumptions about market assumptions that would be used to price the asset or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accounts receivable, accounts payable and accrued liabilities approximate their fair values due to the immediate or short-term maturity of these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$7.4 million as of September 30, 2023 and the decrease of $0.2 million from December 31, 2022 has been recorded as a component of total operating expenses in the statements of operations and comprehensive loss for the nine months ended September 30, 2023.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assets and liabilities that are measured at fair value on a recurring basis, and indicates the fair value hierarchy of the valuation techniques used to determine such fair value:</w:t>
      </w:r>
    </w:p>
    <w:p>
      <w:pPr>
        <w:pStyle w:val="TextBody"/>
        <w:bidi w:val="0"/>
        <w:spacing w:before="0" w:after="0"/>
        <w:jc w:val="both"/>
        <w:rPr/>
      </w:pPr>
      <w:r>
        <w:rPr/>
      </w:r>
    </w:p>
    <w:tbl>
      <w:tblPr>
        <w:tblW w:w="9390" w:type="dxa"/>
        <w:jc w:val="left"/>
        <w:tblInd w:w="0" w:type="dxa"/>
        <w:tblLayout w:type="fixed"/>
        <w:tblCellMar>
          <w:top w:w="28" w:type="dxa"/>
          <w:left w:w="28" w:type="dxa"/>
          <w:bottom w:w="28" w:type="dxa"/>
          <w:right w:w="28" w:type="dxa"/>
        </w:tblCellMar>
      </w:tblPr>
      <w:tblGrid>
        <w:gridCol w:w="1483"/>
        <w:gridCol w:w="1304"/>
        <w:gridCol w:w="1308"/>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September 30, 2023</w:t>
            </w:r>
          </w:p>
        </w:tc>
        <w:tc>
          <w:tcPr>
            <w:tcW w:w="52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389" w:type="dxa"/>
        <w:jc w:val="left"/>
        <w:tblInd w:w="0" w:type="dxa"/>
        <w:tblLayout w:type="fixed"/>
        <w:tblCellMar>
          <w:top w:w="28" w:type="dxa"/>
          <w:left w:w="28" w:type="dxa"/>
          <w:bottom w:w="28" w:type="dxa"/>
          <w:right w:w="28" w:type="dxa"/>
        </w:tblCellMar>
      </w:tblPr>
      <w:tblGrid>
        <w:gridCol w:w="1479"/>
        <w:gridCol w:w="1304"/>
        <w:gridCol w:w="1311"/>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52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fair value of the Company’s contingent consideration: </w:t>
      </w:r>
    </w:p>
    <w:tbl>
      <w:tblPr>
        <w:tblW w:w="10205" w:type="dxa"/>
        <w:jc w:val="left"/>
        <w:tblInd w:w="0" w:type="dxa"/>
        <w:tblLayout w:type="fixed"/>
        <w:tblCellMar>
          <w:top w:w="28" w:type="dxa"/>
          <w:left w:w="28" w:type="dxa"/>
          <w:bottom w:w="28" w:type="dxa"/>
          <w:right w:w="28" w:type="dxa"/>
        </w:tblCellMar>
      </w:tblPr>
      <w:tblGrid>
        <w:gridCol w:w="1094"/>
        <w:gridCol w:w="964"/>
        <w:gridCol w:w="966"/>
        <w:gridCol w:w="532"/>
        <w:gridCol w:w="1556"/>
        <w:gridCol w:w="275"/>
        <w:gridCol w:w="109"/>
        <w:gridCol w:w="109"/>
        <w:gridCol w:w="109"/>
        <w:gridCol w:w="523"/>
        <w:gridCol w:w="1334"/>
        <w:gridCol w:w="270"/>
        <w:gridCol w:w="109"/>
        <w:gridCol w:w="109"/>
        <w:gridCol w:w="109"/>
        <w:gridCol w:w="436"/>
        <w:gridCol w:w="1276"/>
        <w:gridCol w:w="325"/>
      </w:tblGrid>
      <w:tr>
        <w:trPr/>
        <w:tc>
          <w:tcPr>
            <w:tcW w:w="109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end of the period</w:t>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2022</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4 for additional information regarding the fair value of the Company’s investments in marketable securities.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4.    Investments in marketable securities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1208"/>
        <w:gridCol w:w="1042"/>
        <w:gridCol w:w="1045"/>
        <w:gridCol w:w="227"/>
        <w:gridCol w:w="890"/>
        <w:gridCol w:w="117"/>
        <w:gridCol w:w="109"/>
        <w:gridCol w:w="109"/>
        <w:gridCol w:w="109"/>
        <w:gridCol w:w="513"/>
        <w:gridCol w:w="989"/>
        <w:gridCol w:w="267"/>
        <w:gridCol w:w="109"/>
        <w:gridCol w:w="109"/>
        <w:gridCol w:w="109"/>
        <w:gridCol w:w="450"/>
        <w:gridCol w:w="1045"/>
        <w:gridCol w:w="233"/>
        <w:gridCol w:w="109"/>
        <w:gridCol w:w="109"/>
        <w:gridCol w:w="109"/>
        <w:gridCol w:w="211"/>
        <w:gridCol w:w="826"/>
        <w:gridCol w:w="161"/>
      </w:tblGrid>
      <w:tr>
        <w:trPr/>
        <w:tc>
          <w:tcPr>
            <w:tcW w:w="120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September 30, 2023</w:t>
            </w:r>
          </w:p>
        </w:tc>
        <w:tc>
          <w:tcPr>
            <w:tcW w:w="69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3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329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3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Gross unrealized gain (loss) is pre-tax and is reported in accumulated other comprehensive loss.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7"/>
        <w:gridCol w:w="1039"/>
        <w:gridCol w:w="1045"/>
        <w:gridCol w:w="227"/>
        <w:gridCol w:w="890"/>
        <w:gridCol w:w="117"/>
        <w:gridCol w:w="109"/>
        <w:gridCol w:w="109"/>
        <w:gridCol w:w="109"/>
        <w:gridCol w:w="513"/>
        <w:gridCol w:w="989"/>
        <w:gridCol w:w="267"/>
        <w:gridCol w:w="109"/>
        <w:gridCol w:w="109"/>
        <w:gridCol w:w="109"/>
        <w:gridCol w:w="363"/>
        <w:gridCol w:w="1184"/>
        <w:gridCol w:w="187"/>
        <w:gridCol w:w="109"/>
        <w:gridCol w:w="109"/>
        <w:gridCol w:w="109"/>
        <w:gridCol w:w="211"/>
        <w:gridCol w:w="826"/>
        <w:gridCol w:w="159"/>
      </w:tblGrid>
      <w:tr>
        <w:trPr/>
        <w:tc>
          <w:tcPr>
            <w:tcW w:w="120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69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Gross unrealized gain (loss) is pre-tax and is reported in accumulated other comprehensive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term to maturity of the $116.6 million of short-term marketable securities held by the Company as of September 30, 2023 is less than one year. As of September 30, 2023, the Company held $10.5 million of long-term marketable securities with contractual maturities of more than one year, but less than five years. As of December 31, 2022, the Company’s $116.1 million of short-term marketable securities had contractual maturities of less than one year, while the Company’s $37.4 million of long-term marketable securities had maturities of more than one year, but less than five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the Company had 40 and 53,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on investments in marketable securities of $0.6 million at both September 30, 2023 and December 31, 2022 is included in prepaid expenses and other current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realized gains of less than $0.1 million for both the three and nine months ended September 30,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3 for additional information regarding the fair value of the Company’s investments in marketable securities.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Investment in Genevant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an agreement with Roivant Sciences Ltd.,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September 30, 2023, the carrying value of the Company’s investment in Genevant was zero and the Company owned approximately 16% of the common equity of Genevant.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Accounts payable and 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are comprised of the following:</w:t>
      </w:r>
    </w:p>
    <w:tbl>
      <w:tblPr>
        <w:tblW w:w="7421" w:type="dxa"/>
        <w:jc w:val="left"/>
        <w:tblInd w:w="0" w:type="dxa"/>
        <w:tblLayout w:type="fixed"/>
        <w:tblCellMar>
          <w:top w:w="28" w:type="dxa"/>
          <w:left w:w="28" w:type="dxa"/>
          <w:bottom w:w="28" w:type="dxa"/>
          <w:right w:w="28" w:type="dxa"/>
        </w:tblCellMar>
      </w:tblPr>
      <w:tblGrid>
        <w:gridCol w:w="1448"/>
        <w:gridCol w:w="1276"/>
        <w:gridCol w:w="1280"/>
        <w:gridCol w:w="348"/>
        <w:gridCol w:w="1017"/>
        <w:gridCol w:w="180"/>
        <w:gridCol w:w="109"/>
        <w:gridCol w:w="109"/>
        <w:gridCol w:w="109"/>
        <w:gridCol w:w="300"/>
        <w:gridCol w:w="1026"/>
        <w:gridCol w:w="219"/>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accruals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 accruals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accruals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payable and accrued liabilities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before="0" w:after="0"/>
        <w:ind w:left="0" w:right="0" w:hanging="540"/>
        <w:jc w:val="both"/>
        <w:rPr/>
      </w:pPr>
      <w:r>
        <w:rPr/>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7.    Sale of future royalties </w:t>
      </w:r>
    </w:p>
    <w:p>
      <w:pPr>
        <w:pStyle w:val="TextBody"/>
        <w:bidi w:val="0"/>
        <w:spacing w:lineRule="auto" w:line="288" w:before="240" w:after="283"/>
        <w:jc w:val="both"/>
        <w:rPr/>
      </w:pPr>
      <w:r>
        <w:rPr>
          <w:rFonts w:ascii="Times New Roman;sans-serif" w:hAnsi="Times New Roman;sans-serif"/>
          <w:b w:val="false"/>
          <w:color w:val="000000"/>
          <w:sz w:val="20"/>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(Patisiran) (“ONPATTRO”), an RNA interference therapeutic currently being sold by Alnylam Pharmaceuticals, Inc. (“Alnylam”).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September 30, 2023, the Company estimated an effective annual interest rate of approximately 2.3%.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September 30, 2023, the Company has recorded an aggregate of $21.5 million of non-cash royalty revenue for royalties earned by OMERS. There are a number of factors that could materially affect the amount and timing of royalty payments from Alnylam, none of which are within the Company’s control.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recognized non-cash royalty revenue of $2.7 million and related non-cash interest expense of $0.4 million. During the nine months ended September 30, 2022, the Company recognized non-cash royalty revenue of $5.4 million and related non-cash interest expense of $1.4 million.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activity related to the net liability for the nine months ended September 30, 2023 and 2022:</w:t>
      </w:r>
    </w:p>
    <w:tbl>
      <w:tblPr>
        <w:tblW w:w="8067" w:type="dxa"/>
        <w:jc w:val="center"/>
        <w:tblInd w:w="0" w:type="dxa"/>
        <w:tblLayout w:type="fixed"/>
        <w:tblCellMar>
          <w:top w:w="28" w:type="dxa"/>
          <w:left w:w="28" w:type="dxa"/>
          <w:bottom w:w="28" w:type="dxa"/>
          <w:right w:w="28" w:type="dxa"/>
        </w:tblCellMar>
      </w:tblPr>
      <w:tblGrid>
        <w:gridCol w:w="1966"/>
        <w:gridCol w:w="1727"/>
        <w:gridCol w:w="1737"/>
        <w:gridCol w:w="227"/>
        <w:gridCol w:w="775"/>
        <w:gridCol w:w="117"/>
        <w:gridCol w:w="117"/>
        <w:gridCol w:w="117"/>
        <w:gridCol w:w="117"/>
        <w:gridCol w:w="227"/>
        <w:gridCol w:w="775"/>
        <w:gridCol w:w="165"/>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beginning balance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ending balance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Contingencies and commitments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Purchase Agreement with Enantigen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is a financial liability and is measured at its fair value at each reporting period, with any changes in fair value from the previous reporting period recorded in the statements of operations and comprehensive loss (see Note 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was $7.4 million as of September 30,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Collaborations, contracts and licensing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Collaborations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Qilu Pharmaceutical Co., Ltd.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imdusiran, including pharmaceutical products that include imdusiran, for the treatment or prevention of hepatitis B in China, Hong Kong, Macau and Taiwan (the “Territory”).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the Territory. The royalties are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the Territory until the Company has completed manufacturing technology transfer to Qilu and Qilu has received all approvals required for it or its designated contract manufacturing organization to manufacture imdusiran in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License Agreement)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initial transaction price of the combined performance obligation to be $49.3 million, which includes the $40.0 million upfront fee, $4.4 million of withholding taxes paid by Qilu on behalf of the Company, the premium paid for the Share Transaction of $4.1 million, and $0.8 million associated with certain manufacturing costs expected to be reimbursed by Qilu.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 The following table outlines the transaction price and the changes to the related asset and liability balances during the nine months ended September 30,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0"/>
        <w:gridCol w:w="1070"/>
        <w:gridCol w:w="1076"/>
        <w:gridCol w:w="267"/>
        <w:gridCol w:w="914"/>
        <w:gridCol w:w="138"/>
        <w:gridCol w:w="109"/>
        <w:gridCol w:w="109"/>
        <w:gridCol w:w="109"/>
        <w:gridCol w:w="614"/>
        <w:gridCol w:w="2099"/>
        <w:gridCol w:w="320"/>
        <w:gridCol w:w="109"/>
        <w:gridCol w:w="109"/>
        <w:gridCol w:w="109"/>
        <w:gridCol w:w="354"/>
        <w:gridCol w:w="1214"/>
        <w:gridCol w:w="265"/>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Transaction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Collaboration Revenue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License Revenue</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performance obligation</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asset</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license revenue</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deferred license revenue</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license revenue</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$3.2 million and $10.3 million of revenue based on labor hours expended by the Company on its Manufacturing Obligations during the three and nine months ended September 30, 2023, respectively, and $2.4 million and $23.0 million during the three and nine months ended September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balance of the deferred license revenue was $12.9 million, which, in accordance with ASC 210-20, was partially offset by the contract asset associated with the manufacturing cost reimbursement of $0.8 million, resulting in a net deferred license revenue liability of $12.1 million. The $4.4 million of withholding taxes paid by Qilu on behalf of the Company was recorded as income tax expense during the twelve months ended December 31,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amortization expense of less than $0.1 million and $0.1 million for the three and nine months ended September 30, 2023, respectively, and less than $0.1 million and $0.3 million for the three and nine months ended September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Barinthus Biotherapeutics plc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entered into a clinical collaboration agreement with Barinthus Biotherapeutics plc (“Barinthus”),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formerly Vaccitech plc, to evaluate imdusiran followed by Barinthus’ VTP-300, an HBV antigen specific immunotherapy, and ongoing nucleos(t)ide analogue therapy in patients with cHBV. Recently, the clinical trial was amended and is now dosing patients in an additional treatment arm that includes an approved PD-1 monoclonal antibody inhibitor, nivolumab (Opdivo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responsible for managing this Phase 2a proof-of-concept clinical trial, subject to oversight by a joint development committee comprised of representatives from the Company and Barinthus. The Company and Barinthus retain full rights to their respective product candidates and will split all costs associated with the clinical trial. The Company incurred $0.7 million and $1.6 million of expenses, net of reimbursements from Barinthus, related to the collaboration during the three and nine months ended September 30, 2023, respectively, and reflected those costs in research and development in the statements of operations and comprehensive loss. The Company incurred $0.3 million and $0.7 million of such costs for the same respective periods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Assembly Biosciences,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clinical collaboration agreement with Assembly Biosciences, Inc. (“Assembly”) to evaluate imdusiran in combination with Assembly’s first-generation HBV core inhibitor (capsid inhibitor) candidate vebicorvir (“VBR”) and standard-of-care NA therapy for the treatment of patients with HBV infection. After completing enrollment in the Phase 2a proof-of-concept clinical trial, in July 2022, Assembly announced its plan to discontinue development of VBR. In consultation with Assembly, the Company continued dosing patients in this clinical trial until completion of the final, on-treatment visit at week 48, at which point both parties mutually agreed to discontinue the clinical trial. The Company and Assembly shared in the costs of the collaboration. The Company incurred $0.1 million and $1.4 million of expenses related to the collaboration during the three and nine months ended September 30, 2023, respectively, and $0.6 million and $2.1 million during the three and nine months ended September 30, 2022, respectively. Those costs are reflected in research and development in the statements of operations and comprehensive loss. Except to the extent necessary to carry out Assembly’s responsibilities with respect to the collaboration trial, the Company has not provided any license grant to Assembly for use of its imdusiran compound.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X-Chem, Inc. and Proteros biostructures GmbH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entered into a discovery research and license agreement, as amended, with X-Chem, Inc. (“X-Chem”) and Proteros biostructures GmbH (“Proteros”) to focus on the discovery of novel inhibitors targeting the SARS-CoV-2 nsp5 main protease (“Mpro”). The agreement was designed to accelerate the development of pan-coronavirus agents to treat COVID-19 and potential future coronavirus outbreaks. This collaboration brought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allowed for the rapid screening of one of the largest small molecule libraries against Mpro (an essential protein required for the virus to replicate itself) and the use of state-of-the-art structure guided methods to rapidly optimize Mpro inhibitors to progress to clinical candidates. Through this collaboration, the Company identified and obtained a worldwide exclusive license to several molecules that inhibit Mpro, a validated target for the treatment of COVID-19 and potential future coronavirus outbreaks. In the fourth quarter of 2022, the Company nominated AB-343 as its lead candidate that inhibits Mpro.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as amended, provided for payments by the Company to X-Chem and Proteros upon satisfaction of certain development, regulatory and commercial milestones, as well as royalties on sales. The Company incurred less than $0.1 million and $1.0 million of expenses related to the collaboration during the three and nine months ended September 30, 2023, respectively, and $0.6 million and $0.9 million during the three and nine months ended September 30, 2022, respectively. Those costs are reflected in research and development in the statements of operations and comprehensive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discontinued its efforts to identify and develop a coronavirus combination therapy due to an unfavorable pharmacokinetic (PK) profile noted in the IND-enabling studies for AB-343. The Company also terminated this discovery research and license agreement with X-Chem and Proteros.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Alnylam Pharmaceuticals, Inc. and Acuitas Therapeutics,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royalty entitlements to Alnylam’s global net sales of ONPATTRO.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0" w:after="0"/>
        <w:jc w:val="both"/>
        <w:rPr/>
      </w:pPr>
      <w:r>
        <w:rPr>
          <w:rFonts w:ascii="Times New Roman;sans-serif" w:hAnsi="Times New Roman;sans-serif"/>
          <w:b w:val="false"/>
          <w:color w:val="000000"/>
          <w:sz w:val="20"/>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September 30, 2023, an aggregate of $21.5 million of</w:t>
      </w:r>
      <w:r>
        <w:rPr>
          <w:color w:val="000000"/>
        </w:rPr>
        <w:t xml:space="preserve"> </w:t>
      </w:r>
      <w:r>
        <w:rPr>
          <w:rFonts w:ascii="Times New Roman;sans-serif" w:hAnsi="Times New Roman;sans-serif"/>
          <w:b w:val="false"/>
          <w:color w:val="000000"/>
          <w:sz w:val="20"/>
        </w:rPr>
        <w:t xml:space="preserve">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summarized in the following table:</w:t>
      </w:r>
    </w:p>
    <w:tbl>
      <w:tblPr>
        <w:tblW w:w="8857" w:type="dxa"/>
        <w:jc w:val="left"/>
        <w:tblInd w:w="0" w:type="dxa"/>
        <w:tblLayout w:type="fixed"/>
        <w:tblCellMar>
          <w:top w:w="28" w:type="dxa"/>
          <w:left w:w="28" w:type="dxa"/>
          <w:bottom w:w="28" w:type="dxa"/>
          <w:right w:w="28" w:type="dxa"/>
        </w:tblCellMar>
      </w:tblPr>
      <w:tblGrid>
        <w:gridCol w:w="1162"/>
        <w:gridCol w:w="1021"/>
        <w:gridCol w:w="1027"/>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857"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Acuitas Therapeutics, Inc.</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Alnylam Pharmaceuticals, Inc.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Shareholders’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Authorized share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authorized share capital consists of an unlimited number of common shares and preferred shares, without par value, and 1,164,000 Series A participating convertible preferred shares, without par value.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Open Market Sale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Open Market Sale Agreement with Jefferies LLC dated December 20, 2018, as amended by Amendment No. 1, dated December 20, 2019, Amendment No. 2, dated August 7, 2020 and Amendment No. 3, dated March 4, 2021 (as amended, the “Sale Agreement”), under which the Company may issue and sell common shares, from time to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for an offering of up to $50.0 million of the Company’s common shares pursuant to the Sale Agreement. This prospectus supplement was fully utilized during 2020. On August 7, 2020, the Company filed a prospectus supplement with the SEC (the “August 2020 Prospectus Supplement”) for an offering of up to an additional $75.0 million of its common shares pursuant to the Sale Agreement under the January 2020 Registration Statement. The August 2020 Prospectus Supplement was fully utilized during 2020. The January 2020 Registration Statement expired in January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prospectus supplement with the SEC (the “March 2021 Prospectus Supplement”) for an offering of up to an additional $75.0 million of its common shares pursuant to the Sale Agreement under the October 2020 Registration Statement. The March 2021 Prospectus Supplement was fully utilized during 2021. On October 8, 2021, the Company filed a prospectus supplement with the SEC (the “October 2021 Prospectus Supplement”) for an offering of up to an additional $75.0 million of its common shares pursuant to the Sale Agreement under the October 2020 Registration Statement. The October 2020 Registration Statement expired in October 2023 with $29.3 million that was not utilized under the October 2021 Prospectus Supplement.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the Company filed a shelf registration statement on Form S-3 with the SEC (File No. 333-260782) and accompanying base prospectus, which was declared effective by the SEC on November 18, 2021 (the “November 2021 Registration Statement”), for the offer and sale of up to $250.0 million of the Company’s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the Company filed a prospectus supplement with the SEC (the “March 2022 Prospectus Supplement”) for an offering of up to an additional $100.0 million of its common shares pursuant to the Sale Agreement under: (i) the January 2020 Registration Statement; (ii) the October 2020 Registration Statement; and (iii) the November 2021 Registration Statement, of which only the November 2021 Registration Statement remains active.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issued 633,922 and 9,848,090 common shares pursuant to the Sale Agreement, respectively, resulting in net proceeds of approximately $1.4 million and $26.0 million, respectively. During the three and nine months ended September 30, 2022, the Company issued 3,832,717 common shares pursuant to the Sale Agreement, resulting in net proceeds of $9.0 million. As of September 30, 2023, there was approximately $104.3 million of common shares remaining available in aggregate under the October 2021 Prospectus Supplement and March 2022 Prospectus Supplement. In October 2023, the October 2020 Registration Statement expired with $29.3 million that was not utilized under the October 2021 Prospectus Supplement, leaving $75.0 million remaining available under the March 2022 Prospectus Supplement pursuant to the November 2021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information about the Company’s stock-based compensation for the three and nine months ended September 30, 2023 and 2022 and the expense recognized in the condensed consolidated statements of operations: </w:t>
      </w:r>
    </w:p>
    <w:tbl>
      <w:tblPr>
        <w:tblW w:w="9345" w:type="dxa"/>
        <w:jc w:val="center"/>
        <w:tblInd w:w="0" w:type="dxa"/>
        <w:tblLayout w:type="fixed"/>
        <w:tblCellMar>
          <w:top w:w="28" w:type="dxa"/>
          <w:left w:w="28" w:type="dxa"/>
          <w:bottom w:w="28" w:type="dxa"/>
          <w:right w:w="28" w:type="dxa"/>
        </w:tblCellMar>
      </w:tblPr>
      <w:tblGrid>
        <w:gridCol w:w="1335"/>
        <w:gridCol w:w="1175"/>
        <w:gridCol w:w="1180"/>
        <w:gridCol w:w="257"/>
        <w:gridCol w:w="752"/>
        <w:gridCol w:w="133"/>
        <w:gridCol w:w="133"/>
        <w:gridCol w:w="133"/>
        <w:gridCol w:w="133"/>
        <w:gridCol w:w="257"/>
        <w:gridCol w:w="752"/>
        <w:gridCol w:w="133"/>
        <w:gridCol w:w="109"/>
        <w:gridCol w:w="109"/>
        <w:gridCol w:w="109"/>
        <w:gridCol w:w="249"/>
        <w:gridCol w:w="727"/>
        <w:gridCol w:w="128"/>
        <w:gridCol w:w="128"/>
        <w:gridCol w:w="128"/>
        <w:gridCol w:w="128"/>
        <w:gridCol w:w="249"/>
        <w:gridCol w:w="727"/>
        <w:gridCol w:w="181"/>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options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 during period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5,082,640 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units (“RSUs”)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 during period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expense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RSUs vest over three years in equal annual installments beginning one year from the grant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2023, the Company reduced its workforce by 24% primarily affecting its research function. As a result, the Company will incur a one-time restructuring charge of approximately $1.1 million that will be recorded in the fourth quarter of 2023. The Company has maintained a group of research scientists as it remains committed to continuing discovery research in HBV.</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2022 and our unaudited condensed consolidated financial statements for the three and nine months ended September 30, 2023. Our consolidated financial statements have been prepared in accordance with United States generally accepted accounting principles and are presented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REFERENCES TO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(“Form 10-Q”), the “Company,” “Arbutus,” “we,” “us,” and “our,” except where the context requires otherwise, refer to Arbutus Biopharma Corporation and its consolidated subsidiaries, and “our board of directors” refers to the board of directors of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strategy, future operations, preclinical research, preclinical studies, clinical trials, prospects and the plans of management;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for our product candidates to achieve their desired or anticipated outcomes;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cost, timing and results of our clinical development plans and clinical trials, including our clinical collaborations with third parties;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discovery, development and commercialization of a curative combination regimen for chronic hepatitis B infection, a disease of the liver caused by the hepatitis B virus (“HBV”);</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of our product candidates to improve upon the standard of care and contribute to a functional curative combination treatment regimen;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necessary regulatory approvals;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adequate financing through a combination of financing activities and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returns and benefits from strategic alliances, licensing agreements, and research collaborations with third parties, and the timing thereof;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our technology licensed to third parties, and the timing thereof;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anticipated revenue and expense fluctuation and guidance;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the timing of announcing data from our ongoing clinical trials;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current patent disputes and litigation;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of a net cash burn between $90 million and $95 million in 2023, excluding any proceeds from our Open Market Sale Agreement;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belief that we have sufficient cash resources to fund our operations into the first quarter of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well as other statements relating to our future operations, financial performance or financial condition, prospects or other future events. Forward-looking statements appear primarily in the sections of this Form 10-Q entitled “Part I, Item 1-Financial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(Unaudited),” and “Part I, 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2022 (the “Form 10-K”), and in particular the risks and uncertainties discussed under “Item 1A-Risk Factors” of this Form 10-Q and the Form 10-K. As a result, you should not place undue reliance on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3260"/>
                <wp:effectExtent l="0" t="0" r="0" b="0"/>
                <wp:wrapNone/>
                <wp:docPr id="22" name="Frame2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Arbutus Biopharma Corporation (“Arbutus”, the “Company”, “we”, “us”, and “our”) is a clinical-stage biopharmaceutical company leveraging its extensive virology expertise to develop a functional cure for patients with chronic hepatitis B virus (“cHBV”). We believe the key to success in developing a functional cure involves suppressing HBV DNA, reducing surface antigen and boosting HBV-specific immune responses. Our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 Additionally, we have identified compounds in our internal PD-L1 portfolio that could be used in oncology indications.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core elements of our strategy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Developing a broad portfolio of compounds that target cHBV.</w:t>
      </w:r>
      <w:r>
        <w:rPr>
          <w:color w:val="000000"/>
        </w:rPr>
        <w:t xml:space="preserve"> </w:t>
      </w:r>
      <w:r>
        <w:rPr>
          <w:rFonts w:ascii="Times New Roman;sans-serif" w:hAnsi="Times New Roman;sans-serif"/>
          <w:b w:val="false"/>
          <w:color w:val="000000"/>
          <w:sz w:val="20"/>
        </w:rPr>
        <w:t>Our HBV product pipeline includes a subcutaneously-delivered RNAi therapeutic and an oral PD-L1 inhibitor. We believe that a combination of compounds that can suppress HBV DNA replication and hepatitis B surface antigen (“HBsAg”) expression as well as boost patients’ HBV-specific immune response could address the most important elements to achieving a functional cure. We define a functional cure as unquantifiable plasma HBV DNA and HBsAg levels more than six months after discontinuation of all treatment, with or without quantifiable anti-HBsAg antibodies.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Imdusiran is our proprietary subcutaneously-delivered RNAi therapeutic product candidate that suppresses all HBV antigens, including HBsAg expression, which is thought to be a key prerequisite to enable reawakening of a patient’s immune system to respond to HBV. Imdusiran is currently in two Phase 2a proof-of-concept clinical trials in combination with other agents with potentially complementary mechanisms of action, and we are also continuing to follow patients from our Phase 1a/1b clinical trial (“AB-729-001”). Preliminary data from AB-729-001 has shown that treatment with imdusiran provided robust and comparable HBsAg declines regardless of dose, dosing interval or patient characteristics and was generally safe and well-tolerated after completing dosing in 41 patients. Preliminary data also suggests that treatment with imdusiran increased HBV-specific immune responses and, in a small number of patients who discontinued both imdusiran and nucleos(t)ide analogue (“NA”) therapy, a sustained reduction in HBsAg and HBV DNA persisted after stopping imdusiran. The clinical data for imdusiran continues to support its development as a potential cornerstone agent for the treatment of cHBV infection.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AB-101 is our oral PD-L1 inhibitor that has the potential to reawaken patients’ HBV-specific immune response by inhibiting PD-L1. Preclinical data in an HBV mouse model was presented at the 2022 AASLD Liver Meeting showing that combination treatment with AB-101 and an HBV-targeting GalNAc-siRNA agent resulted in activation and increased frequency of HBV-specific T-cells and greater anti-HBsAg antibody production. In July 2023, the New Zealand Medicine Safety Authority (“Medsafe”) approved our CTA application for a Phase 1 clinical trial in New Zealand for AB-101. We recently dosed the first subject in our Phase 1a/1b clinical trial for AB-101. Additionally, we have identified compounds in our internal PD-L1 portfolio that could be used in oncology indications.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w:t>
      </w:r>
      <w:r>
        <w:rPr>
          <w:rFonts w:ascii="Times New Roman;sans-serif" w:hAnsi="Times New Roman;sans-serif"/>
          <w:b/>
          <w:color w:val="000000"/>
          <w:sz w:val="20"/>
        </w:rPr>
        <w:t xml:space="preserve">Combining therapeutic product candidates with complementary mechanisms of action to find a functional cure for people with cHBV. </w:t>
      </w:r>
      <w:r>
        <w:rPr>
          <w:rFonts w:ascii="Times New Roman;sans-serif" w:hAnsi="Times New Roman;sans-serif"/>
          <w:b w:val="false"/>
          <w:color w:val="000000"/>
          <w:sz w:val="20"/>
        </w:rPr>
        <w:t>We believe that our proprietary product candidates, imdusiran and AB-101, may provide our first proprietary combination therapy for patients with cHBV. In-line with our strategy to position imdusiran as a potential cornerstone therapeutic in future HBV combination regimens with compounds from our proprietary HBV portfolio or with other agents with potentially complementary mechanisms of action, we are currently evaluating imdusiran in combination with other agents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Imdusiran in combination with ongoing standard-of-care NA therapy and short courses of Peg-IFNα-2a in patients with cHBV in a Phase 2a proof-of-concept clinical trial (“AB-729-201”). Preliminary data from this clinical trial suggests that the addition of Peg-IFNα-2a to imdusiran treatment was generally well tolerated and appears to result in continued HBsAg declines in some patients.</w:t>
      </w:r>
    </w:p>
    <w:p>
      <w:pPr>
        <w:pStyle w:val="TextBody"/>
        <w:bidi w:val="0"/>
        <w:spacing w:lineRule="auto" w:line="288" w:before="180" w:after="283"/>
        <w:ind w:left="0" w:right="0" w:hanging="360"/>
        <w:jc w:val="both"/>
        <w:rPr>
          <w:color w:val="000000"/>
        </w:rPr>
      </w:pPr>
      <w:r>
        <w:rPr>
          <w:color w:val="000000"/>
        </w:rPr>
        <w:t>•    </w:t>
      </w:r>
      <w:r>
        <w:rPr>
          <w:rFonts w:ascii="Times New Roman;sans-serif" w:hAnsi="Times New Roman;sans-serif"/>
          <w:b w:val="false"/>
          <w:color w:val="000000"/>
          <w:sz w:val="20"/>
        </w:rPr>
        <w:t>Imdusiran in combination with Barinthus Biotherapeutics plc’s (“Barinthus Bio”), formerly Vaccitech plc, VTP-300, an HBV antigen specific immunotherapy, and NA therapy for the treatment of patients with cHBV in a Phase 2a proof-of-concept clinical trial (“AB-729-202”). We are dosing patients in an additional treatment arm of this clinical trial that includes an approved PD-1 monoclonal antibody inhibitor, nivolumab (Opdivo®).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pipeline consists of the following programs: </w:t>
      </w:r>
    </w:p>
    <w:p>
      <w:pPr>
        <w:pStyle w:val="TextBody"/>
        <w:bidi w:val="0"/>
        <w:spacing w:before="0" w:after="0"/>
        <w:jc w:val="both"/>
        <w:rPr/>
      </w:pPr>
      <w:r>
        <w:rPr/>
      </w:r>
    </w:p>
    <w:p>
      <w:pPr>
        <w:pStyle w:val="TextBody"/>
        <w:bidi w:val="0"/>
        <w:spacing w:before="0" w:after="0"/>
        <w:jc w:val="both"/>
        <w:rPr/>
      </w:pPr>
      <w:r>
        <w:rPr/>
        <w:drawing>
          <wp:inline distT="0" distB="0" distL="0" distR="0">
            <wp:extent cx="6515100" cy="2847975"/>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6515100" cy="28479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explore expansion opportunities for our pipeline through internal discovery and development activities and through potential strategic alliances.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RNAi therapeutic, imdusiran (AB-729)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RNAi therapeutics represent a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Imdusiran (AB-729) is a subcutaneously-delivered RNAi single-trigger therapeutic targeted to hepatocytes using our proprietary covalently conjugated GalNAc delivery technology. Imdusiran reduces all HBV antigens and inhibits viral replication.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1a/1b single- and multiple-dose clinical trial (AB-729-001)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three-part clinical trial, we investigated the safety, tolerability, pharmacokinetics, and pharmacodynamics of single- and multi-doses of imdusiran in healthy subjects and in cHBV patients with the goal of identifying the most appropriate doses and dosing intervals to take forward into Phase 2 clinical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first two parts evaluated single ascending doses of imdusiran in healthy subjects and in patients with cHBV, respectively. Data showed that a 60mg or 90mg single dose of imdusiran results in robust HBsAg and HBV DNA declines in HBV DNA positive patients. Part 3 of the trial dosed HBV DNA negative/positive patients with 60mg or 90mg of imdusiran every 4, 8 or twelve weeks. Dosing of patients in Part 3 has been completed and we are continuing to follow these patients.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Data from Part 3 of the AB-729-001 clinical trial was presented at the 2022 European Association for the Study of the Liver (EASL) International Liver Congress™ (ILC) in June 2022 and showed that repeat dosing of 60mg and 90mg of imdusiran in 41 patients resulted in robust and comparable HBsAg declines in HBeAg positive/negative and HBV DNA positive/negative patients at week 48 (1.89 to 2.15 log</w:t>
      </w:r>
      <w:r>
        <w:rPr>
          <w:rFonts w:ascii="Times New Roman;sans-serif" w:hAnsi="Times New Roman;sans-serif"/>
          <w:b w:val="false"/>
          <w:color w:val="000000"/>
          <w:sz w:val="13"/>
        </w:rPr>
        <w:t xml:space="preserve">10 </w:t>
      </w:r>
      <w:r>
        <w:rPr>
          <w:rFonts w:ascii="Times New Roman;sans-serif" w:hAnsi="Times New Roman;sans-serif"/>
          <w:b w:val="false"/>
          <w:color w:val="000000"/>
          <w:sz w:val="20"/>
        </w:rPr>
        <w:t>decline in HBsAg). Fifty percent of the patients (16 out of 32) maintained HBsAg levels below 100 IU/mL 24 weeks after their last dose of imdusiran. Patients treated with imdusiran experienced an increase in HBV-specific T-cells activation and a decrease in exhausted T-cells. In this trial, imdusiran was generally safe and well-tolerated.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At the AASLD Liver Meeting in November 2022, we presented additional data from Part 3 of the AB-729-001 clinical trial, which included nine patients who had previously completed 48 weeks of treatment with imdusiran, and 24 weeks later met protocol-defined criteria to also stop NA therapy. These nine patients had completed 12 to 44 weeks of follow-up after discontinuing their NA therapy. None had met the protocol-defined criteria to restart NA therapy and there was no evidence of clinical or biochemical relapse. HBsAg levels remained at 1.05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to 2.35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 xml:space="preserve">below pre-trial levels in all nine patients. Three patients experienced transient HBV DNA elevations that spontaneously resolved without intervention, which further supports imdusiran’s potential for immunological control.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At the Global Hepatitis Summit in April 2023, we reported in an oral presentation additional off-treatment data from these nine patients who had stopped all treatments. One patient restarted NA therapy at the investigator’s request after the week 20 visit; no alanine transaminase (“ALT”) elevation or safety signals were observed. Another patient met the protocol-defined HBV DNA criteria to restart NA therapy without evidence of any ALT flare. The seven remaining patients continue to maintain low HBV DNA levels off all therapy, and HBsAg levels remain below baseline (-0.8 to -1.6 log</w:t>
      </w:r>
      <w:r>
        <w:rPr>
          <w:rFonts w:ascii="Times New Roman;sans-serif" w:hAnsi="Times New Roman;sans-serif"/>
          <w:b w:val="false"/>
          <w:color w:val="000000"/>
          <w:sz w:val="13"/>
        </w:rPr>
        <w:t>10</w:t>
      </w:r>
      <w:r>
        <w:rPr>
          <w:rFonts w:ascii="Times New Roman;sans-serif" w:hAnsi="Times New Roman;sans-serif"/>
          <w:b w:val="false"/>
          <w:color w:val="000000"/>
          <w:sz w:val="20"/>
        </w:rPr>
        <w:t xml:space="preserve">) up to one and a half years after the last dose of imdusiran. There were no adverse events reported and no ALT flares were observed in the clinical trial.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new clinical data for imdusiran continues to support its development as a potential cornerstone agent for the treatment of cHBV infection. The efficacy and safety data for imdusiran, derived from up to one year of dosing, supported our view that 60 mg every 8 weeks was an appropriate dose to move forward in our Phase 2a clinical trials. To advance our efforts to position imdusiran as a potential cornerstone therapeutic in future HBV combination regimens, we are evaluating imdusiran in two Phase 2a proof-of-concept combination clinical trials with other agents with potentially complementary mechanisms of action, some via clinical collaborations with other companies as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2a proof-of-concept clinical trial to evaluate imdusiran in combination with Peg-IFNα-2a (AB-729-201)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completed enrollment in a randomized, open label, multicenter Phase 2a proof-of-concept clinical trial investigating the safety and antiviral activity of imdusiran in combination with ongoing NA therapy and short courses of Peg-IFNα-2a in 43 stably NA-suppressed, HBeAg negative, non-cirrhotic patients with cHBV. After 24-weeks of dosing with imdusiran (60mg every 8 weeks), patients are randomized into one of four arms to receive ongoing NA therapy plus Peg-IFNα-2a for either 12 or 24 weeks, with or without additional doses of imdusiran. After completion of the assigned Peg-IFNα-2a treatment period, all patients will remain on NA therapy for the initial 24-week follow-up period, and will then discontinue NA treatment, provided they meet protocol-defined stopping criteria. Patients who stop NA therapy will enter an intensive follow-up period for 48 weeks.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At the EASL Congress in June 2023, we presented preliminary data from this clinical trial that suggests that the addition of Peg-IFNα-2a to imdusiran treatment was generally well tolerated and appears to result in continued HBsAg declines in some patients. The mean HBsAg decline from baseline during the lead-in phase was -1.6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at week 24 of treatment which is comparable to what was previously seen in other clinical trials with imdusiran. Four patients reached HBsAg below the lower limit of quantitation (LLOQ) during Peg-IFNα-2a treatment. We are continuing to follow these patients and expect to provide updates from this clinical trial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Barinthus (AB-729-202)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a clinical collaboration agreement with Barinthus, formerly Vaccitech, that we entered into in July 2021, we have completed enrollment in AB-729-202, a Phase 2a proof-of-concept clinical trial evaluating the safety, antiviral activity and immunogenicity of Barinthus’ VTP-300, an HBV antigen specific immunotherapy, administered after imdusiran in NA-suppressed patients with cHBV. The trial is designed to enroll 40 NA-suppressed, HBeAg negative or positive, non-cirrhotic cHBV patients. All patients will receive imdusiran (60mg every 8 weeks) plus NA therapy for 24 weeks. At week 24, treatment with imdusiran will stop. Patients will continue only their NA therapy and will be randomized to receive VTP-300 or placebo at week 26, week 30 and at week 38 (if protocol-defined eligibility is met). At week 48, all patients will be evaluated for eligibility to discontinue NA therapy and will be followed for an additional 24-48 weeks. Preliminary data from patients who received the combination of imdusiran, NA therapy and VTP-300 will be presented as a late-breaking poster presentation at AASLD in the fourth quarter of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amended the AB-729-202 protocol to include an additional arm with an approved PD-1 inhibitor, nivolumab (Opdivo</w:t>
      </w:r>
      <w:r>
        <w:rPr>
          <w:rFonts w:ascii="Times New Roman;sans-serif" w:hAnsi="Times New Roman;sans-serif"/>
          <w:b w:val="false"/>
          <w:color w:val="000000"/>
          <w:sz w:val="13"/>
        </w:rPr>
        <w:t>®</w:t>
      </w:r>
      <w:r>
        <w:rPr>
          <w:rFonts w:ascii="Times New Roman;sans-serif" w:hAnsi="Times New Roman;sans-serif"/>
          <w:b w:val="false"/>
          <w:color w:val="000000"/>
          <w:sz w:val="20"/>
        </w:rPr>
        <w:t>). In this additional arm, twenty patients will receive imdusiran (60mg every 8 weeks) plus NA therapy for 24 weeks, followed by administration of VTP-300 plus a low dose of nivolumab in conjunction with the booster dose(s) only while remaining on their NA therapy. At week 48, all patients will be evaluated for eligibility to discontinue NA therapy, and will be followed for an additional 24-48 weeks. In June 2023, we announced that the first patient received their first dose of imdusiran in this additional arm. Preliminary data from this additional treatment arm are expected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clinical trial is being managed by us, subject to oversight by a joint development committee comprised of representatives from both companies. We and Barinthus retain full rights to our respective product candidates and will split all costs associated with the clinical trial. Pursuant to the agreement, the parties intend to undertake a larger Phase 2b clinical trial depending on the results of the initial Phase 2a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PD-L1 Inhibitor (AB-101)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AB-101 is our oral PD-L1 inhibitor candidate that we believe will allow for controlled checkpoint blockade while minimizing the systemic safety issues typically seen with checkpoint antibody therapies. Preclinical data generated thus far indicates that AB-101 mediates activation and reinvigoration of HBV-specific T-cells from cHBV patients. In June 2022, we presented a poster at the 2022 EASL ILC highlighting data from a study that was designed to assess the preclinical activity of AB-101 and the compound’s ability to reinvigorate patient HBV-specific T-cells. Studies were conducted using a transgenic MC38 tumor mouse model and peripheral blood mononuclear cells (PBMCs) from cHBV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was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We believe AB-101, when used in combination with other approved and investigational agents, could potentially lead to a functional cure in HBV chronically infected patients.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verbal communication from the FDA that the AB-101 IND application had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We thus decided to pursue other regulatory pathways outside of the US while evaluating our path forward with the FDA. Based on the communications from the FDA, we no longer intend to report initial data from the single-ascending dose portion of a Phase 1 clinical trial in the second half of 2023. In July 2023, Medsafe approved our CTA application for a Phase 1 clinical trial in New Zealand for AB-101, and we believe the protocol approved by Medsafe adequately addresses the clinical trial design and safety monitoring issues raised by the FDA. We included the clinical hold letter from the FDA as part of our CTA application with New Zealand. We have dosed our first group of healthy subjects in our Phase 1a/1b clinical trial for AB-101 (AB-101-001). The AB-101-001 clinical trial is designed to investigate the safety, tolerability, pharmacokinetics (PK), and pharmacodynamics (PD) of single and multiple oral doses of AB-101 for up to 28 days in healthy subjects and patients with cHBV. The trial will be conducted in three parts starting with single ascending doses in healthy subjects, followed by multiple ascending doses in healthy subjects and culminating with multiple doses in patients with cHBV. Safety and PK/PD assessments will be performed prior to dose escalation in all parts of the clinical trial. Initial data from part one of the clinical trial are expected in the first half of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have identified compounds in our internal PD-L1 portfolio that could also be used in oncology indication. Preclinical data was selected for publication at the American Society of Clinical Oncology (ASCO) Annual Meeting in June 2022 showing that our oral small-molecule PD-L1 inhibitors in development, which possess a novel mechanism of action, have the ability to mediate T-cell activation in primary human immune cells. The anti-tumor efficacy seen in vivo was comparable to anti-PD-L1 antibodies. The data is published in the Journal of Clinical Oncology.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HBV RNA Destabilizer (AB-161)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HBV RNA destabilizers are small molecule orally available agents that cause the destabilization and ultimate degradation of HBV RNAs. AB-161, our oral small molecule RNA destabilizer, was specifically designed to target the liver. We had conducted extensive non-clinical safety evaluations with AB-161 that provided confidence in this molecule’s ability to circumvent the peripheral neuropathy findings seen in non-clinical safety studies with our first-generation oral RNA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destabilizer, AB-452. During the third quarter of 2023, we discontinued development of AB-161 due to a pre-clinical male reproductive toxicity finding. Our Phase 1 clinical trial with single doses of AB-161 in healthy subjects (AB-161-001) was terminated and there were no safety issues reported in the healthy subjects.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Coronavirus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efforts to identify and develop new antiviral small molecules to treat COVID-19 and future coronavirus outbreaks were focused on two essential targets critical for replication across all coronaviruses – nsp5 protease and nsp12 polymerase. We were exploring whether a combination therapy of our nsp5 protease Mpro candidate, AB-343, and an nsp12 viral polymerase inhibitor could potentially achieve better patient treatment outcomes. During the third quarter of 2023, we discontinued our efforts to identify and develop a coronavirus combination therapy due to an unfavorable pharmacokinetic (PK) profile noted in the IND-enabling studies for AB-343. We also terminated our discovery research and license agreement with X-Chem, Inc. and Proteros biostructures GmbH, which was focused on the discovery of novel inhibitors targeting the SARS-CoV-2 nsp5 main protease (“Mpro”).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Collaborations, Royalty Entitlements and Intellectual Property Litigation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Qilu Pharmaceutical Co., Ltd. (“Qilu”)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 The royalties are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the Territory until we have completed manufacturing technology transfer to Qilu and Qilu has received all approvals required for it or its designated contract manufacturing organization to manufacture imdusiran in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Alnylam Pharmaceuticals, Inc. (“Alnylam”) and Acuitas Therapeutics, Inc. (“Acuitas”)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royalty entitlements to Alnylam’s global net sales of ONPATTRO.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2012, we entered into a license agreement with Alnylam that entitles Alnylam to develop and commercialize products with our lipid nanoparticle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September 30, 2023, an aggregate of $21.5 million of 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Genevant Sciences, Ltd.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owned approximately 16% of the common equity of Genevant and the carrying value of our investment in Genevant was zero. Our entitlement to receive future royalties or sublicensing revenue from Genevant was not impacted by the recapitalization.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Moderna Inter Partes Review Petition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Moderna and Merck European Opposition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has subsequently been cancelled and has been resubmitted to the Opposition Division (i.e. lower board) of the EPO.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the patent holder, the ‘127 Patent, the ‘254 Patent, the other patents in our LNP portfolio have been licensed to Genevant and are included in the rights licensed by us to Genevant under the Genevant License.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and set the claim construction hearing for February 7, 2024. Document and written discovery in the action is currently ongoing.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issued a Letter Order on September 7, 2023 setting dates up to but not including the date for a claim construction hearing. Scheduling of the claim construction hearing and subsequent case dates, including the date for trial, will be set at a later time that is yet to be determined. Document and written discovery in the action is ongoing.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2022,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 hearing is scheduled for November 20, 2023.</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JUDGEMENTS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to our condensed consolidated financial statements included in “Part I, Item 1-Financial Statements (Unaudited)” of this Quarterly Report on Form 10-Q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results of our operations for the periods shown:</w:t>
      </w:r>
    </w:p>
    <w:tbl>
      <w:tblPr>
        <w:tblW w:w="7805" w:type="dxa"/>
        <w:jc w:val="center"/>
        <w:tblInd w:w="0" w:type="dxa"/>
        <w:tblLayout w:type="fixed"/>
        <w:tblCellMar>
          <w:top w:w="28" w:type="dxa"/>
          <w:left w:w="28" w:type="dxa"/>
          <w:bottom w:w="28" w:type="dxa"/>
          <w:right w:w="28" w:type="dxa"/>
        </w:tblCellMar>
      </w:tblPr>
      <w:tblGrid>
        <w:gridCol w:w="781"/>
        <w:gridCol w:w="688"/>
        <w:gridCol w:w="691"/>
        <w:gridCol w:w="221"/>
        <w:gridCol w:w="835"/>
        <w:gridCol w:w="114"/>
        <w:gridCol w:w="114"/>
        <w:gridCol w:w="114"/>
        <w:gridCol w:w="114"/>
        <w:gridCol w:w="221"/>
        <w:gridCol w:w="835"/>
        <w:gridCol w:w="114"/>
        <w:gridCol w:w="109"/>
        <w:gridCol w:w="109"/>
        <w:gridCol w:w="109"/>
        <w:gridCol w:w="213"/>
        <w:gridCol w:w="807"/>
        <w:gridCol w:w="110"/>
        <w:gridCol w:w="110"/>
        <w:gridCol w:w="110"/>
        <w:gridCol w:w="110"/>
        <w:gridCol w:w="213"/>
        <w:gridCol w:w="807"/>
        <w:gridCol w:w="156"/>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color w:val="000000"/>
          <w:sz w:val="20"/>
        </w:rPr>
        <w:t>Revenue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summarized in the following table: </w:t>
      </w:r>
    </w:p>
    <w:tbl>
      <w:tblPr>
        <w:tblW w:w="8477" w:type="dxa"/>
        <w:jc w:val="left"/>
        <w:tblInd w:w="0" w:type="dxa"/>
        <w:tblLayout w:type="fixed"/>
        <w:tblCellMar>
          <w:top w:w="28" w:type="dxa"/>
          <w:left w:w="28" w:type="dxa"/>
          <w:bottom w:w="28" w:type="dxa"/>
          <w:right w:w="28" w:type="dxa"/>
        </w:tblCellMar>
      </w:tblPr>
      <w:tblGrid>
        <w:gridCol w:w="1314"/>
        <w:gridCol w:w="1155"/>
        <w:gridCol w:w="1161"/>
        <w:gridCol w:w="211"/>
        <w:gridCol w:w="616"/>
        <w:gridCol w:w="109"/>
        <w:gridCol w:w="109"/>
        <w:gridCol w:w="109"/>
        <w:gridCol w:w="109"/>
        <w:gridCol w:w="255"/>
        <w:gridCol w:w="211"/>
        <w:gridCol w:w="501"/>
        <w:gridCol w:w="109"/>
        <w:gridCol w:w="109"/>
        <w:gridCol w:w="109"/>
        <w:gridCol w:w="211"/>
        <w:gridCol w:w="616"/>
        <w:gridCol w:w="109"/>
        <w:gridCol w:w="109"/>
        <w:gridCol w:w="109"/>
        <w:gridCol w:w="109"/>
        <w:gridCol w:w="246"/>
        <w:gridCol w:w="220"/>
        <w:gridCol w:w="56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87" w:type="dxa"/>
        <w:jc w:val="left"/>
        <w:tblInd w:w="0" w:type="dxa"/>
        <w:tblLayout w:type="fixed"/>
        <w:tblCellMar>
          <w:top w:w="28" w:type="dxa"/>
          <w:left w:w="28" w:type="dxa"/>
          <w:bottom w:w="28" w:type="dxa"/>
          <w:right w:w="28" w:type="dxa"/>
        </w:tblCellMar>
      </w:tblPr>
      <w:tblGrid>
        <w:gridCol w:w="1314"/>
        <w:gridCol w:w="1155"/>
        <w:gridCol w:w="1161"/>
        <w:gridCol w:w="211"/>
        <w:gridCol w:w="721"/>
        <w:gridCol w:w="109"/>
        <w:gridCol w:w="109"/>
        <w:gridCol w:w="109"/>
        <w:gridCol w:w="109"/>
        <w:gridCol w:w="255"/>
        <w:gridCol w:w="211"/>
        <w:gridCol w:w="501"/>
        <w:gridCol w:w="109"/>
        <w:gridCol w:w="109"/>
        <w:gridCol w:w="109"/>
        <w:gridCol w:w="211"/>
        <w:gridCol w:w="721"/>
        <w:gridCol w:w="109"/>
        <w:gridCol w:w="109"/>
        <w:gridCol w:w="109"/>
        <w:gridCol w:w="109"/>
        <w:gridCol w:w="246"/>
        <w:gridCol w:w="220"/>
        <w:gridCol w:w="56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$1.3 million and $16.8 million for the three and nine months ended September 30, 2023, respectively, compared to the same periods in 2022. Royalty revenue from Alnylam’s sales of ONPATTRO decreased for both comparative periods due to lower ONPATTRO sales and for the nine months ended, there was also a decrease in license revenue recognized related to our progress towards the satisfaction of our performance obligations with respect to the technology transfer and licensing agreement with Qilu, which closed in January 2022.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color w:val="000000"/>
          <w:sz w:val="20"/>
        </w:rPr>
        <w:t>Operating expenses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are summarized in the following table:</w:t>
      </w:r>
    </w:p>
    <w:tbl>
      <w:tblPr>
        <w:tblW w:w="9121" w:type="dxa"/>
        <w:jc w:val="left"/>
        <w:tblInd w:w="0" w:type="dxa"/>
        <w:tblLayout w:type="fixed"/>
        <w:tblCellMar>
          <w:top w:w="28" w:type="dxa"/>
          <w:left w:w="28" w:type="dxa"/>
          <w:bottom w:w="28" w:type="dxa"/>
          <w:right w:w="28" w:type="dxa"/>
        </w:tblCellMar>
      </w:tblPr>
      <w:tblGrid>
        <w:gridCol w:w="1473"/>
        <w:gridCol w:w="1292"/>
        <w:gridCol w:w="1299"/>
        <w:gridCol w:w="211"/>
        <w:gridCol w:w="721"/>
        <w:gridCol w:w="109"/>
        <w:gridCol w:w="109"/>
        <w:gridCol w:w="109"/>
        <w:gridCol w:w="109"/>
        <w:gridCol w:w="256"/>
        <w:gridCol w:w="210"/>
        <w:gridCol w:w="501"/>
        <w:gridCol w:w="109"/>
        <w:gridCol w:w="109"/>
        <w:gridCol w:w="109"/>
        <w:gridCol w:w="211"/>
        <w:gridCol w:w="721"/>
        <w:gridCol w:w="109"/>
        <w:gridCol w:w="109"/>
        <w:gridCol w:w="109"/>
        <w:gridCol w:w="109"/>
        <w:gridCol w:w="247"/>
        <w:gridCol w:w="219"/>
        <w:gridCol w:w="561"/>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both"/>
        <w:rPr/>
      </w:pPr>
      <w:r>
        <w:rPr/>
      </w:r>
    </w:p>
    <w:tbl>
      <w:tblPr>
        <w:tblW w:w="9121" w:type="dxa"/>
        <w:jc w:val="left"/>
        <w:tblInd w:w="0" w:type="dxa"/>
        <w:tblLayout w:type="fixed"/>
        <w:tblCellMar>
          <w:top w:w="28" w:type="dxa"/>
          <w:left w:w="28" w:type="dxa"/>
          <w:bottom w:w="28" w:type="dxa"/>
          <w:right w:w="28" w:type="dxa"/>
        </w:tblCellMar>
      </w:tblPr>
      <w:tblGrid>
        <w:gridCol w:w="1473"/>
        <w:gridCol w:w="1292"/>
        <w:gridCol w:w="1299"/>
        <w:gridCol w:w="211"/>
        <w:gridCol w:w="721"/>
        <w:gridCol w:w="109"/>
        <w:gridCol w:w="109"/>
        <w:gridCol w:w="109"/>
        <w:gridCol w:w="109"/>
        <w:gridCol w:w="255"/>
        <w:gridCol w:w="211"/>
        <w:gridCol w:w="501"/>
        <w:gridCol w:w="109"/>
        <w:gridCol w:w="109"/>
        <w:gridCol w:w="109"/>
        <w:gridCol w:w="211"/>
        <w:gridCol w:w="721"/>
        <w:gridCol w:w="109"/>
        <w:gridCol w:w="109"/>
        <w:gridCol w:w="109"/>
        <w:gridCol w:w="109"/>
        <w:gridCol w:w="247"/>
        <w:gridCol w:w="219"/>
        <w:gridCol w:w="561"/>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$0.1 million and decreased $5.3 million for the three and nine months ended September 30, 2023, respectively, compared to the same periods in 2022. The decrease for the nine months ended September 2023 compared to the same period in 2022 was due primarily to a decrease in drug supply manufacturing costs for imdusiran and a decrease related to our AB-836 Phase 1a/1b clinical trial, which was discontinued in the fourth quarter of 2022, partially offset by an increase in expenses for our coronavirus program and our AB-101 Phase 1a/1b clinical trial.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we discontinued development of AB-161 due to a pre-clinical male reproductive toxicity finding, including terminating our AB-161-001 Phase 1a/1b clinical trial. Also during the third quarter of 2023, we discontinued our efforts to identify and develop a coronavirus combination therapy due to an unfavorable pharmacokinetic (PK) profile noted in the IND-enabling studies for AB-343. On November 6, 2023, we reduced our workforce by 24% primarily affecting our research function. As a result, we will incur a one-time restructuring charge of approximately $1.1 million that will be recorded in the fourth quarter of 2023. We have maintained a group of research scientists as we remain committed to continuing discovery research in HBV.</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research and development expenses are not tracked by project as they benefit multiple projects or our technology platform and because our most-advanced programs are not yet in late-stage clinical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$2.3 million and $3.8 million for the three and nine months ended September 30, 2023 respectively, as compared to the same periods in 2022, due primarily to legal fees in support of our ongoing lawsuits against Moderna and Pfizer/BioNTech, a severance payment to our former General Counsel in the third quarter of 2023 and an increase in non-cash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contingent consideration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imdusiran continues to progress through Phase 2a proof-of-concept clinical trials, we will adjust our assumptions regarding probability of success commensurate with the progression of the program, which will increase the fair value of the liability.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loss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other income (loss) are summarized in the following table:</w:t>
      </w:r>
    </w:p>
    <w:tbl>
      <w:tblPr>
        <w:tblW w:w="8103" w:type="dxa"/>
        <w:jc w:val="left"/>
        <w:tblInd w:w="0" w:type="dxa"/>
        <w:tblLayout w:type="fixed"/>
        <w:tblCellMar>
          <w:top w:w="28" w:type="dxa"/>
          <w:left w:w="28" w:type="dxa"/>
          <w:bottom w:w="28" w:type="dxa"/>
          <w:right w:w="28" w:type="dxa"/>
        </w:tblCellMar>
      </w:tblPr>
      <w:tblGrid>
        <w:gridCol w:w="891"/>
        <w:gridCol w:w="781"/>
        <w:gridCol w:w="788"/>
        <w:gridCol w:w="276"/>
        <w:gridCol w:w="807"/>
        <w:gridCol w:w="142"/>
        <w:gridCol w:w="142"/>
        <w:gridCol w:w="142"/>
        <w:gridCol w:w="142"/>
        <w:gridCol w:w="276"/>
        <w:gridCol w:w="610"/>
        <w:gridCol w:w="142"/>
        <w:gridCol w:w="109"/>
        <w:gridCol w:w="109"/>
        <w:gridCol w:w="109"/>
        <w:gridCol w:w="248"/>
        <w:gridCol w:w="724"/>
        <w:gridCol w:w="128"/>
        <w:gridCol w:w="128"/>
        <w:gridCol w:w="128"/>
        <w:gridCol w:w="128"/>
        <w:gridCol w:w="248"/>
        <w:gridCol w:w="724"/>
        <w:gridCol w:w="181"/>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(loss)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income for the three and nine months ended September 30, 2023 compared to the same periods in 2022 was due primarily to higher interest earned on our cash and investment balances due to a general increase in market interest rates.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both the three and nine months ended September 30, 2023 and 2022 consisted primarily of non-cash amortization of discount and issuance costs related to the sale of a portion of our ONPATTRO royalty interest to OMERS in July 2019. The decrease is related to the declining balance of the unamortized discount and issuance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we recognized income tax expense of $4.4 million for withholding taxes paid to the Chinese taxing authority by Qilu on our behalf in connection with the upfront license fee Qilu paid us. We did not recognize any income tax expense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activities for the periods indicated:</w:t>
      </w:r>
    </w:p>
    <w:tbl>
      <w:tblPr>
        <w:tblW w:w="8636" w:type="dxa"/>
        <w:jc w:val="left"/>
        <w:tblInd w:w="0" w:type="dxa"/>
        <w:tblLayout w:type="fixed"/>
        <w:tblCellMar>
          <w:top w:w="28" w:type="dxa"/>
          <w:left w:w="28" w:type="dxa"/>
          <w:bottom w:w="28" w:type="dxa"/>
          <w:right w:w="28" w:type="dxa"/>
        </w:tblCellMar>
      </w:tblPr>
      <w:tblGrid>
        <w:gridCol w:w="2175"/>
        <w:gridCol w:w="1894"/>
        <w:gridCol w:w="1931"/>
        <w:gridCol w:w="213"/>
        <w:gridCol w:w="807"/>
        <w:gridCol w:w="110"/>
        <w:gridCol w:w="110"/>
        <w:gridCol w:w="110"/>
        <w:gridCol w:w="110"/>
        <w:gridCol w:w="213"/>
        <w:gridCol w:w="807"/>
        <w:gridCol w:w="156"/>
      </w:tblGrid>
      <w:tr>
        <w:trPr/>
        <w:tc>
          <w:tcPr>
            <w:tcW w:w="2175"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items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license revenue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items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pursuant to Share Purchase Agreement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pursuant to the Open Market Sale Agreement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other financing activities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$68.6 million of cash was used in operating activities compared to $18.4 million used in operating activities for the nine months ended September 30, 2022, a change of $50.3 million. The change was due primarily to a January 2022 upfront cash payment of $40.0 million from Qilu and a $4.0 million premium paid by Qilu as part of their $15.0 million equity investment in us. These cash inflows from Qilu for the nine months ended September 30, 2022 were offset by $62.4 million of cash used in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provided by investing activities was $28.5 million, resulting primarily from maturities of investments in marketable securities of $86.0 million, partially offset by additional investments in marketable securities of $56.5 million. For the nine months ended September 30, 2022, net cash used in investing activities was $87.6 million, which consisted primarily of additional investments in marketable securities of $117.3 million, partially offset by maturities of investments in marketable securities of $30.0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financing activities was $26.8 million, which was primarily related to $26.0 million in proceeds from sales of common shares under the Sale Agreement. For the nine months ended September 30, 2022, net cash provided by financing activities was $20.7 million, which included $11.0 million for the fair value of the shares purchased by Qilu as part of their $15.0 million equity investment in us, of which the remaining $4.0 million was a premium paid by Qilu on the equity investment and was allocated to deferred revenue, as well as $9.2 million in proceeds from sales of common shares under the Sale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cash equivalents and investments in marketable securities of $144.7 million. We had no outstanding debt as of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Open Market Sale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We have an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with Jefferies LLC dated December 20, 2018, as amended by Amendment No. 1, dated December 20, 2019, Amendment No. 2, dated August 7, 2020 and Amendment No. 3, dated March 4, 2021 (as amended, the “Sale Agreement”), under which we may offer and sell common shares, from time to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2019, we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our securities. The January 2020 Registration Statement also contained a prospectus supplement for an offering of up to $50.0 million of our common shares pursuant to the Sale Agreement. This prospectus supplement was fully utilized during 2020. On August 7, 2020, we filed a prospectus supplement with the SEC (the “August 2020 Prospectus Supplement”) for an offering of up to an additional $75.0 million of our common shares pursuant to the Sale Agreement under the January 2020 Registration Statement. The August 2020 Prospectus Supplement was fully utilized during 2020. The January 2020 Registration Statement expired in January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2020, we filed a shelf registration statement on Form S-3 with the SEC (File No. 333-248467) and accompanying base prospectus, which was declared effective by the SEC on October 22, 2020 (the “October 2020 Registration Statement”), for the offer and sale of up to $200.0 million of our securities. On March 4, 2021, we filed a prospectus supplement with the SEC for an offering of up to an additional $75.0 million of our common shares pursuant to the Sale Agreement under the October 2020 Registration Statement, which we fully utilized during 2021. On October 8, 2021, we filed a prospectus supplement with the SEC (the “October 2021 Prospectus Supplement”) for the offer and sale of up to an additional $75.0 million of our common shares pursuant to the Sale Agreement under the October 2020 Registration Statement. The October 2020 Registration Statement expired in October 2023 with $29.3 million that was not utilized under the October 2021 Prospectus Supplement.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we filed a shelf registration statement on Form S-3 with the SEC (File No. 333-260782) and accompanying base prospectus, which was declared effective by the SEC on November 18, 2021 (the “November 2021 Registration Statement”), for the offer and sale of up to $250.0 million of our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 of which only the November 2021 Registration Statement remains active.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issued 9,848,090 common shares pursuant to the Sale Agreement resulting in net proceeds of approximately $26.0 million. For the nine months ended September 30, 2022, we issued 3,901,765 common shares pursuant to the Sale Agreement, resulting in net proceeds of approximately $9.2 million. As of September 30, 2023, there was approximately $104.3 million available in aggregate under the October 2021 Prospectus Supplement and March 2022 Prospectus Supplement. In October 2023, the October 2020 Registration Statement expired with $29.3 million that was not utilized under the October 2021 Prospectus Supplement, leaving $75.0 million remaining available under the March 2022 Prospectus Supplement pursuant to the November 2021 Registration Statement.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From the inception of the royalty sale through September 30, 2023, we have recorded an aggregate of $21.5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 the Territory.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us, Qilu paid us a one-time upfront cash payment of $40 million and made an equity investment in us of $15.0 million, both received in January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$144.7 million of cash, cash equivalents and investments in marketable securities as of September 30, 2023 will be sufficient to fund our operations into the first quarter of 2026. We expect a net cash burn between $90 million and $95 million in 2023, excluding any proceeds from our Sale Agreement. In the future, substantial additional funds will be required to continue with the active development of our pipeline products and technologies. In particular, our funding needs may vary depending on a number of factors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our legacy collaborative partnerships and licensing agreements, including potential royalty payments from Alnylam’s ONPATTRO;</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ongoing collaborative partnerships, including milestone and royalty payments;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requirement to make milestone payments related to our legacy agreements;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extent to which we continue the development of our product candidates, add new product candidates to our pipeline, or form collaborative relationships or licensing arrangements to advance our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delays in the development of our product candidates due to preclinical and clinical findings;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decisions to in-license or acquire additional products, product candidates or technology for development;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attract and retain development or commercialization partners, and their effectiveness in carrying out the development and ultimate commercialization of one or more of our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whether batches of product candidates that we manufacture fail to meet specifications resulting in clinical trial delays and investigational and remanufacturing costs;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decisions, and the timing of decisions, made by health regulatory agencies regarding our technology and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competing products, product candidates and technological and market developments;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costs associated with prosecuting and enforcing our patent claims and other intellectual property rights, including litigation and arbitration arising in the course of our business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under this item is not required to be provided by smaller reporting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color w:val="000000"/>
          <w:sz w:val="20"/>
        </w:rPr>
        <w:t>ITEM 4.    </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our disclosure controls and procedures as of September 30,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2023, our principal executive officer and principal financial officer concluded that, as of such date, our disclosure controls and procedures were effective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dates up to but not including the date for a claim construction hearing. Scheduling of the claim construction hearing and subsequent case dates, including the date for trial, will be set at a later time that is yet to be determined. Document and written discovery in the action is ongoing.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and set the claim construction hearing for February 7, 2024. Document and written discovery in the action is currently ongoing.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 hearing is scheduled for November 20,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we announced that we were notified via verbal communication from the FDA that our AB-101 IND application has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In July 2023, the New Zealand Medicine and Medical Device Safety Authority (Medsafe) approved our CTA application for a Phase 1 clinical trial in New Zealand for AB-101; however, there are no assurances that FDA will accept the results of such clinical trial and may require us to conduct an additional Phase 1 clinical trial or additional nonclinical studies. If the FDA does not accept the results of our Phase 1 clinical trial in New Zealand for AB-101 or requires us to conduct additional trials or studies, it may take a considerable period of time, the length of which is not certain at this time, and expense for us to fully address the FDA’s concerns. Even if we are able to fully respond to the FDA’s current concerns, the FDA may subsequently make additional requests that we would need to fulfill prior to the lifting of the clinical hold. It is possible that we will be unable to fully address the FDA’s concerns and, as a result, the clinical hold may never be lifted and we may never be able to initiate our AB-101 clinical program in the United States, which could have a material adverse effect on our business and financial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other material changes in our risk factors from those disclosed in our Annual Report on Form 10-K for the fiscal year-ended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83260"/>
                <wp:effectExtent l="0" t="0" r="0" b="0"/>
                <wp:wrapNone/>
                <wp:docPr id="41" name="Frame4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both"/>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54"/>
        <w:gridCol w:w="2605"/>
        <w:gridCol w:w="370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Notice of Articles and Articles of the Company, as amended (incorporated herein by reference to Exhibit 3.1 to the Registrant’s Annual Report on Form 10-K for the year ended December 31, 2017, filed with the SEC on March 16,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Amendment to Articles of the Company (incorporated herein by reference to Exhibit 3.1 to the Registrant’s Quarterly Report on Form 10-Q for the quarter ended September 30, 2018, filed with the SEC on November 7,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Executive Employment Agreement, dated effective as of July 10, 2023, between Arbutus Biopharma, Inc. and Karen Sims, MD, PhD (incorporated by reference to Exhibit 10.1 to the Registrant’s Quarterly Report on Form 10-Q for the quarter ended June 30, 2023, filed with the SEC on August 3,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Executive Employment Agreement, dated effective as of July 10, 2023, between Arbutus Biopharma, Inc. and J. Christopher Naftzger (incorporated by reference to Exhibit 10.2 to the Registrant’s Quarterly Report on Form 10-Q for the quarter ended June 30, 2023, filed with the SEC on August 3,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Option Agreement, dated July 10, 2023, by and between Arbutus Biopharma Corporation and J. Christopher Naftzger (incorporated by reference to Exhibit 10.3 to the Registrant’s Quarterly Report on Form 10-Q for the quarter ended June 30, 2023, filed with the SEC on August 3,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310xqex311.htm">
              <w:r>
                <w:rPr>
                  <w:rStyle w:val="InternetLink"/>
                  <w:rFonts w:ascii="Times New Roman;sans-serif" w:hAnsi="Times New Roman;sans-serif"/>
                  <w:b w:val="false"/>
                  <w:color w:val="0000FF"/>
                  <w:sz w:val="20"/>
                  <w:u w:val="single"/>
                </w:rPr>
                <w:t>Certification of Principal Executive Officer pursuant to Rule 13a-14(a) or 15d-14(a) of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310xqex312.htm">
              <w:r>
                <w:rPr>
                  <w:rStyle w:val="InternetLink"/>
                  <w:rFonts w:ascii="Times New Roman;sans-serif" w:hAnsi="Times New Roman;sans-serif"/>
                  <w:b w:val="false"/>
                  <w:color w:val="0000FF"/>
                  <w:sz w:val="20"/>
                  <w:u w:val="single"/>
                </w:rPr>
                <w:t>Certification of Principal Financial Officer pursuant to Rule 13a-14(a) or 15d-14(a) of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310x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310x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materials from Arbutus Biopharma Corporation’s Quarterly Report on Form 10-Q for the quarter ended September 30, 2023,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 101).</w:t>
            </w:r>
          </w:p>
        </w:tc>
      </w:tr>
    </w:tbl>
    <w:p>
      <w:pPr>
        <w:pStyle w:val="TextBody"/>
        <w:bidi w:val="0"/>
        <w:spacing w:before="60" w:after="283"/>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27355"/>
                <wp:effectExtent l="0" t="0" r="0" b="0"/>
                <wp:wrapNone/>
                <wp:docPr id="42" name="Frame41"/>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495"/>
        <w:jc w:val="both"/>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November 7, 2023.</w:t>
      </w:r>
    </w:p>
    <w:p>
      <w:pPr>
        <w:pStyle w:val="TextBody"/>
        <w:bidi w:val="0"/>
        <w:spacing w:before="160" w:after="283"/>
        <w:ind w:left="0" w:right="0" w:firstLine="495"/>
        <w:jc w:val="both"/>
        <w:rPr/>
      </w:pPr>
      <w:r>
        <w:rPr/>
      </w:r>
    </w:p>
    <w:tbl>
      <w:tblPr>
        <w:tblW w:w="7437" w:type="dxa"/>
        <w:jc w:val="left"/>
        <w:tblInd w:w="0" w:type="dxa"/>
        <w:tblLayout w:type="fixed"/>
        <w:tblCellMar>
          <w:top w:w="28" w:type="dxa"/>
          <w:left w:w="28" w:type="dxa"/>
          <w:bottom w:w="28" w:type="dxa"/>
          <w:right w:w="28" w:type="dxa"/>
        </w:tblCellMar>
      </w:tblPr>
      <w:tblGrid>
        <w:gridCol w:w="124"/>
        <w:gridCol w:w="109"/>
        <w:gridCol w:w="109"/>
        <w:gridCol w:w="595"/>
        <w:gridCol w:w="595"/>
        <w:gridCol w:w="595"/>
        <w:gridCol w:w="1550"/>
        <w:gridCol w:w="1550"/>
        <w:gridCol w:w="22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ARBUTUS BIOPHARMA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H. Collier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 Collier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C.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83260"/>
                <wp:effectExtent l="0" t="0" r="0" b="0"/>
                <wp:wrapNone/>
                <wp:docPr id="43" name="Frame4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100" w:after="100"/>
        <w:jc w:val="righ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William Collier, certify that: </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4092" w:type="dxa"/>
        <w:jc w:val="center"/>
        <w:tblInd w:w="0" w:type="dxa"/>
        <w:tblLayout w:type="fixed"/>
        <w:tblCellMar>
          <w:top w:w="28" w:type="dxa"/>
          <w:left w:w="28" w:type="dxa"/>
          <w:bottom w:w="28" w:type="dxa"/>
          <w:right w:w="28" w:type="dxa"/>
        </w:tblCellMar>
      </w:tblPr>
      <w:tblGrid>
        <w:gridCol w:w="124"/>
        <w:gridCol w:w="109"/>
        <w:gridCol w:w="109"/>
        <w:gridCol w:w="1098"/>
        <w:gridCol w:w="1098"/>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and 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Hastings, certify that: </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2847" w:type="dxa"/>
        <w:jc w:val="center"/>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100" w:after="100"/>
        <w:jc w:val="righ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September 30, 2023,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4092" w:type="dxa"/>
        <w:jc w:val="center"/>
        <w:tblInd w:w="0" w:type="dxa"/>
        <w:tblLayout w:type="fixed"/>
        <w:tblCellMar>
          <w:top w:w="28" w:type="dxa"/>
          <w:left w:w="28" w:type="dxa"/>
          <w:bottom w:w="28" w:type="dxa"/>
          <w:right w:w="28" w:type="dxa"/>
        </w:tblCellMar>
      </w:tblPr>
      <w:tblGrid>
        <w:gridCol w:w="124"/>
        <w:gridCol w:w="109"/>
        <w:gridCol w:w="109"/>
        <w:gridCol w:w="1098"/>
        <w:gridCol w:w="1098"/>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and Chief Executive Officer </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September 30, 2023,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2892" w:type="dxa"/>
        <w:jc w:val="center"/>
        <w:tblInd w:w="0" w:type="dxa"/>
        <w:tblLayout w:type="fixed"/>
        <w:tblCellMar>
          <w:top w:w="28" w:type="dxa"/>
          <w:left w:w="28" w:type="dxa"/>
          <w:bottom w:w="28" w:type="dxa"/>
          <w:right w:w="28" w:type="dxa"/>
        </w:tblCellMar>
      </w:tblPr>
      <w:tblGrid>
        <w:gridCol w:w="124"/>
        <w:gridCol w:w="109"/>
        <w:gridCol w:w="109"/>
        <w:gridCol w:w="744"/>
        <w:gridCol w:w="744"/>
        <w:gridCol w:w="1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47028/000162828018003276/exhibit31_articlesandartic.htm" TargetMode="External"/><Relationship Id="rId4" Type="http://schemas.openxmlformats.org/officeDocument/2006/relationships/hyperlink" Target="http://www.sec.gov/Archives/edgar/data/1447028/000162828018013909/exhibit31amendmenttoarticl.htm" TargetMode="External"/><Relationship Id="rId5" Type="http://schemas.openxmlformats.org/officeDocument/2006/relationships/hyperlink" Target="http://www.sec.gov/Archives/edgar/data/1447028/000144702823000082/cmoexecutiveemploymentagre.htm" TargetMode="External"/><Relationship Id="rId6" Type="http://schemas.openxmlformats.org/officeDocument/2006/relationships/hyperlink" Target="http://www.sec.gov/Archives/edgar/data/1447028/000144702823000082/gcexecutiveemploymentagree.htm" TargetMode="External"/><Relationship Id="rId7" Type="http://schemas.openxmlformats.org/officeDocument/2006/relationships/hyperlink" Target="http://www.sec.gov/Archives/edgar/data/1447028/000144702823000082/naftzger-inducementoptiona.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22694</Words>
  <Characters>126226</Characters>
  <CharactersWithSpaces>148177</CharactersWithSpaces>
  <Paragraphs>2012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