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000" w:right="1220" w:hanging="2772"/>
        <w:spacing w:after="0" w:line="407" w:lineRule="auto"/>
        <w:tabs>
          <w:tab w:leader="none" w:pos="15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2017</w:t>
      </w: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9"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British Columbia, Canada</w:t>
            </w:r>
          </w:p>
        </w:tc>
        <w:tc>
          <w:tcPr>
            <w:tcW w:w="6820" w:type="dxa"/>
            <w:vAlign w:val="bottom"/>
            <w:gridSpan w:val="6"/>
          </w:tcPr>
          <w:p>
            <w:pPr>
              <w:jc w:val="center"/>
              <w:ind w:left="5370"/>
              <w:spacing w:after="0"/>
              <w:rPr>
                <w:sz w:val="20"/>
                <w:szCs w:val="20"/>
                <w:color w:val="auto"/>
              </w:rPr>
            </w:pPr>
            <w:r>
              <w:rPr>
                <w:rFonts w:ascii="Arial" w:cs="Arial" w:eastAsia="Arial" w:hAnsi="Arial"/>
                <w:sz w:val="18"/>
                <w:szCs w:val="18"/>
                <w:b w:val="1"/>
                <w:bCs w:val="1"/>
                <w:color w:val="auto"/>
                <w:w w:val="91"/>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1"/>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4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[X] Non-accelerated filer [ ] Smaller reporting company [ ] (Do not check if a smaller</w:t>
      </w:r>
    </w:p>
    <w:p>
      <w:pPr>
        <w:jc w:val="center"/>
        <w:ind w:right="560"/>
        <w:spacing w:after="0"/>
        <w:rPr>
          <w:sz w:val="20"/>
          <w:szCs w:val="20"/>
          <w:color w:val="auto"/>
        </w:rPr>
      </w:pPr>
      <w:r>
        <w:rPr>
          <w:rFonts w:ascii="Arial" w:cs="Arial" w:eastAsia="Arial" w:hAnsi="Arial"/>
          <w:sz w:val="18"/>
          <w:szCs w:val="18"/>
          <w:color w:val="auto"/>
        </w:rPr>
        <w:t>reporting company)</w:t>
      </w:r>
    </w:p>
    <w:p>
      <w:pPr>
        <w:spacing w:after="0" w:line="25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420"/>
          </w:cols>
          <w:pgMar w:left="240" w:top="922"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2017, the registrant had 55,024,557 common shares, no par value, outstanding.</w:t>
      </w: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827" w:right="1440"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ind w:left="32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480" w:type="dxa"/>
            <w:vAlign w:val="bottom"/>
            <w:gridSpan w:val="13"/>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600" w:type="dxa"/>
            <w:vAlign w:val="bottom"/>
            <w:gridSpan w:val="11"/>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7980" w:type="dxa"/>
            <w:vAlign w:val="bottom"/>
            <w:gridSpan w:val="17"/>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w:t>
              </w:r>
            </w:hyperlink>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OPERATIONS</w:t>
              </w:r>
            </w:hyperlink>
          </w:p>
        </w:tc>
        <w:tc>
          <w:tcPr>
            <w:tcW w:w="4500" w:type="dxa"/>
            <w:vAlign w:val="bottom"/>
            <w:tcBorders>
              <w:top w:val="single" w:sz="8" w:color="0000EE"/>
              <w:bottom w:val="single" w:sz="8" w:color="CCEEFF"/>
            </w:tcBorders>
            <w:gridSpan w:val="7"/>
            <w:shd w:val="clear" w:color="auto" w:fill="CCEEFF"/>
          </w:tcPr>
          <w:p>
            <w:pPr>
              <w:spacing w:after="0"/>
              <w:rPr>
                <w:sz w:val="21"/>
                <w:szCs w:val="21"/>
                <w:color w:val="auto"/>
              </w:rPr>
            </w:pPr>
          </w:p>
        </w:tc>
        <w:tc>
          <w:tcPr>
            <w:tcW w:w="46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44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6220" w:type="dxa"/>
            <w:vAlign w:val="bottom"/>
            <w:gridSpan w:val="14"/>
          </w:tcPr>
          <w:p>
            <w:pPr>
              <w:spacing w:after="0" w:line="20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QUANTITATIVE AND QUALITATIVE DISCLOSURES ABOUT MARKET RISK</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720" w:type="dxa"/>
            <w:vAlign w:val="bottom"/>
            <w:gridSpan w:val="18"/>
            <w:shd w:val="clear" w:color="auto" w:fill="CCEEFF"/>
          </w:tcPr>
          <w:p>
            <w:pPr>
              <w:spacing w:after="0" w:line="202"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DISCLOSURE CONTROLS AND PROCEDURES AND INTERNAL CONTROLS OVER FINANCIAL REPORTING</w:t>
              </w:r>
            </w:hyperlink>
          </w:p>
        </w:tc>
        <w:tc>
          <w:tcPr>
            <w:tcW w:w="100" w:type="dxa"/>
            <w:vAlign w:val="bottom"/>
            <w:shd w:val="clear" w:color="auto" w:fill="CCEEFF"/>
          </w:tcPr>
          <w:p>
            <w:pPr>
              <w:spacing w:after="0"/>
              <w:rPr>
                <w:sz w:val="21"/>
                <w:szCs w:val="21"/>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24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7480" w:type="dxa"/>
            <w:vAlign w:val="bottom"/>
            <w:gridSpan w:val="13"/>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5600" w:type="dxa"/>
            <w:vAlign w:val="bottom"/>
            <w:gridSpan w:val="11"/>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5600" w:type="dxa"/>
            <w:vAlign w:val="bottom"/>
            <w:gridSpan w:val="11"/>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6220" w:type="dxa"/>
            <w:vAlign w:val="bottom"/>
            <w:gridSpan w:val="14"/>
          </w:tcPr>
          <w:p>
            <w:pPr>
              <w:spacing w:after="0" w:line="202"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UNREGISTERED SALES OF EQUITY SECURITIES AND USE OF PROCEEDS</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3180" w:type="dxa"/>
            <w:vAlign w:val="bottom"/>
            <w:gridSpan w:val="9"/>
            <w:shd w:val="clear" w:color="auto" w:fill="CCEEFF"/>
          </w:tcPr>
          <w:p>
            <w:pPr>
              <w:spacing w:after="0" w:line="202"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DEFAULTS UPON SENIOR SECURITIES</w:t>
              </w:r>
            </w:hyperlink>
          </w:p>
        </w:tc>
        <w:tc>
          <w:tcPr>
            <w:tcW w:w="2420" w:type="dxa"/>
            <w:vAlign w:val="bottom"/>
            <w:gridSpan w:val="2"/>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3180" w:type="dxa"/>
            <w:vAlign w:val="bottom"/>
            <w:gridSpan w:val="9"/>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24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1880" w:type="dxa"/>
            <w:vAlign w:val="bottom"/>
            <w:gridSpan w:val="7"/>
            <w:shd w:val="clear" w:color="auto" w:fill="CCEEFF"/>
          </w:tcPr>
          <w:p>
            <w:pPr>
              <w:spacing w:after="0" w:line="202"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OTHER INFORMATION</w:t>
              </w:r>
            </w:hyperlink>
          </w:p>
        </w:tc>
        <w:tc>
          <w:tcPr>
            <w:tcW w:w="3720" w:type="dxa"/>
            <w:vAlign w:val="bottom"/>
            <w:gridSpan w:val="4"/>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1880" w:type="dxa"/>
            <w:vAlign w:val="bottom"/>
            <w:gridSpan w:val="7"/>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372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399"/>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4"/>
          </w:tcPr>
          <w:p>
            <w:pPr>
              <w:ind w:left="420"/>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7480" w:type="dxa"/>
            <w:vAlign w:val="bottom"/>
            <w:gridSpan w:val="1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7480" w:type="dxa"/>
            <w:vAlign w:val="bottom"/>
            <w:gridSpan w:val="13"/>
          </w:tcPr>
          <w:p>
            <w:pPr>
              <w:spacing w:after="0"/>
              <w:rPr>
                <w:sz w:val="20"/>
                <w:szCs w:val="20"/>
                <w:color w:val="auto"/>
              </w:rPr>
            </w:pPr>
            <w:r>
              <w:rPr>
                <w:rFonts w:ascii="Arial" w:cs="Arial" w:eastAsia="Arial" w:hAnsi="Arial"/>
                <w:sz w:val="16"/>
                <w:szCs w:val="16"/>
                <w:b w:val="1"/>
                <w:bCs w:val="1"/>
                <w:color w:val="auto"/>
              </w:rPr>
              <w:t>ARBUTUS BIOPHARMA CORPORATION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8"/>
        </w:trPr>
        <w:tc>
          <w:tcPr>
            <w:tcW w:w="7480" w:type="dxa"/>
            <w:vAlign w:val="bottom"/>
            <w:gridSpan w:val="13"/>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(Unaudited)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4"/>
        </w:trPr>
        <w:tc>
          <w:tcPr>
            <w:tcW w:w="7480" w:type="dxa"/>
            <w:vAlign w:val="bottom"/>
            <w:gridSpan w:val="13"/>
          </w:tcPr>
          <w:p>
            <w:pPr>
              <w:spacing w:after="0"/>
              <w:rPr>
                <w:sz w:val="20"/>
                <w:szCs w:val="20"/>
                <w:color w:val="auto"/>
              </w:rPr>
            </w:pPr>
            <w:r>
              <w:rPr>
                <w:rFonts w:ascii="Arial" w:cs="Arial" w:eastAsia="Arial" w:hAnsi="Arial"/>
                <w:sz w:val="16"/>
                <w:szCs w:val="16"/>
                <w:color w:val="auto"/>
              </w:rPr>
              <w:t>(Expressed in thousands of U.S. dollars, except share and per share amounts)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480" w:type="dxa"/>
            <w:vAlign w:val="bottom"/>
            <w:gridSpan w:val="13"/>
          </w:tcPr>
          <w:p>
            <w:pPr>
              <w:spacing w:after="0"/>
              <w:rPr>
                <w:sz w:val="20"/>
                <w:szCs w:val="20"/>
                <w:color w:val="auto"/>
              </w:rPr>
            </w:pPr>
            <w:r>
              <w:rPr>
                <w:rFonts w:ascii="Arial" w:cs="Arial" w:eastAsia="Arial" w:hAnsi="Arial"/>
                <w:sz w:val="16"/>
                <w:szCs w:val="16"/>
                <w:color w:val="auto"/>
              </w:rPr>
              <w:t>(Prepared in accordance with US GAAP)</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4"/>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December 31,</w:t>
            </w:r>
          </w:p>
        </w:tc>
      </w:tr>
      <w:tr>
        <w:trPr>
          <w:trHeight w:val="270"/>
        </w:trPr>
        <w:tc>
          <w:tcPr>
            <w:tcW w:w="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40" w:type="dxa"/>
            <w:vAlign w:val="bottom"/>
            <w:gridSpan w:val="12"/>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29,851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23,413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rPr>
              <w:t>Short-term investments (note 2)</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107,146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7,878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revenue</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40" w:type="dxa"/>
            <w:vAlign w:val="bottom"/>
            <w:gridSpan w:val="12"/>
          </w:tcPr>
          <w:p>
            <w:pPr>
              <w:ind w:left="40"/>
              <w:spacing w:after="0"/>
              <w:rPr>
                <w:sz w:val="20"/>
                <w:szCs w:val="20"/>
                <w:color w:val="auto"/>
              </w:rPr>
            </w:pPr>
            <w:r>
              <w:rPr>
                <w:rFonts w:ascii="Arial" w:cs="Arial" w:eastAsia="Arial" w:hAnsi="Arial"/>
                <w:sz w:val="18"/>
                <w:szCs w:val="18"/>
                <w:color w:val="auto"/>
              </w:rPr>
              <w:t>Investment tax credits receivable</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44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1,311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current assets</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120,268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2"/>
              </w:rPr>
              <w:t>132,564</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13"/>
            <w:shd w:val="clear" w:color="auto" w:fill="CCEEFF"/>
          </w:tcPr>
          <w:p>
            <w:pPr>
              <w:ind w:left="40"/>
              <w:spacing w:after="0"/>
              <w:rPr>
                <w:sz w:val="20"/>
                <w:szCs w:val="20"/>
                <w:color w:val="auto"/>
              </w:rPr>
            </w:pPr>
            <w:r>
              <w:rPr>
                <w:rFonts w:ascii="Arial" w:cs="Arial" w:eastAsia="Arial" w:hAnsi="Arial"/>
                <w:sz w:val="18"/>
                <w:szCs w:val="18"/>
                <w:color w:val="auto"/>
              </w:rPr>
              <w:t>Restricted investment (notes 2 and 6)</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12,601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w w:val="94"/>
              </w:rPr>
              <w:t>Property and equipment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22,523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17,683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480" w:type="dxa"/>
            <w:vAlign w:val="bottom"/>
            <w:tcBorders>
              <w:bottom w:val="single" w:sz="8" w:color="CCEEFF"/>
            </w:tcBorders>
            <w:gridSpan w:val="1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(10,738)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480" w:type="dxa"/>
            <w:vAlign w:val="bottom"/>
            <w:tcBorders>
              <w:top w:val="single" w:sz="8" w:color="auto"/>
            </w:tcBorders>
            <w:gridSpan w:val="13"/>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11,462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6,945</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Intangible assets (note 3)</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99,445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99,445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Goodwill (note 3)</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24,364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24,364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268,140</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275,919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gridSpan w:val="1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40" w:type="dxa"/>
            <w:vAlign w:val="bottom"/>
            <w:gridSpan w:val="12"/>
          </w:tcPr>
          <w:p>
            <w:pPr>
              <w:ind w:left="40"/>
              <w:spacing w:after="0"/>
              <w:rPr>
                <w:sz w:val="20"/>
                <w:szCs w:val="20"/>
                <w:color w:val="auto"/>
              </w:rPr>
            </w:pPr>
            <w:r>
              <w:rPr>
                <w:rFonts w:ascii="Arial" w:cs="Arial" w:eastAsia="Arial" w:hAnsi="Arial"/>
                <w:sz w:val="18"/>
                <w:szCs w:val="18"/>
                <w:color w:val="auto"/>
              </w:rPr>
              <w:t>Accounts payable and accrued liabilities (note 5)</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7,428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9,910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rPr>
              <w:t>Deferred revenue (note 4)</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40" w:type="dxa"/>
            <w:vAlign w:val="bottom"/>
            <w:gridSpan w:val="12"/>
          </w:tcPr>
          <w:p>
            <w:pPr>
              <w:ind w:left="40"/>
              <w:spacing w:after="0"/>
              <w:rPr>
                <w:sz w:val="20"/>
                <w:szCs w:val="20"/>
                <w:color w:val="auto"/>
              </w:rPr>
            </w:pPr>
            <w:r>
              <w:rPr>
                <w:rFonts w:ascii="Arial" w:cs="Arial" w:eastAsia="Arial" w:hAnsi="Arial"/>
                <w:sz w:val="18"/>
                <w:szCs w:val="18"/>
                <w:color w:val="auto"/>
              </w:rPr>
              <w:t>Liability-classified options (note 2)</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(note 2)</w:t>
            </w: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10,871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10,585</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13"/>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 (note 4)</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13"/>
          </w:tcPr>
          <w:p>
            <w:pPr>
              <w:ind w:left="40"/>
              <w:spacing w:after="0"/>
              <w:rPr>
                <w:sz w:val="20"/>
                <w:szCs w:val="20"/>
                <w:color w:val="auto"/>
              </w:rPr>
            </w:pPr>
            <w:r>
              <w:rPr>
                <w:rFonts w:ascii="Arial" w:cs="Arial" w:eastAsia="Arial" w:hAnsi="Arial"/>
                <w:sz w:val="18"/>
                <w:szCs w:val="18"/>
                <w:color w:val="auto"/>
              </w:rPr>
              <w:t>Loan payable (notes 2 and 6)</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12,001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12,001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13"/>
            <w:shd w:val="clear" w:color="auto" w:fill="CCEEFF"/>
          </w:tcPr>
          <w:p>
            <w:pPr>
              <w:ind w:left="40"/>
              <w:spacing w:after="0"/>
              <w:rPr>
                <w:sz w:val="20"/>
                <w:szCs w:val="20"/>
                <w:color w:val="auto"/>
              </w:rPr>
            </w:pPr>
            <w:r>
              <w:rPr>
                <w:rFonts w:ascii="Arial" w:cs="Arial" w:eastAsia="Arial" w:hAnsi="Arial"/>
                <w:sz w:val="18"/>
                <w:szCs w:val="18"/>
                <w:color w:val="auto"/>
              </w:rPr>
              <w:t>Contingent consideration (note 7)</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9,065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41,263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41,263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79,042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72,914</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ectPr>
          <w:pgSz w:w="11900" w:h="16897" w:orient="portrait"/>
          <w:cols w:equalWidth="0" w:num="1">
            <w:col w:w="11420"/>
          </w:cols>
          <w:pgMar w:left="240" w:top="823"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2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Authorized - unlimited number with no par value</w:t>
            </w:r>
          </w:p>
        </w:tc>
        <w:tc>
          <w:tcPr>
            <w:tcW w:w="2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Issued and outstanding: 55,024,545</w:t>
            </w:r>
          </w:p>
        </w:tc>
        <w:tc>
          <w:tcPr>
            <w:tcW w:w="250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870,847</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(December 31, 2016 - 54,841,494)</w:t>
            </w:r>
          </w:p>
        </w:tc>
        <w:tc>
          <w:tcPr>
            <w:tcW w:w="2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867,393</w:t>
            </w:r>
          </w:p>
        </w:tc>
        <w:tc>
          <w:tcPr>
            <w:tcW w:w="0" w:type="dxa"/>
            <w:vAlign w:val="bottom"/>
          </w:tcPr>
          <w:p>
            <w:pPr>
              <w:spacing w:after="0"/>
              <w:rPr>
                <w:sz w:val="1"/>
                <w:szCs w:val="1"/>
                <w:color w:val="auto"/>
              </w:rPr>
            </w:pPr>
          </w:p>
        </w:tc>
      </w:tr>
      <w:tr>
        <w:trPr>
          <w:trHeight w:val="243"/>
        </w:trPr>
        <w:tc>
          <w:tcPr>
            <w:tcW w:w="57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25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37,809</w:t>
            </w:r>
          </w:p>
        </w:tc>
        <w:tc>
          <w:tcPr>
            <w:tcW w:w="6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36,543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Deficit</w:t>
            </w:r>
          </w:p>
        </w:tc>
        <w:tc>
          <w:tcPr>
            <w:tcW w:w="2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(669,776)</w:t>
            </w: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(651,149)</w:t>
            </w:r>
          </w:p>
        </w:tc>
        <w:tc>
          <w:tcPr>
            <w:tcW w:w="0" w:type="dxa"/>
            <w:vAlign w:val="bottom"/>
          </w:tcPr>
          <w:p>
            <w:pPr>
              <w:spacing w:after="0"/>
              <w:rPr>
                <w:sz w:val="1"/>
                <w:szCs w:val="1"/>
                <w:color w:val="auto"/>
              </w:rPr>
            </w:pPr>
          </w:p>
        </w:tc>
      </w:tr>
      <w:tr>
        <w:trPr>
          <w:trHeight w:val="243"/>
        </w:trPr>
        <w:tc>
          <w:tcPr>
            <w:tcW w:w="576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25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(49,782)</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(49,782)</w:t>
            </w:r>
          </w:p>
        </w:tc>
        <w:tc>
          <w:tcPr>
            <w:tcW w:w="0" w:type="dxa"/>
            <w:vAlign w:val="bottom"/>
          </w:tcPr>
          <w:p>
            <w:pPr>
              <w:spacing w:after="0"/>
              <w:rPr>
                <w:sz w:val="1"/>
                <w:szCs w:val="1"/>
                <w:color w:val="auto"/>
              </w:rPr>
            </w:pPr>
          </w:p>
        </w:tc>
      </w:tr>
      <w:tr>
        <w:trPr>
          <w:trHeight w:val="27"/>
        </w:trPr>
        <w:tc>
          <w:tcPr>
            <w:tcW w:w="57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5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189,098</w:t>
            </w:r>
          </w:p>
        </w:tc>
        <w:tc>
          <w:tcPr>
            <w:tcW w:w="6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203,005</w:t>
            </w:r>
          </w:p>
        </w:tc>
        <w:tc>
          <w:tcPr>
            <w:tcW w:w="0" w:type="dxa"/>
            <w:vAlign w:val="bottom"/>
          </w:tcPr>
          <w:p>
            <w:pPr>
              <w:spacing w:after="0"/>
              <w:rPr>
                <w:sz w:val="1"/>
                <w:szCs w:val="1"/>
                <w:color w:val="auto"/>
              </w:rPr>
            </w:pPr>
          </w:p>
        </w:tc>
      </w:tr>
      <w:tr>
        <w:trPr>
          <w:trHeight w:val="23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5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268,140</w:t>
            </w:r>
          </w:p>
        </w:tc>
        <w:tc>
          <w:tcPr>
            <w:tcW w:w="6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275,919</w:t>
            </w:r>
          </w:p>
        </w:tc>
        <w:tc>
          <w:tcPr>
            <w:tcW w:w="0" w:type="dxa"/>
            <w:vAlign w:val="bottom"/>
          </w:tcPr>
          <w:p>
            <w:pPr>
              <w:spacing w:after="0"/>
              <w:rPr>
                <w:sz w:val="1"/>
                <w:szCs w:val="1"/>
                <w:color w:val="auto"/>
              </w:rPr>
            </w:pPr>
          </w:p>
        </w:tc>
      </w:tr>
      <w:tr>
        <w:trPr>
          <w:trHeight w:val="34"/>
        </w:trPr>
        <w:tc>
          <w:tcPr>
            <w:tcW w:w="57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0"/>
                <w:szCs w:val="20"/>
                <w:color w:val="auto"/>
              </w:rPr>
            </w:pPr>
          </w:p>
        </w:tc>
      </w:tr>
      <w:tr>
        <w:trPr>
          <w:trHeight w:val="270"/>
        </w:trPr>
        <w:tc>
          <w:tcPr>
            <w:tcW w:w="59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3"/>
                <w:szCs w:val="23"/>
                <w:color w:val="auto"/>
              </w:rPr>
            </w:pPr>
          </w:p>
        </w:tc>
      </w:tr>
      <w:tr>
        <w:trPr>
          <w:trHeight w:val="27"/>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Revenue (note 4)</w:t>
            </w:r>
          </w:p>
        </w:tc>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Collaborations and contracts</w:t>
            </w:r>
          </w:p>
        </w:tc>
        <w:tc>
          <w:tcPr>
            <w:tcW w:w="2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w:t>
            </w:r>
          </w:p>
        </w:tc>
        <w:tc>
          <w:tcPr>
            <w:tcW w:w="8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2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217</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235</w:t>
            </w:r>
          </w:p>
        </w:tc>
        <w:tc>
          <w:tcPr>
            <w:tcW w:w="8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318"/>
        </w:trPr>
        <w:tc>
          <w:tcPr>
            <w:tcW w:w="594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2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13,872</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13,144</w:t>
            </w: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4,328</w:t>
            </w: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2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334</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18,534</w:t>
            </w:r>
          </w:p>
        </w:tc>
        <w:tc>
          <w:tcPr>
            <w:tcW w:w="8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20,580</w:t>
            </w:r>
          </w:p>
        </w:tc>
      </w:tr>
      <w:tr>
        <w:trPr>
          <w:trHeight w:val="318"/>
        </w:trPr>
        <w:tc>
          <w:tcPr>
            <w:tcW w:w="594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(18,299)</w:t>
            </w: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(19,977)</w:t>
            </w:r>
          </w:p>
        </w:tc>
      </w:tr>
      <w:tr>
        <w:trPr>
          <w:trHeight w:val="324"/>
        </w:trPr>
        <w:tc>
          <w:tcPr>
            <w:tcW w:w="5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368</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Foreign exchange gains (losses)</w:t>
            </w:r>
          </w:p>
        </w:tc>
        <w:tc>
          <w:tcPr>
            <w:tcW w:w="2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427</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2,942</w:t>
            </w: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financial instrument (note 4)</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Decrease in fair value of warrant liability (note 2)</w:t>
            </w:r>
          </w:p>
        </w:tc>
        <w:tc>
          <w:tcPr>
            <w:tcW w:w="2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8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contingent consideration (note 7)</w:t>
            </w:r>
          </w:p>
        </w:tc>
        <w:tc>
          <w:tcPr>
            <w:tcW w:w="2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(1,059)</w:t>
            </w:r>
          </w:p>
        </w:tc>
        <w:tc>
          <w:tcPr>
            <w:tcW w:w="8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(328)</w:t>
            </w:r>
          </w:p>
        </w:tc>
        <w:tc>
          <w:tcPr>
            <w:tcW w:w="8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4,103</w:t>
            </w:r>
          </w:p>
        </w:tc>
      </w:tr>
      <w:tr>
        <w:trPr>
          <w:trHeight w:val="27"/>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5940" w:type="dxa"/>
            <w:vAlign w:val="bottom"/>
            <w:tcBorders>
              <w:bottom w:val="single" w:sz="8" w:color="auto"/>
            </w:tcBorders>
            <w:shd w:val="clear" w:color="auto" w:fill="CCEEFF"/>
          </w:tcPr>
          <w:p>
            <w:pPr>
              <w:spacing w:after="0"/>
              <w:rPr>
                <w:sz w:val="24"/>
                <w:szCs w:val="24"/>
                <w:color w:val="auto"/>
              </w:rPr>
            </w:pPr>
          </w:p>
        </w:tc>
        <w:tc>
          <w:tcPr>
            <w:tcW w:w="2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(18,627)</w:t>
            </w:r>
          </w:p>
        </w:tc>
        <w:tc>
          <w:tcPr>
            <w:tcW w:w="8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(15,874)</w:t>
            </w:r>
          </w:p>
        </w:tc>
      </w:tr>
      <w:tr>
        <w:trPr>
          <w:trHeight w:val="34"/>
        </w:trPr>
        <w:tc>
          <w:tcPr>
            <w:tcW w:w="59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24"/>
        </w:trPr>
        <w:tc>
          <w:tcPr>
            <w:tcW w:w="59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Loss per common share</w:t>
            </w:r>
          </w:p>
        </w:tc>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and diluted</w:t>
            </w:r>
          </w:p>
        </w:tc>
        <w:tc>
          <w:tcPr>
            <w:tcW w:w="2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(0.34)</w:t>
            </w:r>
          </w:p>
        </w:tc>
        <w:tc>
          <w:tcPr>
            <w:tcW w:w="8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and diluted</w:t>
            </w:r>
          </w:p>
        </w:tc>
        <w:tc>
          <w:tcPr>
            <w:tcW w:w="2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54,307,464</w:t>
            </w:r>
          </w:p>
        </w:tc>
        <w:tc>
          <w:tcPr>
            <w:tcW w:w="8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51,400,485</w:t>
            </w:r>
          </w:p>
        </w:tc>
      </w:tr>
      <w:tr>
        <w:trPr>
          <w:trHeight w:val="27"/>
        </w:trPr>
        <w:tc>
          <w:tcPr>
            <w:tcW w:w="59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color w:val="auto"/>
                <w:w w:val="92"/>
              </w:rPr>
              <w:t>Accumulated other</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Total</w:t>
            </w:r>
          </w:p>
        </w:tc>
      </w:tr>
      <w:tr>
        <w:trPr>
          <w:trHeight w:val="203"/>
        </w:trPr>
        <w:tc>
          <w:tcPr>
            <w:tcW w:w="298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Number</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Share</w:t>
            </w:r>
          </w:p>
        </w:tc>
        <w:tc>
          <w:tcPr>
            <w:tcW w:w="2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w w:val="97"/>
              </w:rPr>
              <w:t>Additional paid-in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0"/>
              </w:rPr>
              <w:t>comprehensive</w:t>
            </w:r>
          </w:p>
        </w:tc>
        <w:tc>
          <w:tcPr>
            <w:tcW w:w="26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color w:val="auto"/>
                <w:w w:val="96"/>
              </w:rPr>
              <w:t>stockholders'</w:t>
            </w:r>
          </w:p>
        </w:tc>
      </w:tr>
      <w:tr>
        <w:trPr>
          <w:trHeight w:val="206"/>
        </w:trPr>
        <w:tc>
          <w:tcPr>
            <w:tcW w:w="298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of shares</w:t>
            </w:r>
          </w:p>
        </w:tc>
        <w:tc>
          <w:tcPr>
            <w:tcW w:w="34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capital</w:t>
            </w:r>
          </w:p>
        </w:tc>
        <w:tc>
          <w:tcPr>
            <w:tcW w:w="24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capital</w:t>
            </w:r>
          </w:p>
        </w:tc>
        <w:tc>
          <w:tcPr>
            <w:tcW w:w="30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Deficit</w:t>
            </w: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color w:val="auto"/>
                <w:w w:val="84"/>
              </w:rPr>
              <w:t>loss</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equity</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54,841,494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867,393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36,543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(651,149)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203,005</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2,953</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1,475</w:t>
            </w:r>
          </w:p>
        </w:tc>
        <w:tc>
          <w:tcPr>
            <w:tcW w:w="30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4,428</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Certain fair value adjustments to liability</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 awards (note 2)</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980" w:type="dxa"/>
            <w:vAlign w:val="bottom"/>
          </w:tcPr>
          <w:p>
            <w:pPr>
              <w:ind w:left="200"/>
              <w:spacing w:after="0"/>
              <w:rPr>
                <w:sz w:val="20"/>
                <w:szCs w:val="20"/>
                <w:color w:val="auto"/>
              </w:rPr>
            </w:pPr>
            <w:r>
              <w:rPr>
                <w:rFonts w:ascii="Arial" w:cs="Arial" w:eastAsia="Arial" w:hAnsi="Arial"/>
                <w:sz w:val="16"/>
                <w:szCs w:val="16"/>
                <w:color w:val="auto"/>
              </w:rPr>
              <w:t>pursuant to exercise of options</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4,051</w:t>
            </w:r>
          </w:p>
        </w:tc>
        <w:tc>
          <w:tcPr>
            <w:tcW w:w="3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pursuant to exercise of warrants</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179,000</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(18,627)</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(18,627)</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2017</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55,024,545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870,847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37,809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(669,776)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189,098</w:t>
            </w:r>
          </w:p>
        </w:tc>
      </w:tr>
      <w:tr>
        <w:trPr>
          <w:trHeight w:val="27"/>
        </w:trPr>
        <w:tc>
          <w:tcPr>
            <w:tcW w:w="2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801"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 months ended</w:t>
      </w:r>
    </w:p>
    <w:p>
      <w:pPr>
        <w:spacing w:after="0" w:line="73"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47"/>
        </w:trPr>
        <w:tc>
          <w:tcPr>
            <w:tcW w:w="596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for the period</w:t>
            </w:r>
          </w:p>
        </w:tc>
        <w:tc>
          <w:tcPr>
            <w:tcW w:w="2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(18,627)</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(15,874)</w:t>
            </w:r>
          </w:p>
        </w:tc>
        <w:tc>
          <w:tcPr>
            <w:tcW w:w="0" w:type="dxa"/>
            <w:vAlign w:val="bottom"/>
          </w:tcPr>
          <w:p>
            <w:pPr>
              <w:spacing w:after="0"/>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Items not involving cash:</w:t>
            </w:r>
          </w:p>
        </w:tc>
        <w:tc>
          <w:tcPr>
            <w:tcW w:w="2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Depreciation of property and equipment</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20"/>
        </w:trPr>
        <w:tc>
          <w:tcPr>
            <w:tcW w:w="5960" w:type="dxa"/>
            <w:vAlign w:val="bottom"/>
          </w:tcPr>
          <w:p>
            <w:pPr>
              <w:ind w:left="80"/>
              <w:spacing w:after="0"/>
              <w:rPr>
                <w:sz w:val="20"/>
                <w:szCs w:val="20"/>
                <w:color w:val="auto"/>
              </w:rPr>
            </w:pPr>
            <w:r>
              <w:rPr>
                <w:rFonts w:ascii="Arial" w:cs="Arial" w:eastAsia="Arial" w:hAnsi="Arial"/>
                <w:sz w:val="16"/>
                <w:szCs w:val="16"/>
                <w:color w:val="auto"/>
              </w:rPr>
              <w:t>Stock-based compensation - research, development,</w:t>
            </w:r>
          </w:p>
        </w:tc>
        <w:tc>
          <w:tcPr>
            <w:tcW w:w="2860" w:type="dxa"/>
            <w:vAlign w:val="bottom"/>
          </w:tcPr>
          <w:p>
            <w:pPr>
              <w:spacing w:after="0"/>
              <w:rPr>
                <w:sz w:val="19"/>
                <w:szCs w:val="19"/>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2,622</w:t>
            </w: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120"/>
              <w:spacing w:after="0"/>
              <w:rPr>
                <w:sz w:val="20"/>
                <w:szCs w:val="20"/>
                <w:color w:val="auto"/>
              </w:rPr>
            </w:pPr>
            <w:r>
              <w:rPr>
                <w:rFonts w:ascii="Arial" w:cs="Arial" w:eastAsia="Arial" w:hAnsi="Arial"/>
                <w:sz w:val="16"/>
                <w:szCs w:val="16"/>
                <w:color w:val="auto"/>
              </w:rPr>
              <w:t>collaborations and contract expenses</w:t>
            </w:r>
          </w:p>
        </w:tc>
        <w:tc>
          <w:tcPr>
            <w:tcW w:w="28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compensation - general and administrative</w:t>
            </w:r>
          </w:p>
        </w:tc>
        <w:tc>
          <w:tcPr>
            <w:tcW w:w="286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1,881</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28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r>
        <w:trPr>
          <w:trHeight w:val="237"/>
        </w:trPr>
        <w:tc>
          <w:tcPr>
            <w:tcW w:w="5960" w:type="dxa"/>
            <w:vAlign w:val="bottom"/>
          </w:tcPr>
          <w:p>
            <w:pPr>
              <w:ind w:left="80"/>
              <w:spacing w:after="0"/>
              <w:rPr>
                <w:sz w:val="20"/>
                <w:szCs w:val="20"/>
                <w:color w:val="auto"/>
              </w:rPr>
            </w:pPr>
            <w:r>
              <w:rPr>
                <w:rFonts w:ascii="Arial" w:cs="Arial" w:eastAsia="Arial" w:hAnsi="Arial"/>
                <w:sz w:val="16"/>
                <w:szCs w:val="16"/>
                <w:color w:val="auto"/>
              </w:rPr>
              <w:t>Unrealized foreign exchange (gains) losses</w:t>
            </w:r>
          </w:p>
        </w:tc>
        <w:tc>
          <w:tcPr>
            <w:tcW w:w="28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(425)</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Change in fair value of warrant liability</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5960" w:type="dxa"/>
            <w:vAlign w:val="bottom"/>
          </w:tcPr>
          <w:p>
            <w:pPr>
              <w:ind w:left="80"/>
              <w:spacing w:after="0"/>
              <w:rPr>
                <w:sz w:val="20"/>
                <w:szCs w:val="20"/>
                <w:color w:val="auto"/>
              </w:rPr>
            </w:pPr>
            <w:r>
              <w:rPr>
                <w:rFonts w:ascii="Arial" w:cs="Arial" w:eastAsia="Arial" w:hAnsi="Arial"/>
                <w:sz w:val="16"/>
                <w:szCs w:val="16"/>
                <w:color w:val="auto"/>
              </w:rPr>
              <w:t>Change in fair value of contingent consideration</w:t>
            </w:r>
          </w:p>
        </w:tc>
        <w:tc>
          <w:tcPr>
            <w:tcW w:w="28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1,059</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non-cash operating items:</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Accounts receivable</w:t>
            </w:r>
          </w:p>
        </w:tc>
        <w:tc>
          <w:tcPr>
            <w:tcW w:w="28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(7,605)</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Investment tax credits receivable</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80"/>
              <w:spacing w:after="0"/>
              <w:rPr>
                <w:sz w:val="20"/>
                <w:szCs w:val="20"/>
                <w:color w:val="auto"/>
              </w:rPr>
            </w:pPr>
            <w:r>
              <w:rPr>
                <w:rFonts w:ascii="Arial" w:cs="Arial" w:eastAsia="Arial" w:hAnsi="Arial"/>
                <w:sz w:val="16"/>
                <w:szCs w:val="16"/>
                <w:color w:val="auto"/>
              </w:rPr>
              <w:t>Prepaid expenses and other assets</w:t>
            </w:r>
          </w:p>
        </w:tc>
        <w:tc>
          <w:tcPr>
            <w:tcW w:w="28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(264)</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Accounts payable and accrued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(3,909)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37"/>
        </w:trPr>
        <w:tc>
          <w:tcPr>
            <w:tcW w:w="596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28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7,392</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28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(17,535)</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(11,546)</w:t>
            </w:r>
          </w:p>
        </w:tc>
        <w:tc>
          <w:tcPr>
            <w:tcW w:w="0" w:type="dxa"/>
            <w:vAlign w:val="bottom"/>
          </w:tcPr>
          <w:p>
            <w:pPr>
              <w:spacing w:after="0"/>
              <w:rPr>
                <w:sz w:val="1"/>
                <w:szCs w:val="1"/>
                <w:color w:val="auto"/>
              </w:rPr>
            </w:pPr>
          </w:p>
        </w:tc>
      </w:tr>
      <w:tr>
        <w:trPr>
          <w:trHeight w:val="21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Disposition (acquisition) of short and long-term investments, net</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26,618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Acquisition of property and equipment</w:t>
            </w:r>
          </w:p>
        </w:tc>
        <w:tc>
          <w:tcPr>
            <w:tcW w:w="28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(3,423)</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8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23,195</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1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exercise of options</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Issuance of common shares pursuant to exercise of warrants</w:t>
            </w:r>
          </w:p>
        </w:tc>
        <w:tc>
          <w:tcPr>
            <w:tcW w:w="28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353</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28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354</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Effect of foreign exchange rate changes on cash and</w:t>
            </w:r>
          </w:p>
        </w:tc>
        <w:tc>
          <w:tcPr>
            <w:tcW w:w="2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rPr>
              <w:t>424</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8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6,438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(22,007)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8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23,413</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166,779</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29,851</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144,772</w:t>
            </w:r>
          </w:p>
        </w:tc>
        <w:tc>
          <w:tcPr>
            <w:tcW w:w="0" w:type="dxa"/>
            <w:vAlign w:val="bottom"/>
          </w:tcPr>
          <w:p>
            <w:pPr>
              <w:spacing w:after="0"/>
              <w:rPr>
                <w:sz w:val="1"/>
                <w:szCs w:val="1"/>
                <w:color w:val="auto"/>
              </w:rPr>
            </w:pPr>
          </w:p>
        </w:tc>
      </w:tr>
      <w:tr>
        <w:trPr>
          <w:trHeight w:val="21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2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Acquired property and equipment in trade payables</w:t>
            </w:r>
          </w:p>
        </w:tc>
        <w:tc>
          <w:tcPr>
            <w:tcW w:w="28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1,427</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31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The Company's portfolio of assets includes a broad pipeline of drug candidates to develop a cure for HBV and leverages the Company’s expertise in Lipid Nanoparticle ("LNP") technology.</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2016 and included in the Company’s 2016 annual report on Form 10-K. The unaudited condensed consolidated financial statements reflect, in the opinion of management, all adjustments and reclassifications necessary to present fairly the financial position, results of operations and cash flows at March 31, 2017 and for all periods presented. The results of operations for the three months ended March 31, 2017 and March 31, 2016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2016, except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two wholly-owned subsidiaries, Arbutus Biopharma Inc. ("Arbutus Inc.") and Protiva Biotherapeutics Inc. ("Protiva"). All intercompany transactions and balances have been eliminated on consolidation.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Arbutus Inc. and Protiva, the Company's former wholly-owned subsidiary, Protiva Agricultural Development Company Inc. ("PADCo"), was previously recorded by the Company using the equity method. On March 4, 2016, Monsanto exercised its option to acquire 100% of the outstanding shares of PADCo, as described in note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three months ended March 31, 2017, potential common shares of 5,961,443 (March 31, 2016 – 7,371,193) were excluded from the calculation of loss per common share because their inclusion would be anti-dilutive, of which 453,176 (March 31, 2016 - 3,021,180) relates to shares issued subject to repurchase provisions as part of consideration paid for the acquisition of Arbutus Inc.</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60" w:hanging="486"/>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in thousands,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4"/>
              </w:rPr>
              <w:t>March 31, 2017</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29,851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29,851</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80,528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122,980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10,124</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10,943</w:t>
            </w:r>
          </w:p>
        </w:tc>
      </w:tr>
      <w:tr>
        <w:trPr>
          <w:trHeight w:val="351"/>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2"/>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23,413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23,413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107,146</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143,160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9,065</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9,725</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w w:val="99"/>
              </w:rPr>
              <w:t>Liability at beginning of</w:t>
            </w:r>
          </w:p>
        </w:tc>
        <w:tc>
          <w:tcPr>
            <w:tcW w:w="200" w:type="dxa"/>
            <w:vAlign w:val="bottom"/>
          </w:tcPr>
          <w:p>
            <w:pPr>
              <w:spacing w:after="0"/>
              <w:rPr>
                <w:sz w:val="18"/>
                <w:szCs w:val="18"/>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91"/>
              </w:rPr>
              <w:t>Fair value of warrants</w:t>
            </w:r>
          </w:p>
        </w:tc>
        <w:tc>
          <w:tcPr>
            <w:tcW w:w="18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Increase (decrease) in</w:t>
            </w:r>
          </w:p>
        </w:tc>
        <w:tc>
          <w:tcPr>
            <w:tcW w:w="220" w:type="dxa"/>
            <w:vAlign w:val="bottom"/>
          </w:tcPr>
          <w:p>
            <w:pPr>
              <w:spacing w:after="0"/>
              <w:rPr>
                <w:sz w:val="18"/>
                <w:szCs w:val="18"/>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4"/>
              </w:rPr>
              <w:t>Liability at end of the</w:t>
            </w:r>
          </w:p>
        </w:tc>
      </w:tr>
      <w:tr>
        <w:trPr>
          <w:trHeight w:val="230"/>
        </w:trPr>
        <w:tc>
          <w:tcPr>
            <w:tcW w:w="3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the period</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0"/>
              </w:rPr>
              <w:t>exercised in the period</w:t>
            </w:r>
          </w:p>
        </w:tc>
        <w:tc>
          <w:tcPr>
            <w:tcW w:w="18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fair value of warrants</w:t>
            </w:r>
          </w:p>
        </w:tc>
        <w:tc>
          <w:tcPr>
            <w:tcW w:w="2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91"/>
              </w:rPr>
              <w:t>period</w:t>
            </w:r>
          </w:p>
        </w:tc>
      </w:tr>
      <w:tr>
        <w:trPr>
          <w:trHeight w:val="27"/>
        </w:trPr>
        <w:tc>
          <w:tcPr>
            <w:tcW w:w="3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0"/>
        </w:trPr>
        <w:tc>
          <w:tcPr>
            <w:tcW w:w="3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months ended March 31, 2017, there were 179,000 warrants exercised for $353,000 in cash (March 31, 2016 - nil) and no warrants were exercised using the cashless exercise provision (March 31, 2016 - nil). On March 1, 2017, 22,000 of the Company's warrants expired, resulting in a nil liability balance for the period-ended March 31, 2017. The change in fair value of warrant liability for the three months ended March 31, 2017 is recorded in the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520" w:type="dxa"/>
            <w:vAlign w:val="bottom"/>
            <w:gridSpan w:val="2"/>
          </w:tcPr>
          <w:p>
            <w:pPr>
              <w:jc w:val="center"/>
              <w:ind w:left="1210"/>
              <w:spacing w:after="0"/>
              <w:rPr>
                <w:sz w:val="20"/>
                <w:szCs w:val="20"/>
                <w:color w:val="auto"/>
              </w:rPr>
            </w:pPr>
            <w:r>
              <w:rPr>
                <w:rFonts w:ascii="Arial" w:cs="Arial" w:eastAsia="Arial" w:hAnsi="Arial"/>
                <w:sz w:val="18"/>
                <w:szCs w:val="18"/>
                <w:color w:val="auto"/>
                <w:w w:val="94"/>
              </w:rPr>
              <w:t>Liability at beginning of the</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88"/>
              </w:rPr>
              <w:t>Increase (decrease) in fair</w:t>
            </w:r>
          </w:p>
        </w:tc>
        <w:tc>
          <w:tcPr>
            <w:tcW w:w="2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5"/>
              </w:rPr>
              <w:t>Liability at end</w:t>
            </w:r>
          </w:p>
        </w:tc>
      </w:tr>
      <w:tr>
        <w:trPr>
          <w:trHeight w:val="230"/>
        </w:trPr>
        <w:tc>
          <w:tcPr>
            <w:tcW w:w="4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00" w:type="dxa"/>
            <w:vAlign w:val="bottom"/>
          </w:tcPr>
          <w:p>
            <w:pPr>
              <w:jc w:val="center"/>
              <w:ind w:right="430"/>
              <w:spacing w:after="0"/>
              <w:rPr>
                <w:sz w:val="20"/>
                <w:szCs w:val="20"/>
                <w:color w:val="auto"/>
              </w:rPr>
            </w:pPr>
            <w:r>
              <w:rPr>
                <w:rFonts w:ascii="Arial" w:cs="Arial" w:eastAsia="Arial" w:hAnsi="Arial"/>
                <w:sz w:val="18"/>
                <w:szCs w:val="18"/>
                <w:color w:val="auto"/>
                <w:w w:val="91"/>
              </w:rPr>
              <w:t>period</w:t>
            </w:r>
          </w:p>
        </w:tc>
        <w:tc>
          <w:tcPr>
            <w:tcW w:w="36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6"/>
              </w:rPr>
              <w:t>value of liability</w:t>
            </w:r>
          </w:p>
        </w:tc>
        <w:tc>
          <w:tcPr>
            <w:tcW w:w="26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1"/>
              </w:rPr>
              <w:t>of the period</w:t>
            </w:r>
          </w:p>
        </w:tc>
      </w:tr>
      <w:tr>
        <w:trPr>
          <w:trHeight w:val="27"/>
        </w:trPr>
        <w:tc>
          <w:tcPr>
            <w:tcW w:w="4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0"/>
        </w:trPr>
        <w:tc>
          <w:tcPr>
            <w:tcW w:w="40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jc w:val="center"/>
              <w:ind w:right="90"/>
              <w:spacing w:after="0"/>
              <w:rPr>
                <w:sz w:val="20"/>
                <w:szCs w:val="20"/>
                <w:color w:val="auto"/>
              </w:rPr>
            </w:pPr>
            <w:r>
              <w:rPr>
                <w:rFonts w:ascii="Arial" w:cs="Arial" w:eastAsia="Arial" w:hAnsi="Arial"/>
                <w:sz w:val="18"/>
                <w:szCs w:val="18"/>
                <w:color w:val="auto"/>
                <w:w w:val="94"/>
              </w:rPr>
              <w:t>Liability at beginning of the</w:t>
            </w:r>
          </w:p>
        </w:tc>
        <w:tc>
          <w:tcPr>
            <w:tcW w:w="320" w:type="dxa"/>
            <w:vAlign w:val="bottom"/>
          </w:tcPr>
          <w:p>
            <w:pPr>
              <w:spacing w:after="0"/>
              <w:rPr>
                <w:sz w:val="18"/>
                <w:szCs w:val="18"/>
                <w:color w:val="auto"/>
              </w:rPr>
            </w:pPr>
          </w:p>
        </w:tc>
        <w:tc>
          <w:tcPr>
            <w:tcW w:w="2980" w:type="dxa"/>
            <w:vAlign w:val="bottom"/>
          </w:tcPr>
          <w:p>
            <w:pPr>
              <w:jc w:val="center"/>
              <w:ind w:right="150"/>
              <w:spacing w:after="0"/>
              <w:rPr>
                <w:sz w:val="20"/>
                <w:szCs w:val="20"/>
                <w:color w:val="auto"/>
              </w:rPr>
            </w:pPr>
            <w:r>
              <w:rPr>
                <w:rFonts w:ascii="Arial" w:cs="Arial" w:eastAsia="Arial" w:hAnsi="Arial"/>
                <w:sz w:val="18"/>
                <w:szCs w:val="18"/>
                <w:color w:val="auto"/>
                <w:w w:val="91"/>
              </w:rPr>
              <w:t>Increase in fair value of Contingent</w:t>
            </w:r>
          </w:p>
        </w:tc>
        <w:tc>
          <w:tcPr>
            <w:tcW w:w="340" w:type="dxa"/>
            <w:vAlign w:val="bottom"/>
          </w:tcPr>
          <w:p>
            <w:pPr>
              <w:spacing w:after="0"/>
              <w:rPr>
                <w:sz w:val="18"/>
                <w:szCs w:val="18"/>
                <w:color w:val="auto"/>
              </w:rPr>
            </w:pPr>
          </w:p>
        </w:tc>
        <w:tc>
          <w:tcPr>
            <w:tcW w:w="2600" w:type="dxa"/>
            <w:vAlign w:val="bottom"/>
          </w:tcPr>
          <w:p>
            <w:pPr>
              <w:jc w:val="right"/>
              <w:ind w:right="310"/>
              <w:spacing w:after="0"/>
              <w:rPr>
                <w:sz w:val="20"/>
                <w:szCs w:val="20"/>
                <w:color w:val="auto"/>
              </w:rPr>
            </w:pPr>
            <w:r>
              <w:rPr>
                <w:rFonts w:ascii="Arial" w:cs="Arial" w:eastAsia="Arial" w:hAnsi="Arial"/>
                <w:sz w:val="18"/>
                <w:szCs w:val="18"/>
                <w:color w:val="auto"/>
                <w:w w:val="99"/>
              </w:rPr>
              <w:t>Liability at end of the period</w:t>
            </w:r>
          </w:p>
        </w:tc>
      </w:tr>
      <w:tr>
        <w:trPr>
          <w:trHeight w:val="230"/>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jc w:val="center"/>
              <w:ind w:right="90"/>
              <w:spacing w:after="0"/>
              <w:rPr>
                <w:sz w:val="20"/>
                <w:szCs w:val="20"/>
                <w:color w:val="auto"/>
              </w:rPr>
            </w:pPr>
            <w:r>
              <w:rPr>
                <w:rFonts w:ascii="Arial" w:cs="Arial" w:eastAsia="Arial" w:hAnsi="Arial"/>
                <w:sz w:val="18"/>
                <w:szCs w:val="18"/>
                <w:color w:val="auto"/>
                <w:w w:val="91"/>
              </w:rPr>
              <w:t>period</w:t>
            </w:r>
          </w:p>
        </w:tc>
        <w:tc>
          <w:tcPr>
            <w:tcW w:w="320" w:type="dxa"/>
            <w:vAlign w:val="bottom"/>
          </w:tcPr>
          <w:p>
            <w:pPr>
              <w:spacing w:after="0"/>
              <w:rPr>
                <w:sz w:val="20"/>
                <w:szCs w:val="20"/>
                <w:color w:val="auto"/>
              </w:rPr>
            </w:pPr>
          </w:p>
        </w:tc>
        <w:tc>
          <w:tcPr>
            <w:tcW w:w="2980" w:type="dxa"/>
            <w:vAlign w:val="bottom"/>
          </w:tcPr>
          <w:p>
            <w:pPr>
              <w:jc w:val="center"/>
              <w:ind w:right="150"/>
              <w:spacing w:after="0"/>
              <w:rPr>
                <w:sz w:val="20"/>
                <w:szCs w:val="20"/>
                <w:color w:val="auto"/>
              </w:rPr>
            </w:pPr>
            <w:r>
              <w:rPr>
                <w:rFonts w:ascii="Arial" w:cs="Arial" w:eastAsia="Arial" w:hAnsi="Arial"/>
                <w:sz w:val="18"/>
                <w:szCs w:val="18"/>
                <w:color w:val="auto"/>
                <w:w w:val="91"/>
              </w:rPr>
              <w:t>Consideration</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Three months ended March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10,124</w:t>
            </w: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earns revenue from research and development collaboration and contract services, licensing fees, milestone and royalty payments. In arrangements with multiple deliverables, the delivered item or items is considered a separate unit of accounting if: (1) the delivered item has value to the customer on a standalone basis; and (2) if the arrangement includes a general right of return relative to the delivered item, delivery or performance of the undelivered item is considered probable and substantially in the Company's control. If the elements of the arrangement do not meet both of the criteria above, they are recognized as a single unit of accounting. If the elements do meet the criteria above, arrangement consideration is allocated to the separate units of accounting based upon their relative selling price. Non-refundable payments received under collaborative research and development agreements are recorded as revenue as services are performed and related expenditures are incurred. Non-refundable upfront license fees from collaborative licensing and development arrangements are recognized as the Company fulfills its obligations related to the various elements within the agreements, in accordance with the contractual arrangements with third parties and the term over which the underlying benefit is being conferred. If non-refundable license fees have values to the customer on a standalone basis, separate from undelivered performance obligations, they are recognized upon delivery. To date, the Company has not recognized any non-refundable license fees upon delivery.</w:t>
      </w:r>
    </w:p>
    <w:p>
      <w:pPr>
        <w:spacing w:after="0" w:line="1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evaluates new arrangements for any substantive milestones by considering: whether substantive uncertainty exists upon execution of the arrangement; if the event can only be achieved based in whole or in part on the Company’s performance, or occurrence of a specific outcome resulting from the Company’s performance; any future performance required, and payment is reasonable relative to all deliverables; and, the payment terms in the arrangement. Payments received upon the achievement of substantive milestones are recognized as revenue in their entirety. Payments received upon the occurrence of milestones that are non-substantive are deferred and recognized as revenue over the estimated period of performance applicable to the associated collaborative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Revenue earned under research and development manufacturing collaborations where the Company bears some or all of the risk of a product manufacturing failure is recognized when the purchaser accepts the product and there are no remaining rights of return.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earned under research and development collaborations where the Company does not bear any risk of product manufacturing failure is recognized in the period the work is performed. For contracts where the manufacturing amount is specified, revenue is recognized as product is manufactured in proportion to the total amount specified under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the Company means January 1, 2018. The Company has begun its evaluation on the timing and method of adoption, as well as the expected impact that the standard could have on its consolidated financial statements and related disclosures.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Early adoption is permitted. The amendments in this update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currently evaluating the extent of the impact of this adoption.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1" w:name="page12"/>
    <w:bookmarkEnd w:id="11"/>
    <w:p>
      <w:pPr>
        <w:ind w:right="20"/>
        <w:spacing w:after="0" w:line="290" w:lineRule="auto"/>
        <w:rPr>
          <w:sz w:val="20"/>
          <w:szCs w:val="20"/>
          <w:color w:val="auto"/>
        </w:rPr>
      </w:pPr>
      <w:r>
        <w:rPr>
          <w:rFonts w:ascii="Arial" w:cs="Arial" w:eastAsia="Arial" w:hAnsi="Arial"/>
          <w:sz w:val="16"/>
          <w:szCs w:val="16"/>
          <w:color w:val="auto"/>
        </w:rPr>
        <w:t>In November 2016, the FASB issued ASU 2016-18, Statement of Cash Flows (Topic 230): Statement of Cash Flows: Restricted Cash. The update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which for the Company means January 1, 2018. Early adoption is permitted, including adoption in an interim period. If an entity early adopts the amendments in an interim period, any adjustments should be reflected as of the beginning of the fiscal year that included that interim period. The amendments in this update should be applied using a retrospective transition method to each period presented. The Company is currently evaluating the extent of the impact of this adoption.</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update simplifies the subsequent measurement of goodwill by eliminating Step 2 from the goodwill impairment test. In computing the implied fair value of goodwill under Step 2, an entity had to perform procedures to determine the fair value at impairment testing date of its assets and liabilities following the procedure that would be required in determining the fair value of assets required and liabilities assumed in a business combination. Instead, under the amendments in this update, an entity should perform its annual, or interim, goodwill impairment test by comparing the fair value of a reporting unit with its carrying amount. The amendments in this update are effective for public business entities should be adopted for its annual or any interim goodwill impairment tests in fiscal years beginning after December 15, 2019, which for the Company means January 1, 2020. Early adoption is permitted for interim or annual goodwill impairment tests performed on testing dates after January 1, 2017. The Company is currently evaluating the extent of the impact of this adoption.</w:t>
      </w:r>
    </w:p>
    <w:p>
      <w:pPr>
        <w:spacing w:after="0" w:line="162"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values of the intangible assets as at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March 31, 2017</w:t>
            </w:r>
          </w:p>
        </w:tc>
        <w:tc>
          <w:tcPr>
            <w:tcW w:w="40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34"/>
        </w:trPr>
        <w:tc>
          <w:tcPr>
            <w:tcW w:w="4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2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40,798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29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14,811</w:t>
            </w:r>
          </w:p>
        </w:tc>
        <w:tc>
          <w:tcPr>
            <w:tcW w:w="4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14,811</w:t>
            </w:r>
          </w:p>
        </w:tc>
      </w:tr>
      <w:tr>
        <w:trPr>
          <w:trHeight w:val="27"/>
        </w:trPr>
        <w:tc>
          <w:tcPr>
            <w:tcW w:w="46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29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4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43,836</w:t>
            </w:r>
          </w:p>
        </w:tc>
      </w:tr>
      <w:tr>
        <w:trPr>
          <w:trHeight w:val="237"/>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IPR&amp;D</w:t>
            </w:r>
          </w:p>
        </w:tc>
        <w:tc>
          <w:tcPr>
            <w:tcW w:w="2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99,445</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99,445</w:t>
            </w:r>
          </w:p>
        </w:tc>
      </w:tr>
      <w:tr>
        <w:trPr>
          <w:trHeight w:val="34"/>
        </w:trPr>
        <w:tc>
          <w:tcPr>
            <w:tcW w:w="4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evaluation of goodwill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31, 2017, the Company did not identify any new indicators of impairment. No impairment charge on intangible assets or goodwill was recorded for the period ended March 31, 2017 (2016 - nil).</w:t>
      </w:r>
    </w:p>
    <w:p>
      <w:pPr>
        <w:spacing w:after="0" w:line="166"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 in thousands: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6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Alexion (a)</w:t>
            </w: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(c)</w:t>
            </w:r>
          </w:p>
        </w:tc>
        <w:tc>
          <w:tcPr>
            <w:tcW w:w="19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6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research and development collaborations and contracts</w:t>
            </w:r>
          </w:p>
        </w:tc>
        <w:tc>
          <w:tcPr>
            <w:tcW w:w="19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6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Licensing fees, milestone and royalty payments</w:t>
            </w:r>
          </w:p>
        </w:tc>
        <w:tc>
          <w:tcPr>
            <w:tcW w:w="1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Alexion licensing fee (a)</w:t>
            </w:r>
          </w:p>
        </w:tc>
        <w:tc>
          <w:tcPr>
            <w:tcW w:w="19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 (c)</w:t>
            </w:r>
          </w:p>
        </w:tc>
        <w:tc>
          <w:tcPr>
            <w:tcW w:w="1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Other milestone and royalty payments (e)</w:t>
            </w:r>
          </w:p>
        </w:tc>
        <w:tc>
          <w:tcPr>
            <w:tcW w:w="19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6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licensing fees, milestone and royalty payments</w:t>
            </w:r>
          </w:p>
        </w:tc>
        <w:tc>
          <w:tcPr>
            <w:tcW w:w="1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34"/>
        </w:trPr>
        <w:tc>
          <w:tcPr>
            <w:tcW w:w="6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2"/>
        </w:trPr>
        <w:tc>
          <w:tcPr>
            <w:tcW w:w="6600" w:type="dxa"/>
            <w:vAlign w:val="bottom"/>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66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22"/>
        </w:trPr>
        <w:tc>
          <w:tcPr>
            <w:tcW w:w="6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2017</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6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6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 current portion (a)</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DoD (b)</w:t>
            </w:r>
          </w:p>
        </w:tc>
        <w:tc>
          <w:tcPr>
            <w:tcW w:w="1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1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Alexion long-term portion (a)</w:t>
            </w:r>
          </w:p>
        </w:tc>
        <w:tc>
          <w:tcPr>
            <w:tcW w:w="190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6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60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Alexion Pharmaceuticals, Inc. ("Alexion")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16, 2017, the Company signed a license agreement with Alexion that entitles Alexion to research, develop, manufacture, and commercialize products with the Company's LNP technology in their single orphan disease target. In consideration for the rights granted under the agreement, the Company is entitled to receive a $7,500,000 non-refundable upfront cash payment. The Company is also entitled to receive payments from Alexion for services provided, as well as further subsequent payments up to $75,000,000 for the achievement of development, regulatory and commercial milestones, as well as single digit royalties. Further, under the agreement, a joint steering committee has been established to provide guidance and direction on the progression of the collaboration.</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determined the deliverables under the agreement included the rights granted, participation in the joint steering committee, and other services provided, as directed under the joint steering committee. The license and participation in the joint steering committee have been determined by the Company to not have standalone value due to the uniqueness of the subject matter under the agreement. Therefore, these deliverables are treated as one unit of accounting and recognized as revenue over the performance period.</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has determined that other services to be provided have standalone value. The relative fair values are estimated upon the execution of each activity, with actual expenditures charged at rates comparable to market with embedded margins on each service activity.</w:t>
      </w:r>
    </w:p>
    <w:p>
      <w:pPr>
        <w:spacing w:after="0" w:line="14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6" w:right="239" w:bottom="1440" w:gutter="0" w:footer="0" w:header="0"/>
        </w:sectPr>
      </w:pPr>
    </w:p>
    <w:bookmarkStart w:id="13" w:name="page14"/>
    <w:bookmarkEnd w:id="13"/>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 Pharmaceuticals, Inc. (“Dicerna”)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In September 2016, Dicerna announced the discontinuation of their DCR-PH1 program using the Company's technology. As such, the Company revised the estimated completion date of performance period from March 2017 to September 30, 2016, at which time the Company has no further remaining performance obligations. This resulted in the recognition of $1,066,000 in Dicerna license fee revenue for year ended December 31, 2016 and no revenue thereafter.</w:t>
      </w:r>
    </w:p>
    <w:p>
      <w:pPr>
        <w:spacing w:after="0" w:line="16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 Company (“Monsanto”)</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January 13, 2014, the Company and Monsanto signed an Option Agreement and a Services Agreement (together, the “Agreements”). Under the Agreements, Monsanto had an option to obtain a license to use the Company’s proprietary delivery technology and related intellectual property for use in agriculture.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Agreements, the Company established a wholly-owned subsidiary, PADCo. The Company determined that PADCo was a variable interest entity (“VIE”); however, Monsanto was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gain on disposition of financial instrument on its consolidated statement of operations and comprehensive loss for the three months ended March 31, 2016.</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96" w:right="259" w:bottom="1440" w:gutter="0" w:footer="0" w:header="0"/>
        </w:sectPr>
      </w:pPr>
    </w:p>
    <w:bookmarkStart w:id="14" w:name="page15"/>
    <w:bookmarkEnd w:id="14"/>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Arial" w:cs="Arial" w:eastAsia="Arial" w:hAnsi="Arial"/>
          <w:sz w:val="14"/>
          <w:szCs w:val="14"/>
          <w:color w:val="auto"/>
        </w:rPr>
        <w:t>™</w:t>
      </w:r>
      <w:r>
        <w:rPr>
          <w:rFonts w:ascii="Arial" w:cs="Arial" w:eastAsia="Arial" w:hAnsi="Arial"/>
          <w:sz w:val="18"/>
          <w:szCs w:val="18"/>
          <w:color w:val="auto"/>
        </w:rPr>
        <w:t xml:space="preserve"> (Optisomal Vinorelbine) and Brakiva </w:t>
      </w:r>
      <w:r>
        <w:rPr>
          <w:rFonts w:ascii="Arial" w:cs="Arial" w:eastAsia="Arial" w:hAnsi="Arial"/>
          <w:sz w:val="14"/>
          <w:szCs w:val="14"/>
          <w:color w:val="auto"/>
        </w:rPr>
        <w:t>™</w:t>
      </w:r>
      <w:r>
        <w:rPr>
          <w:rFonts w:ascii="Arial" w:cs="Arial" w:eastAsia="Arial" w:hAnsi="Arial"/>
          <w:sz w:val="18"/>
          <w:szCs w:val="18"/>
          <w:color w:val="auto"/>
        </w:rPr>
        <w:t xml:space="preserve"> (Optisomal Topotecan).</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Talon was acquired by Spectrum in July 2013. The acquisition does not affect the terms of the license between Talon and the Company. On September 3, 2013, Spectrum announced that they had shipped the first commercial orders of Marqibo. For the three months ended March 31, 2017, the Company recorded $54,000 in Marqibo royalty revenue (three months ended March 31, 2016 - $28,000). For the three months ended March 31, 2017, the Company accrued 2.5% in royalties due to TPC in respect of the Marqibo royalty earned by the Company – see note 7, contingencies and commitments.</w:t>
      </w:r>
    </w:p>
    <w:p>
      <w:pPr>
        <w:spacing w:after="0" w:line="15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March 31, 2017</w:t>
            </w: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2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5480" w:type="dxa"/>
            <w:vAlign w:val="bottom"/>
            <w:tcBorders>
              <w:bottom w:val="single" w:sz="8" w:color="auto"/>
            </w:tcBorders>
            <w:gridSpan w:val="2"/>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accruals</w:t>
            </w:r>
          </w:p>
        </w:tc>
        <w:tc>
          <w:tcPr>
            <w:tcW w:w="30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2,856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3,131</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 fee accruals</w:t>
            </w:r>
          </w:p>
        </w:tc>
        <w:tc>
          <w:tcPr>
            <w:tcW w:w="3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Professional fee accruals</w:t>
            </w:r>
          </w:p>
        </w:tc>
        <w:tc>
          <w:tcPr>
            <w:tcW w:w="30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514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lease inducements</w:t>
            </w:r>
          </w:p>
        </w:tc>
        <w:tc>
          <w:tcPr>
            <w:tcW w:w="3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Payroll accruals</w:t>
            </w:r>
          </w:p>
        </w:tc>
        <w:tc>
          <w:tcPr>
            <w:tcW w:w="30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214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2,178</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1,717</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280" w:type="dxa"/>
            <w:vAlign w:val="bottom"/>
            <w:tcBorders>
              <w:top w:val="single" w:sz="8" w:color="auto"/>
            </w:tcBorders>
          </w:tcPr>
          <w:p>
            <w:pPr>
              <w:spacing w:after="0"/>
              <w:rPr>
                <w:sz w:val="20"/>
                <w:szCs w:val="20"/>
                <w:color w:val="auto"/>
              </w:rPr>
            </w:pPr>
          </w:p>
        </w:tc>
        <w:tc>
          <w:tcPr>
            <w:tcW w:w="520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7,428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9,910</w:t>
            </w:r>
          </w:p>
        </w:tc>
      </w:tr>
      <w:tr>
        <w:trPr>
          <w:trHeight w:val="27"/>
        </w:trPr>
        <w:tc>
          <w:tcPr>
            <w:tcW w:w="28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26"/>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Loan payable</w:t>
            </w:r>
          </w:p>
        </w:tc>
        <w:tc>
          <w:tcPr>
            <w:tcW w:w="3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27, 2016, the Company obtained a loan of $12,001,000 from Wells Fargo in the form of a promissory note for the purpose of financing its operations, including the expansion of laboratory facilities for its U.S. operations. The loan accrues interest daily based on an interest rate of the one-month London Interbank Offered Rate (LIBOR), plus a margin of 1.25% per annum. The carrying value of the loan is recorded at the principal plus any accrued interest not yet paid. The loan is due on December 27, 2019.</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loan is secured by the Company's cash of $12,601,000, and is restricted from use until the loan has been settled in full. The Company invested the restricted cash in a two-year fixed certificate of deposit with Wells Fargo (see note 2) and is presented as restricted investment in the Company's balance sheet for the period ended March 31,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5" w:name="page16"/>
    <w:bookmarkEnd w:id="15"/>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(C$9,330,000). As at March 31, 2017, a cumulative contribution of $2,781,000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has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is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TPC, the Company agreed to pay 2.5% royalties on any royalties the Company receives for Marqibo. For the three months ended March 31, 2017,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earned royalties on Marqibo sales in the amount of $54,000 (three months ended March 31, 2016 – $28,000) (see note 4(e)), resulting in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recorded by the Company as royalty payable to TPC (March 31, 2016 -$1,000). The cumulative amount paid or accrued up to March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$18,000, therefore the remaining contingent amount due to TPC is $2,763,000 (C$3,678,000).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Company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Conterclaim involving a patent application that Arbutus alleges UBC wrongly licensed to a third party rather than to Arbutus. The Company continues to dispute UBC’s allegations, and seeks any license payments for said application, and an exclusive worldwide license to said application.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The proceedings have been bifurcated into phases, with a hearing set for June 2017. Arbitration and related matters are costly and may divert the attention of the Company’s management and other resources that would otherwise be engaged in other activities. Costs related to the arbitration are recorded by the Company as incurred.</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the Company, following the Company’s merger with Arbutus Inc.</w:t>
      </w:r>
    </w:p>
    <w:p>
      <w:pPr>
        <w:spacing w:after="0" w:line="18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the first patient in a Phase 1b clinical trial in HBV patients, which the Company believes is likely to occur in the next twelve-month period.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16" w:name="page17"/>
    <w:bookmarkEnd w:id="16"/>
    <w:p>
      <w:pPr>
        <w:ind w:right="180"/>
        <w:spacing w:after="0" w:line="276" w:lineRule="auto"/>
        <w:rPr>
          <w:sz w:val="20"/>
          <w:szCs w:val="20"/>
          <w:color w:val="auto"/>
        </w:rPr>
      </w:pPr>
      <w:r>
        <w:rPr>
          <w:rFonts w:ascii="Arial" w:cs="Arial" w:eastAsia="Arial" w:hAnsi="Arial"/>
          <w:sz w:val="17"/>
          <w:szCs w:val="17"/>
          <w:color w:val="auto"/>
        </w:rPr>
        <w:t>The regulatory, development and sales milestone payments had an initial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March 31, 2017 was the accounts receivable balance of $7,878,000 (December 31, 2016 -$273,000).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at March 31, 2017 and at December 31, 2016.</w:t>
      </w:r>
    </w:p>
    <w:p>
      <w:pPr>
        <w:spacing w:after="0" w:line="22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License Agreement with Acuitas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December 2013, the Company entered into a cross-license agreement with Acuitas Therapeutics Inc., or Acuitas. The terms of the cross-license agreement provided Acuitas with access to certain of the Company's earlier intellectual property generated prior to April 2010 for a specific field. On August 29, 2016, the Company provided Acuitas with notice that it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the Company perform its obligations under the Cross License Agreement, for damages ancillary to specific performance, injunctive relief, interest and costs.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8, 2017, the Company announced that the Supreme Court of British Columbia granted Arbutus' request for a pre-trial injunction against Acuitas, preventing Acuitas from further sublicensing of Arbutus' LNP technology until the end of October, or further order of the Court. Under the terms of the pre-trial injunction, Acuitas is prevented from entering into any new agreements which include sublicensing of Arbutus' LNP. On March 7, 2017, Acuitas appealed the injunction decision and on April 3, 2017, the appeal was denied. The case regarding the termination of Acuitas' license from Arbutus will be tried in court subject to scheduling.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2016 and our unaudited condensed consolidated financial statements for the three month period ended March 31, 2017. Our consolidated financial statements have been prepared in accordance with U.S.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obtaining adequate financing through a combination of financing activities and operations; anticipated incoming payments and royalties from the license agreement with Alexion; evaluating different treatment durations to determine the optimal finite duration of therapy; selecting combination therapy regimens and treatment durations to conduct Phase III clinical trials intended to ultimately support regulatory filings for marketing approval; approval for a single product from our pipeline by combining with available agents to improve upon the cure rate with the current standard of care; expanding our HBV drug candidate pipeline through internal development, acquisitions and in-licenses; initial results from Cohort 4 of the Phase II trial if ARB-1467 from three months of bi-weekly dosing expected in the third quarter of 2017; the potential of ARB-1740 to be effective at lower clinical doses than ARB-1467; data from the ARB-1740 Phase II MAD study being available in the second half of 2017; beginning a AB-423 multi-dosing study in HBV patients in the second half of 2017; evaluating AB-423’s utility in combination with our RNAi candidates (ARB-1467 and ARB-1740) nucs and possibly interferon in 2018; exploring partnership opportunities to enable further study of TKM-PLK-1 in HCC; results from Alnylam's patisiran (ALN-TTR02) Phase 3 cohort and a subsequent New Drug Application filing in 2017, with possible low to mid-single-digit royalty payments escalating based on sales performance as Alnylam’s LNP-enabled products are commercialized; receiving up to $75 million for achievement of development, regulatory, and commercial milestones, as well as single digit royalties, under the license agreement with Alexion; conducting technology development and providing manufacturing and regulatory support for Alexion until January 2020;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and the quantum and timing of potential funding.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or other diseases; the timing and quantum of payments to be received under contracts with our partners; assumptions related to our share price volatility, expected lives of warrants and warrant issuances and/or exercises; and our financial position and its ability to execute its business strategy. While we consider these assumptions to be reasonable, these assumptions are inherently subject to significant business, economic, competitive, market and social uncertainties and contingencies.</w:t>
      </w:r>
    </w:p>
    <w:p>
      <w:pPr>
        <w:sectPr>
          <w:pgSz w:w="11900" w:h="16838" w:orient="portrait"/>
          <w:cols w:equalWidth="0" w:num="1">
            <w:col w:w="11420"/>
          </w:cols>
          <w:pgMar w:left="240" w:top="584" w:right="239" w:bottom="27"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9" w:name="page20"/>
    <w:bookmarkEnd w:id="19"/>
    <w:p>
      <w:pPr>
        <w:ind w:right="100" w:firstLine="324"/>
        <w:spacing w:after="0" w:line="257" w:lineRule="auto"/>
        <w:rPr>
          <w:sz w:val="20"/>
          <w:szCs w:val="20"/>
          <w:color w:val="auto"/>
        </w:rPr>
      </w:pPr>
      <w:r>
        <w:rPr>
          <w:rFonts w:ascii="Arial" w:cs="Arial" w:eastAsia="Arial" w:hAnsi="Arial"/>
          <w:sz w:val="18"/>
          <w:szCs w:val="18"/>
          <w:color w:val="auto"/>
        </w:rPr>
        <w:t>Arbutus Biopharma Corporation ("Arbutus", the "Company", "we", "us", and "our") is a publicly traded industry-leading Hepatitis B Virus (HBV) therapeutic solutions company. HBV represents a significant unmet medical need, and given the complex biology of the disease, we believe combination therapies are the key to HBV treatment and a potential cure, and development can be accelerated when multiple components of a combination therapy regimen are controlled by the same company. We have assembled an HBV pipeline consisting of multiple drug candidates with complementary mechanisms of action, and plan to continue to broaden our pipeline.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Product Pipeline</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product pipeline, like our business, is focused on finding a cure for chronic HBV infection, with the objective of developing a combination of products that intervene at different points in the viral life cycle, and reactivating the host immune system. Initially, these combinations will include a single product from our pipeline combined with approved agents. Given our strong scientific and research capabilities in-house, we are able to conduct preclinical combination studies to evaluate combinations of our proprietary pipeline candidates with approved agents and with each other.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 In the meantime, we believe that there is a potential path to approval for a single product from our pipeline by combining with available agents to improve upon the cure rate with the current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866130" cy="3302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 &amp; ARB-1740)</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lead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368" w:right="299" w:bottom="1440" w:gutter="0" w:footer="0" w:header="0"/>
        </w:sectPr>
      </w:pPr>
    </w:p>
    <w:bookmarkStart w:id="20" w:name="page21"/>
    <w:bookmarkEnd w:id="20"/>
    <w:p>
      <w:pPr>
        <w:ind w:firstLine="324"/>
        <w:spacing w:after="0" w:line="255" w:lineRule="auto"/>
        <w:rPr>
          <w:sz w:val="20"/>
          <w:szCs w:val="20"/>
          <w:color w:val="auto"/>
        </w:rPr>
      </w:pPr>
      <w:r>
        <w:rPr>
          <w:rFonts w:ascii="Arial" w:cs="Arial" w:eastAsia="Arial" w:hAnsi="Arial"/>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Phase II trial is a multi-dose study in chronic HBV patients who are also receiving nucleot(s)ide analog therapy. The trial consists of four cohorts. The first three cohorts each enrolled eight subjects; six receiving three monthly doses of ARB-1467, and two receiving placebo. Cohort 3 enrolled twelve patients, all receiving five bi-weekly doses of ARB-1467. Cohorts 1, 2, and 4 enrolled HBeAg- patients and Cohort 3enrolled HBeAg+ patients. ARB-1467 is administered at 0.2 mg/kg in Cohort 1 and 0.4 mg/kg in Cohorts 2, 3, and 4. Results from this trial based on multiple dose administration of ARB-1467 in Cohorts 1, 2 and 3 demonstrated significant reductions in serum HBsAg levels and showed a step-wise, additive reduction in serum HBsAg with each subsequent dose. The HBsAg reduction achieved after three monthly doses of 0.4mg/kg in Cohort 2 was greater than that seen at 0.2 mg/kg in Cohort 1, demonstrating a dose-response seen with repeat dosing. There were no significant differences in serum HBsAg reductions between HBeAg-negative and HBeAg-positive patients. Overall treatment was well tolerated in all three cohorts (Cohorts 1, 2 and 3). Cohort 4 is fully enrolled, with initial results from three months of bi-weekly dosing expected in the third quarter of 2017. Cohort 4 also has an extension phase where patients who meet predefined response criteria after the first three months of dosing will go on to receive monthly dosing of ARB-1467 for up to an additional nine months (enabling up to one year of dosing in total).</w:t>
      </w:r>
    </w:p>
    <w:p>
      <w:pPr>
        <w:spacing w:after="0" w:line="18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is chemically distinct from ARB-1467 (includes different target sequences) and employs the same LNP formulation as ARB-1467. ARB-1740 Phase II MAD study began dosing HBV patients early this year and data will be available in the second half of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Protein/ Capsid Assembly Inhibitor (AB-423)</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HBV core protein, or capsid, is required for viral replication and core protein may have additional roles in cccDNA function. Current nucleot(s)ide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initiated a healthy volunteer clinical study of AB-423 in March 2017 with single ascending dose cohorts followed by multiple ascending dose cohorts, and expect to begin a multi-dosing study in HBV patients in the second half of 2017. Following initial studies of AB-423 in patients and based on results from in vivo combination studies, we plan to evaluate its utility in combination with our RNAi candidates (ARB-1467 and ARB-1740) nucs and possibly interferon in 2018. In addition to AB-423, our core protein/capsid assembly inhibitor discovery effort is ongoing and has already generated promising back-up compounds.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development has established Arbutus as a leader in this new area of innovative medicine.</w:t>
      </w:r>
    </w:p>
    <w:p>
      <w:pPr>
        <w:spacing w:after="0" w:line="15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12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hepatitis B surface antigen and/or other HBV targets.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intent is to focus our efforts on discovering, developing and commercializing a cure for patients suffering from chronic HBV infection. As such, we have suspended further development of our non-HBV assets and are exploring different strategic options to maximize the value of these assets. Additional information on these programs can be found in Part I, Item 1, “— Business-Suspended Non-HBV RNAi Assets,” of the annual report on Form 10-K, filed on March 22,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TKM-PLK1</w:t>
      </w:r>
    </w:p>
    <w:p>
      <w:pPr>
        <w:spacing w:after="0" w:line="11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Phase I/II TKM-PLK1 clinical study in patients with advanced Hepatocellular Carcinoma (HCC) was completed in 2016. Topline results from this study show that TKM-PLK1 was well-tolerated at a dose of 0.6 mg/kg, 51% of subjects showed overall stable disease (SD) according to RECIST criteria, 22% of subjects showed an overall partial response (PR) according to Choi response criteria, and tumor density was reduced by up to 59%.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 Results from this study are expected in mid-2017. We are entitled to low to mid-single-digit royalty payments escalating based on sales performance as Alnylam’s LNP-enabled products are commercialized.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on sales of Marqibo.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Pharmaceuticals Inc.</w:t>
      </w:r>
    </w:p>
    <w:p>
      <w:pPr>
        <w:spacing w:after="0" w:line="9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March 2017, we entered into a license agreement with Alexion that granted them exclusive use of our proprietary lipid nanoparticle (LNP) technology in one of Alexion's rare disease programs. Under the terms of the license agreement, Alexion paid us $7.5 million upfront, and may pay us up to $75 million for achievement of development, regulatory, and commercial milestones, as well as single digit royalties. In addition, Arbutus will conduct technology development and provide manufacturing and regulatory support, for which we will be fully reimbursed by Alexion, for the rapid advancement of their mRNA product candidate.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90"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In December 2013 we entered into a cross-license agreement with Acuitas Therapeutics Inc., or Acuitas. The terms of the cross-license agreement provided Acuitas with access to certain of our earlier intellectual property (IP) generated prior to April 2010 for a specific field. On August 29, 2016, we provided Acuitas with notice that Arbutus considered Acuitas to be in material breach of the cross-license agreement. On October 25, 2016, Acuitas filed a Notice of Civil Claim in the Supreme Court of British Columbia seeking an order that we perform our obligations under the Cross License Agreement, for damages ancillary to specific performance, injunctive relief, interest and costs. We disputed Acuitas' position and filed a counterclaim seeking, among other relief, a declaration that the Cross License Agreement had been terminated. 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On March 7, 2017, Acuitas appealed the injunction decision and on April 3, 2017, the appeal was denied. The case regarding the termination of Acuitas' license from Arbutus will be tried in court subject to scheduling.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other changes to our critical accounting policies and estimates from those disclosed in our annual MD&amp;A contained in our 2016 Annual Report filed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Q1</w:t>
            </w:r>
          </w:p>
        </w:tc>
        <w:tc>
          <w:tcPr>
            <w:tcW w:w="280" w:type="dxa"/>
            <w:vAlign w:val="bottom"/>
          </w:tcPr>
          <w:p>
            <w:pPr>
              <w:spacing w:after="0"/>
              <w:rPr>
                <w:sz w:val="17"/>
                <w:szCs w:val="17"/>
                <w:color w:val="auto"/>
              </w:rPr>
            </w:pPr>
          </w:p>
        </w:tc>
        <w:tc>
          <w:tcPr>
            <w:tcW w:w="780" w:type="dxa"/>
            <w:vAlign w:val="bottom"/>
          </w:tcPr>
          <w:p>
            <w:pPr>
              <w:jc w:val="center"/>
              <w:ind w:right="159"/>
              <w:spacing w:after="0"/>
              <w:rPr>
                <w:sz w:val="20"/>
                <w:szCs w:val="20"/>
                <w:color w:val="auto"/>
              </w:rPr>
            </w:pPr>
            <w:r>
              <w:rPr>
                <w:rFonts w:ascii="Arial" w:cs="Arial" w:eastAsia="Arial" w:hAnsi="Arial"/>
                <w:sz w:val="16"/>
                <w:szCs w:val="16"/>
                <w:color w:val="auto"/>
                <w:w w:val="84"/>
              </w:rPr>
              <w:t>Q4</w:t>
            </w:r>
          </w:p>
        </w:tc>
        <w:tc>
          <w:tcPr>
            <w:tcW w:w="28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Q3</w:t>
            </w:r>
          </w:p>
        </w:tc>
        <w:tc>
          <w:tcPr>
            <w:tcW w:w="30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Q2</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Q1</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Q3</w:t>
            </w:r>
          </w:p>
        </w:tc>
        <w:tc>
          <w:tcPr>
            <w:tcW w:w="26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3"/>
              </w:rPr>
              <w:t>Q2</w:t>
            </w: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2015</w:t>
            </w:r>
          </w:p>
        </w:tc>
      </w:tr>
      <w:tr>
        <w:trPr>
          <w:trHeight w:val="47"/>
        </w:trPr>
        <w:tc>
          <w:tcPr>
            <w:tcW w:w="3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24"/>
        </w:trPr>
        <w:tc>
          <w:tcPr>
            <w:tcW w:w="3280" w:type="dxa"/>
            <w:vAlign w:val="bottom"/>
          </w:tcPr>
          <w:p>
            <w:pPr>
              <w:ind w:left="40"/>
              <w:spacing w:after="0"/>
              <w:rPr>
                <w:sz w:val="20"/>
                <w:szCs w:val="20"/>
                <w:color w:val="auto"/>
              </w:rPr>
            </w:pPr>
            <w:r>
              <w:rPr>
                <w:rFonts w:ascii="Arial" w:cs="Arial" w:eastAsia="Arial" w:hAnsi="Arial"/>
                <w:sz w:val="16"/>
                <w:szCs w:val="16"/>
                <w:color w:val="auto"/>
              </w:rPr>
              <w:t>Collaborations and contracts: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DoD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3280" w:type="dxa"/>
            <w:vAlign w:val="bottom"/>
          </w:tcPr>
          <w:p>
            <w:pPr>
              <w:ind w:left="320"/>
              <w:spacing w:after="0"/>
              <w:rPr>
                <w:sz w:val="20"/>
                <w:szCs w:val="20"/>
                <w:color w:val="auto"/>
              </w:rPr>
            </w:pPr>
            <w:r>
              <w:rPr>
                <w:rFonts w:ascii="Arial" w:cs="Arial" w:eastAsia="Arial" w:hAnsi="Arial"/>
                <w:sz w:val="16"/>
                <w:szCs w:val="16"/>
                <w:color w:val="auto"/>
              </w:rPr>
              <w:t>Monsanto</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Dicerna</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3280" w:type="dxa"/>
            <w:vAlign w:val="bottom"/>
          </w:tcPr>
          <w:p>
            <w:pPr>
              <w:ind w:left="300"/>
              <w:spacing w:after="0"/>
              <w:rPr>
                <w:sz w:val="20"/>
                <w:szCs w:val="20"/>
                <w:color w:val="auto"/>
              </w:rPr>
            </w:pPr>
            <w:r>
              <w:rPr>
                <w:rFonts w:ascii="Arial" w:cs="Arial" w:eastAsia="Arial" w:hAnsi="Arial"/>
                <w:sz w:val="16"/>
                <w:szCs w:val="16"/>
                <w:color w:val="auto"/>
              </w:rPr>
              <w:t>Alexion</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w w:val="92"/>
              </w:rPr>
              <w:t>Monsanto licensing fees and milestone payments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Dicerna licensing fee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Alexion licensing fee</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milestone and royalty payments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1"/>
        </w:trPr>
        <w:tc>
          <w:tcPr>
            <w:tcW w:w="3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0.2</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0.7</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0.3</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0.6</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12.7</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(257.2)</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income (losses)</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(258.8)</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64.9</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(218.7)</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(0.34)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(4.05)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(0.37)</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(2.47)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(0.31)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(0.10)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(0.57)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(0.27)</w:t>
            </w:r>
          </w:p>
        </w:tc>
      </w:tr>
      <w:tr>
        <w:trPr>
          <w:trHeight w:val="27"/>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 Our revenue is derived from research and development collaborations and contracts, licensing fees, milestone and royalty payments.</w:t>
      </w: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Q3 2010 we signed a contract with the DoD to develop TKM-Ebola. In July 2015, we announced that activities had been suspended and in Q4 2015 the DoD contract was terminated. We are currently conducting contract close out procedures with the DoD.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January 2014, we signed an Option Agreement and a Services Agreement with Monsanto for the use of our proprietary delivery technology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in agriculture. Over the option period, which was expected to be approximately four years, Monsanto made payments to us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option rights. In Q1 2014, we received $14.5 million of the $17.5 million near term payments, of which $4.5 million related to research services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use of our technology. In Q4 2015, we did not receive further payments from Monsanto for the continuance of research activities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arrangement. As such, we revised our estimated option period end date to December 31, 2015, resulting in the full release of Monsanto deferred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recognition of $11.8 million in Monsanto revenue in Q4 2015. In March 2016, Monsanto exercised its option to acquire 100% of the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Protiva Agricultural Development Company Inc. (PADCo), for which Monsanto paid us an exercise fee of $1.0 million in Q1 2016. We recorded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receipt in Q1 2016 as Other income (losses).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is being recognized over the period over which we provide services to Dicerna. In September 2016, Dicerna announced the discontinuation of their DCR-PH1 program using our technology. As such, in Q3 2016, we recognized the remaining balance of Dicerna license fee revenue of $0.6 million, as well as other Dicerna collaboration revenue for the provision of development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4" w:name="page25"/>
    <w:bookmarkEnd w:id="24"/>
    <w:p>
      <w:pPr>
        <w:ind w:right="140"/>
        <w:spacing w:after="0" w:line="302" w:lineRule="auto"/>
        <w:rPr>
          <w:sz w:val="20"/>
          <w:szCs w:val="20"/>
          <w:color w:val="auto"/>
        </w:rPr>
      </w:pPr>
      <w:r>
        <w:rPr>
          <w:rFonts w:ascii="Arial" w:cs="Arial" w:eastAsia="Arial" w:hAnsi="Arial"/>
          <w:sz w:val="16"/>
          <w:szCs w:val="16"/>
          <w:color w:val="auto"/>
        </w:rPr>
        <w:t>In March 2017, we signed a License Agreement with Alexion that granted them exclusive use of our proprietary lipid nanoparticle (LNP) technology in one of Alexion's rare disease programs. Under the terms of the license agreement, we received a $7.5 million non-refundable upfront payment in April 2017, which is being recognized over the expected period we provide services to Alexion. In addition, we began recognizing revenue on the services provided to Alexion related to technology development, manufacturing and regulatory support for the advancement of Alexion's mRNA product candidate.</w:t>
      </w:r>
    </w:p>
    <w:p>
      <w:pPr>
        <w:spacing w:after="0" w:line="1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and royalties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2013, we began to earn royalties from Spectrum with respect to the commercial sales of Marqibo.</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and goodwill is also included in operating expenses.</w:t>
      </w:r>
    </w:p>
    <w:p>
      <w:pPr>
        <w:spacing w:after="0" w:line="7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continue to incur research and development expense as we continue to move more products into the clinic while continuing to advance our HBV research pipeline. In Q3 2015, we incurred $5.5 million in incremental R&amp;D expenses primarily related to an increase in HBV and HCC clinical trial expenses due to an increase in patient enrollment and a ramp up in spending on other HBV programs.</w:t>
      </w:r>
    </w:p>
    <w:p>
      <w:pPr>
        <w:spacing w:after="0" w:line="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Q3 2015, we recorded an estimated impairment charge of $38.0 million (before deferred tax) as we discontinued our cyclophilin inhibitor program based on our conclusion that cyclophilins do not play a meaningful role in HBV biology. From Q4 2015 to Q1 2017, we continued to incur significant R&amp;D expense related to our HBV programs, including initiation of our ARB-1467 and ARB-1740 in Phase 2 clinical trials, and incurred costs in Q4 2016 and Q1 2017 to advance our AB-423 to Phase 1 clinical trials. In Q2, 2016, we recorded an impairment charge of $156.3 million (before deferred tax) for the discontinuance of the ARB-1598 program in the Immune Modulators drug class after extensive research and analysis, as well as a delay for additional exploration of the biology of the cccDNA Sterilizer drug class. In Q4 2016, we recorded an impairment charge of $96.9 million for our intangible assets (before deferred tax) and impairment charge of $138.1 million for our goodwill which resulted from a change in estimated cost of capital and resulting discount rate used in our annual impairment assessment. This change in the discount rate was made to address the sustained discrepancy between our market capitalization and the carrying value of intangible assets and goodwill. Following the merger with Arbutus Inc., we have recorded, to date, non-cash compensation expense of $51.7 million related to the expiry of repurchase rights on shares issued as part of the consideration paid for the merger with Arbutus Inc. - see "Results of Operations".</w:t>
      </w:r>
    </w:p>
    <w:p>
      <w:pPr>
        <w:spacing w:after="0" w:line="17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consist primarily of changes in the fair value of our contingent consideration, warrant liability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gains and losses. During Q1 2017, our remaining warrants were exercised or expired, resulting in a decrease of $0.1 million in fair value of warrant liability recorded in our statement of operations, and an ending warrant liability balance of nil. In addition, we recorded an increase in the fair value of contingent consideration of $1.1 million.</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recorded large foreign exchange gains and losses over the past eight quarters including a gain of $11.8 million in Q3 2015. Up until December 31, 2015, our foreign exchange gains and losses largely related to U.S. dollar cash and investment holdings and fluctuations in the U.S./Canadian dollar exchange rate. We expect to record future foreign exchange gains and losses, on conversion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w:t>
      </w:r>
    </w:p>
    <w:p>
      <w:pPr>
        <w:spacing w:after="0" w:line="15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 Income tax benefit relates to the decrease in deferred tax liability associated with impairment charges recorded on acquired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as discussed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 </w:t>
      </w:r>
      <w:r>
        <w:rPr>
          <w:rFonts w:ascii="Arial" w:cs="Arial" w:eastAsia="Arial" w:hAnsi="Arial"/>
          <w:sz w:val="18"/>
          <w:szCs w:val="18"/>
          <w:color w:val="auto"/>
        </w:rPr>
        <w:t>Fluctuations in our net loss are explained by changes in revenue, expenses, other income (losses) and taxes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68"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18,534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(18,627)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8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15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Total</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Dicerna</w:t>
            </w:r>
          </w:p>
        </w:tc>
        <w:tc>
          <w:tcPr>
            <w:tcW w:w="9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collaborations and contracts revenue</w:t>
            </w: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Alexion licensing fee</w:t>
            </w:r>
          </w:p>
        </w:tc>
        <w:tc>
          <w:tcPr>
            <w:tcW w:w="9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milestone and royalty payments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covered in more detail in the overview section of this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in Q1 2016 relates to the earned portion of the upfront payment of $2.5 million for the use of our technology, which was being recognized over the period we provided services to Dicerna. In September 2016, Dicerna announced the discontinuation of their DCR-PH1 program using the Company's technology. As such, we revised the estimated completion date of performance period from March 2017 to September 30, 2016, at which time we had no further remaining performance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revenue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March 2017, we signed a License Agreement with Alexion that granted them exclusive use of our proprietary lipid nanoparticle (LNP) technology in one of Alexion's rare disease programs. Licensing fee revenue recognized in Q1 2017 relates to the earned portion of the non-refundable upfront payment of $7.5 million for the use of our technology, which is being recognized over the expected period we provide services to Alexion. In addition, we began recognizing revenue on the services provided to Alexion related to technology development, manufacturing and regulatory support for the advancement of Alexion's mRNA product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13,872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13,144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4,328</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7,219</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334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18,534</w:t>
            </w:r>
          </w:p>
        </w:tc>
        <w:tc>
          <w:tcPr>
            <w:tcW w:w="15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20,580</w:t>
            </w:r>
          </w:p>
        </w:tc>
        <w:tc>
          <w:tcPr>
            <w:tcW w:w="1440" w:type="dxa"/>
            <w:vAlign w:val="bottom"/>
            <w:tcBorders>
              <w:top w:val="single" w:sz="8" w:color="auto"/>
            </w:tcBorders>
          </w:tcPr>
          <w:p>
            <w:pPr>
              <w:spacing w:after="0"/>
              <w:rPr>
                <w:sz w:val="20"/>
                <w:szCs w:val="20"/>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R&amp;D expenses increased in the three months ended March 31, 2017 as compared to the three months ended March 31, 2016. In Q1 2017, we initiated a Phase 1 clinical trial for AB-423 and incurred increased clinical costs as we continue our trials for ARB-1467 and ARB-1740. We also continue to incur costs related to research and preclinical studies for our other HBV programs.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and our collaborations.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expenses decreased in the three months ended March 31, 2017 compared to the three months ended March 31, 2016 due to a decrease in non-cash compensation expense related to the expiry of repurchase rights effective Q2 2016 due to the departure of two of the four former Arbutus Inc. shareholders in June 2016. As a result of this change, our quarterly non-cash compensation general and administrative expense decreased to $1.5 million in Q1 2017 as compared to $4.5 million in Q1 2016. The following table summarizes the non-cash compensation expense recorded related to the expiry of repurchase rights since the acquisition in March 2015:</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center"/>
              <w:ind w:right="119"/>
              <w:spacing w:after="0"/>
              <w:rPr>
                <w:sz w:val="20"/>
                <w:szCs w:val="20"/>
                <w:color w:val="auto"/>
              </w:rPr>
            </w:pPr>
            <w:r>
              <w:rPr>
                <w:rFonts w:ascii="Arial" w:cs="Arial" w:eastAsia="Arial" w:hAnsi="Arial"/>
                <w:sz w:val="16"/>
                <w:szCs w:val="16"/>
                <w:color w:val="auto"/>
                <w:w w:val="93"/>
              </w:rPr>
              <w:t>Q1</w:t>
            </w:r>
          </w:p>
        </w:tc>
        <w:tc>
          <w:tcPr>
            <w:tcW w:w="260" w:type="dxa"/>
            <w:vAlign w:val="bottom"/>
          </w:tcPr>
          <w:p>
            <w:pPr>
              <w:spacing w:after="0"/>
              <w:rPr>
                <w:sz w:val="17"/>
                <w:szCs w:val="17"/>
                <w:color w:val="auto"/>
              </w:rPr>
            </w:pPr>
          </w:p>
        </w:tc>
        <w:tc>
          <w:tcPr>
            <w:tcW w:w="640" w:type="dxa"/>
            <w:vAlign w:val="bottom"/>
          </w:tcPr>
          <w:p>
            <w:pPr>
              <w:jc w:val="center"/>
              <w:ind w:right="11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640" w:type="dxa"/>
            <w:vAlign w:val="bottom"/>
          </w:tcPr>
          <w:p>
            <w:pPr>
              <w:jc w:val="center"/>
              <w:ind w:right="119"/>
              <w:spacing w:after="0"/>
              <w:rPr>
                <w:sz w:val="20"/>
                <w:szCs w:val="20"/>
                <w:color w:val="auto"/>
              </w:rPr>
            </w:pPr>
            <w:r>
              <w:rPr>
                <w:rFonts w:ascii="Arial" w:cs="Arial" w:eastAsia="Arial" w:hAnsi="Arial"/>
                <w:sz w:val="16"/>
                <w:szCs w:val="16"/>
                <w:color w:val="auto"/>
                <w:w w:val="93"/>
              </w:rPr>
              <w:t>Q3</w:t>
            </w:r>
          </w:p>
        </w:tc>
        <w:tc>
          <w:tcPr>
            <w:tcW w:w="260" w:type="dxa"/>
            <w:vAlign w:val="bottom"/>
          </w:tcPr>
          <w:p>
            <w:pPr>
              <w:spacing w:after="0"/>
              <w:rPr>
                <w:sz w:val="17"/>
                <w:szCs w:val="17"/>
                <w:color w:val="auto"/>
              </w:rPr>
            </w:pPr>
          </w:p>
        </w:tc>
        <w:tc>
          <w:tcPr>
            <w:tcW w:w="640" w:type="dxa"/>
            <w:vAlign w:val="bottom"/>
          </w:tcPr>
          <w:p>
            <w:pPr>
              <w:jc w:val="center"/>
              <w:ind w:right="99"/>
              <w:spacing w:after="0"/>
              <w:rPr>
                <w:sz w:val="20"/>
                <w:szCs w:val="20"/>
                <w:color w:val="auto"/>
              </w:rPr>
            </w:pPr>
            <w:r>
              <w:rPr>
                <w:rFonts w:ascii="Arial" w:cs="Arial" w:eastAsia="Arial" w:hAnsi="Arial"/>
                <w:sz w:val="16"/>
                <w:szCs w:val="16"/>
                <w:color w:val="auto"/>
                <w:w w:val="84"/>
              </w:rPr>
              <w:t>Q2</w:t>
            </w:r>
          </w:p>
        </w:tc>
        <w:tc>
          <w:tcPr>
            <w:tcW w:w="240" w:type="dxa"/>
            <w:vAlign w:val="bottom"/>
          </w:tcPr>
          <w:p>
            <w:pPr>
              <w:spacing w:after="0"/>
              <w:rPr>
                <w:sz w:val="17"/>
                <w:szCs w:val="17"/>
                <w:color w:val="auto"/>
              </w:rPr>
            </w:pPr>
          </w:p>
        </w:tc>
        <w:tc>
          <w:tcPr>
            <w:tcW w:w="58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c>
          <w:tcPr>
            <w:tcW w:w="260" w:type="dxa"/>
            <w:vAlign w:val="bottom"/>
          </w:tcPr>
          <w:p>
            <w:pPr>
              <w:spacing w:after="0"/>
              <w:rPr>
                <w:sz w:val="17"/>
                <w:szCs w:val="17"/>
                <w:color w:val="auto"/>
              </w:rPr>
            </w:pPr>
          </w:p>
        </w:tc>
        <w:tc>
          <w:tcPr>
            <w:tcW w:w="640" w:type="dxa"/>
            <w:vAlign w:val="bottom"/>
          </w:tcPr>
          <w:p>
            <w:pPr>
              <w:jc w:val="center"/>
              <w:ind w:right="11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640" w:type="dxa"/>
            <w:vAlign w:val="bottom"/>
          </w:tcPr>
          <w:p>
            <w:pPr>
              <w:jc w:val="center"/>
              <w:ind w:right="99"/>
              <w:spacing w:after="0"/>
              <w:rPr>
                <w:sz w:val="20"/>
                <w:szCs w:val="20"/>
                <w:color w:val="auto"/>
              </w:rPr>
            </w:pPr>
            <w:r>
              <w:rPr>
                <w:rFonts w:ascii="Arial" w:cs="Arial" w:eastAsia="Arial" w:hAnsi="Arial"/>
                <w:sz w:val="16"/>
                <w:szCs w:val="16"/>
                <w:color w:val="auto"/>
                <w:w w:val="84"/>
              </w:rPr>
              <w:t>Q3</w:t>
            </w:r>
          </w:p>
        </w:tc>
        <w:tc>
          <w:tcPr>
            <w:tcW w:w="26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color w:val="auto"/>
                <w:w w:val="93"/>
              </w:rPr>
              <w:t>Q2</w:t>
            </w:r>
          </w:p>
        </w:tc>
        <w:tc>
          <w:tcPr>
            <w:tcW w:w="260" w:type="dxa"/>
            <w:vAlign w:val="bottom"/>
          </w:tcPr>
          <w:p>
            <w:pPr>
              <w:spacing w:after="0"/>
              <w:rPr>
                <w:sz w:val="17"/>
                <w:szCs w:val="17"/>
                <w:color w:val="auto"/>
              </w:rPr>
            </w:pPr>
          </w:p>
        </w:tc>
        <w:tc>
          <w:tcPr>
            <w:tcW w:w="62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r>
      <w:tr>
        <w:trPr>
          <w:trHeight w:val="270"/>
        </w:trPr>
        <w:tc>
          <w:tcPr>
            <w:tcW w:w="2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23"/>
                <w:szCs w:val="23"/>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color w:val="auto"/>
                <w:w w:val="95"/>
              </w:rPr>
              <w:t>2016</w:t>
            </w:r>
          </w:p>
        </w:tc>
        <w:tc>
          <w:tcPr>
            <w:tcW w:w="26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2015</w:t>
            </w:r>
          </w:p>
        </w:tc>
      </w:tr>
      <w:tr>
        <w:trPr>
          <w:trHeight w:val="47"/>
        </w:trPr>
        <w:tc>
          <w:tcPr>
            <w:tcW w:w="2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Total non-cash compensation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repurchase rights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0"/>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expiration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2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4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368</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gains (losses)</w:t>
            </w:r>
          </w:p>
        </w:tc>
        <w:tc>
          <w:tcPr>
            <w:tcW w:w="26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427</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26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w:t>
            </w:r>
          </w:p>
        </w:tc>
        <w:tc>
          <w:tcPr>
            <w:tcW w:w="26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6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(1,059)</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(328)</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 (losses)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525"/>
        <w:spacing w:after="0"/>
        <w:rPr>
          <w:sz w:val="20"/>
          <w:szCs w:val="20"/>
          <w:color w:val="auto"/>
        </w:rPr>
      </w:pPr>
      <w:r>
        <w:rPr>
          <w:rFonts w:ascii="Arial" w:cs="Arial" w:eastAsia="Arial" w:hAnsi="Arial"/>
          <w:sz w:val="18"/>
          <w:szCs w:val="18"/>
          <w:color w:val="auto"/>
        </w:rPr>
        <w:t>2016</w:t>
      </w:r>
    </w:p>
    <w:p>
      <w:pPr>
        <w:spacing w:after="0" w:line="77" w:lineRule="exact"/>
        <w:rPr>
          <w:sz w:val="20"/>
          <w:szCs w:val="20"/>
          <w:color w:val="auto"/>
        </w:rPr>
      </w:pPr>
    </w:p>
    <w:p>
      <w:pPr>
        <w:ind w:left="1065" w:hanging="1065"/>
        <w:spacing w:after="0"/>
        <w:tabs>
          <w:tab w:leader="none" w:pos="10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244</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(244)</w:t>
      </w:r>
    </w:p>
    <w:p>
      <w:pPr>
        <w:spacing w:after="0" w:line="77" w:lineRule="exact"/>
        <w:rPr>
          <w:sz w:val="20"/>
          <w:szCs w:val="20"/>
          <w:color w:val="auto"/>
        </w:rPr>
      </w:pPr>
    </w:p>
    <w:p>
      <w:pPr>
        <w:ind w:left="925" w:hanging="925"/>
        <w:spacing w:after="0"/>
        <w:tabs>
          <w:tab w:leader="none" w:pos="9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840" w:space="135"/>
            <w:col w:w="1445"/>
          </w:cols>
          <w:pgMar w:left="240" w:top="364" w:right="239" w:bottom="1440" w:gutter="0" w:footer="0" w:header="0"/>
          <w:type w:val="continuous"/>
        </w:sectPr>
      </w:pP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incur substantial expenses and hold cash and investment balances in Canadian dollars, and as such, will remain subject to risks associated with foreign currency fluctuations. For the three months ended March 31, 2017, we recorded a foreign exchange gain of $0.4 million which is primarily an unrealized gain related to an appreciation in the value of our Canadian dollar funds from the previous period, when converted to our functional currency of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above, and paid us an exercise fee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warrant liability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1, 2017, any remaining outstanding warrants expired. The increase in the fair value of warrants in Q1 2017 relates to warrants exercised offset by reducing our warrant liability balance to nil as at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Contingent consideration is a liability assumed by the Company from our acquisition of Arbutus Inc. in March 2015. The increase in the fair value of the contingent consideration is related to the progress of our programs as they get closer to triggering contingent payments.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5,493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7"/>
        </w:trPr>
        <w:tc>
          <w:tcPr>
            <w:tcW w:w="8340" w:type="dxa"/>
            <w:vAlign w:val="bottom"/>
          </w:tcPr>
          <w:p>
            <w:pPr>
              <w:ind w:left="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(13,582)</w:t>
            </w:r>
          </w:p>
        </w:tc>
      </w:tr>
      <w:tr>
        <w:trPr>
          <w:trHeight w:val="243"/>
        </w:trPr>
        <w:tc>
          <w:tcPr>
            <w:tcW w:w="8340" w:type="dxa"/>
            <w:vAlign w:val="bottom"/>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29,851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144,772</w:t>
            </w: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At March 31, 2017, we had an aggregate of $123.0 million in cash and cash equivalents, short-term investments, and restricted investments as compared to an aggregate of $143.2 million in cash and cash equivalents, short-term investments, and restricted investments at December 31, 2016.</w:t>
      </w:r>
    </w:p>
    <w:p>
      <w:pPr>
        <w:spacing w:after="0" w:line="14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three months ended March 31, 2017, operating activities used $17.5 million in cash as compared to $11.5 million of cash used in the three months ended March 31, 2016. The increase in cash used from operating activities is largely related to foreign exchange gains in the three months ended March 31, 2016 reducing cash usage in that period and reducing our accounts payable and accruals balance as at March 31, 2017.</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2017, investing activities increased cash by $23.2 million primarily due to the maturity and monetization of our short-term investments, offset by acquisition of capital assets for our new U.S. facility in Warminster.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March 31, 2017, financing activities increased cash by $0.3 million due to options and warrants exercised during the period. All unexercised outstanding warrants expired on March 1, 2017.</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At March 31, 2017 we held $29.9 million in cash and cash equivalents, $80.5 million in short-term investments, and $12.6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investments.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9" w:name="page30"/>
    <w:bookmarkEnd w:id="29"/>
    <w:p>
      <w:pPr>
        <w:ind w:left="1360" w:hanging="54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rFonts w:ascii="Arial" w:cs="Arial" w:eastAsia="Arial" w:hAnsi="Arial"/>
          <w:sz w:val="18"/>
          <w:szCs w:val="18"/>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earned from our current collaborative partnership and licensing agreement with Alexion;</w:t>
      </w:r>
    </w:p>
    <w:p>
      <w:pPr>
        <w:spacing w:after="0" w:line="22" w:lineRule="exact"/>
        <w:rPr>
          <w:rFonts w:ascii="Arial" w:cs="Arial" w:eastAsia="Arial" w:hAnsi="Arial"/>
          <w:sz w:val="18"/>
          <w:szCs w:val="18"/>
          <w:color w:val="auto"/>
        </w:rPr>
      </w:pPr>
    </w:p>
    <w:p>
      <w:pPr>
        <w:ind w:left="1300" w:right="42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our legacy collaborative partnerships and licensing agreements, including milestone payments from Alnylam and royalties from sales of Marqibo from Spectrum;</w:t>
      </w:r>
    </w:p>
    <w:p>
      <w:pPr>
        <w:ind w:left="1300" w:right="88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decisions to in-license or acquire additional products or technology for development, in particular for our HBV therapeutics programs;</w:t>
      </w:r>
    </w:p>
    <w:p>
      <w:pPr>
        <w:spacing w:after="0" w:line="32" w:lineRule="exact"/>
        <w:rPr>
          <w:rFonts w:ascii="Arial" w:cs="Arial" w:eastAsia="Arial" w:hAnsi="Arial"/>
          <w:sz w:val="16"/>
          <w:szCs w:val="16"/>
          <w:color w:val="auto"/>
        </w:rPr>
      </w:pPr>
    </w:p>
    <w:p>
      <w:pPr>
        <w:ind w:left="1300" w:right="2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60" w:hanging="482"/>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at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Less</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1 – 3</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3 – 5</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3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leases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April 30, 2017, we had 55,024,557 common shares issued and outstanding and outstanding options to purchase an additional 5,508,267 common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30" w:name="page31"/>
    <w:bookmarkEnd w:id="30"/>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the Form 10-K for the fiscal year ended December 31, 2016.</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March 31, 2017,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March 31, 2017,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management's year-end assessment process for the period-ended December 31, 2016, a material weakness was identified over management's review of the annual impairment evaluation of intangible assets and goodwill; specifically the judgments made with respect to the estimated discount rate and the mathematical accuracy of the impairment calculation. Given that management did not perform a quantitative calculation of impairment at March 31, 2017 (refer to Note 3 of the condensed consolidated interim financial statements), this matter did not have any impact on the period ended March 31, 2017. Management intends to continue to evaluate and, to the extent necessary, remediate this material weakness throughout 2017.</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Other than the change discussed above, there have been no change in our internal control over financial reporting (as defined in Rules 13a–15(f) and 15d– 15(f) under the Exchange Act) occurred during the three months ended March 31, 2017 that has materially affected, or is reasonably likely to materially affect, our internal control over financial reporting.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UBC Arbitration</w:t>
      </w:r>
    </w:p>
    <w:p>
      <w:pPr>
        <w:spacing w:after="0" w:line="2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early work on liposomal delivery systems and related inventions was undertaken at the Company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siRNA products.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10, 2014, UBC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is presently set for hearing from June 19-30,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Acuitas Therapeutics</w:t>
      </w:r>
    </w:p>
    <w:p>
      <w:pPr>
        <w:spacing w:after="0" w:line="2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29, 2016,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 Acuitas’ position; and filed our response within the time frame prescribed by the Court. On January 10, 2017, we filed an application seeking an order to enjoin Acuitas from, among other things, entering into any further agreements purporting to sublicense Arbutus’ technology from the date of the order to the date of trial or further order from the Court. On February 8, 2017, the Company announced that the Supreme Court of British Columbia granted Arbutus’ request for a pre-trial injunction against Acuitas, preventing Acuitas from further sublicensing of Arbutus’ lipid nanoparticle (LNP) technology until the end of October, or further order of the Court. Under the terms of the pre-trial injunction, Acuitas is prevented from entering into any new agreements which include sublicensing of Arbutus’ LNP. On March 7, 2017, Acuitas appealed the injunction decision and on April 3, 2017, the appeal was denied. The case regarding the termination of Acuitas’ license from Arbutus will be tried in court subject to scheduling.</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hereto.</w:t>
      </w:r>
    </w:p>
    <w:p>
      <w:pPr>
        <w:sectPr>
          <w:pgSz w:w="11900" w:h="16838" w:orient="portrait"/>
          <w:cols w:equalWidth="0" w:num="1">
            <w:col w:w="11420"/>
          </w:cols>
          <w:pgMar w:left="240" w:top="49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99" w:right="2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4, 2017.</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9"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37"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hanging="971"/>
        <w:spacing w:after="0" w:line="277" w:lineRule="auto"/>
        <w:tabs>
          <w:tab w:leader="none" w:pos="1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79" w:lineRule="exact"/>
        <w:rPr>
          <w:sz w:val="20"/>
          <w:szCs w:val="20"/>
          <w:color w:val="auto"/>
        </w:rPr>
      </w:pPr>
    </w:p>
    <w:p>
      <w:pPr>
        <w:ind w:left="1520" w:hanging="904"/>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23"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2017,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282" w:lineRule="exact"/>
        <w:rPr>
          <w:sz w:val="20"/>
          <w:szCs w:val="20"/>
          <w:color w:val="auto"/>
        </w:rPr>
      </w:pPr>
    </w:p>
    <w:p>
      <w:pPr>
        <w:ind w:left="1620" w:hanging="39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Arbutus Biopharma Corporation (the “Company”) for the quarter ended March 31, 2017,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22" w:lineRule="exact"/>
        <w:rPr>
          <w:sz w:val="20"/>
          <w:szCs w:val="20"/>
          <w:color w:val="auto"/>
        </w:rPr>
      </w:pPr>
    </w:p>
    <w:p>
      <w:pPr>
        <w:ind w:left="1620" w:hanging="39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lowerLetter"/>
      <w:start w:val="3"/>
    </w:lvl>
  </w:abstractNum>
  <w:abstractNum w:abstractNumId="9">
    <w:nsid w:val="4E6AFB66"/>
    <w:multiLevelType w:val="hybridMultilevel"/>
    <w:lvl w:ilvl="0">
      <w:lvlJc w:val="left"/>
      <w:lvlText w:val="(%1)"/>
      <w:numFmt w:val="lowerLetter"/>
      <w:start w:val="4"/>
    </w:lvl>
  </w:abstractNum>
  <w:abstractNum w:abstractNumId="10">
    <w:nsid w:val="25E45D32"/>
    <w:multiLevelType w:val="hybridMultilevel"/>
    <w:lvl w:ilvl="0">
      <w:lvlJc w:val="left"/>
      <w:lvlText w:val="(%1)"/>
      <w:numFmt w:val="lowerLetter"/>
      <w:start w:val="5"/>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7"/>
    </w:lvl>
  </w:abstractNum>
  <w:abstractNum w:abstractNumId="13">
    <w:nsid w:val="3F2DBA31"/>
    <w:multiLevelType w:val="hybridMultilevel"/>
    <w:lvl w:ilvl="0">
      <w:lvlJc w:val="left"/>
      <w:lvlText w:val="%1."/>
      <w:numFmt w:val="decimal"/>
      <w:start w:val="8"/>
    </w:lvl>
  </w:abstractNum>
  <w:abstractNum w:abstractNumId="14">
    <w:nsid w:val="7C83E458"/>
    <w:multiLevelType w:val="hybridMultilevel"/>
    <w:lvl w:ilvl="0">
      <w:lvlJc w:val="left"/>
      <w:lvlText w:val="%1."/>
      <w:numFmt w:val="decimal"/>
      <w:start w:val="9"/>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0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2019-12-29T06:37:45Z</dcterms:created>
  <dcterms:modified xsi:type="dcterms:W3CDTF">2019-12-29T06:37:45Z</dcterms:modified>
</cp:coreProperties>
</file>