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3" w:lineRule="exact"/>
        <w:rPr>
          <w:sz w:val="24"/>
          <w:szCs w:val="24"/>
          <w:color w:val="auto"/>
        </w:rPr>
      </w:pPr>
    </w:p>
    <w:p>
      <w:pPr>
        <w:ind w:left="3840" w:right="2360" w:hanging="3835"/>
        <w:spacing w:after="0" w:line="420"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28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8" w:lineRule="exact"/>
        <w:rPr>
          <w:sz w:val="24"/>
          <w:szCs w:val="24"/>
          <w:color w:val="auto"/>
        </w:rPr>
      </w:pPr>
    </w:p>
    <w:p>
      <w:pPr>
        <w:ind w:left="40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6"/>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701 Veterans Circle, Warminster, PA 18974</w:t>
            </w:r>
          </w:p>
        </w:tc>
        <w:tc>
          <w:tcPr>
            <w:tcW w:w="2720" w:type="dxa"/>
            <w:vAlign w:val="bottom"/>
            <w:gridSpan w:val="3"/>
          </w:tcPr>
          <w:p>
            <w:pPr>
              <w:spacing w:after="0"/>
              <w:rPr>
                <w:sz w:val="24"/>
                <w:szCs w:val="24"/>
                <w:color w:val="auto"/>
              </w:rPr>
            </w:pPr>
          </w:p>
        </w:tc>
      </w:tr>
      <w:tr>
        <w:trPr>
          <w:trHeight w:val="35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191"/>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6"/>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5"/>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384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w w:val="9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5"/>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1"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7" w:right="339" w:bottom="1440" w:gutter="0" w:footer="0" w:header="0"/>
        </w:sectPr>
      </w:pPr>
    </w:p>
    <w:p>
      <w:pPr>
        <w:spacing w:after="0" w:line="1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3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07" w:right="339" w:bottom="1440" w:gutter="0" w:footer="0" w:header="0"/>
          <w:type w:val="continuous"/>
        </w:sectPr>
      </w:pPr>
    </w:p>
    <w:p>
      <w:pPr>
        <w:spacing w:after="0" w:line="14" w:lineRule="exact"/>
        <w:rPr>
          <w:sz w:val="24"/>
          <w:szCs w:val="24"/>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68"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07" w:right="339" w:bottom="1440" w:gutter="0" w:footer="0" w:header="0"/>
          <w:type w:val="continuous"/>
        </w:sectPr>
      </w:pPr>
    </w:p>
    <w:p>
      <w:pPr>
        <w:ind w:right="28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9" w:lineRule="exact"/>
        <w:rPr>
          <w:sz w:val="24"/>
          <w:szCs w:val="24"/>
          <w:color w:val="auto"/>
        </w:rPr>
      </w:pPr>
    </w:p>
    <w:p>
      <w:pPr>
        <w:spacing w:after="0" w:line="207" w:lineRule="exact"/>
        <w:tabs>
          <w:tab w:leader="none" w:pos="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2024, the registrant had 189,491,685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418465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20" w:type="dxa"/>
            <w:vAlign w:val="bottom"/>
            <w:gridSpan w:val="2"/>
            <w:shd w:val="clear" w:color="auto" w:fill="CCEEFF"/>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0" w:type="dxa"/>
            <w:vAlign w:val="bottom"/>
            <w:gridSpan w:val="2"/>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360" w:type="dxa"/>
            <w:vAlign w:val="bottom"/>
            <w:gridSpan w:val="3"/>
            <w:shd w:val="clear" w:color="auto" w:fill="CCEEFF"/>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8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7560" w:type="dxa"/>
            <w:vAlign w:val="bottom"/>
            <w:tcBorders>
              <w:top w:val="single" w:sz="8" w:color="0000FF"/>
            </w:tcBorders>
            <w:gridSpan w:val="1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rPr>
              <w:t>OPERATIONS</w:t>
            </w:r>
          </w:p>
        </w:tc>
        <w:tc>
          <w:tcPr>
            <w:tcW w:w="1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3.</w:t>
            </w:r>
          </w:p>
        </w:tc>
        <w:tc>
          <w:tcPr>
            <w:tcW w:w="59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28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4.</w:t>
            </w:r>
          </w:p>
        </w:tc>
        <w:tc>
          <w:tcPr>
            <w:tcW w:w="5980" w:type="dxa"/>
            <w:vAlign w:val="bottom"/>
            <w:gridSpan w:val="1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28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35</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II. OTHER INFORMATION</w:t>
            </w:r>
          </w:p>
        </w:tc>
        <w:tc>
          <w:tcPr>
            <w:tcW w:w="360" w:type="dxa"/>
            <w:vAlign w:val="bottom"/>
            <w:gridSpan w:val="3"/>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1A.</w:t>
            </w:r>
          </w:p>
        </w:tc>
        <w:tc>
          <w:tcPr>
            <w:tcW w:w="12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4"/>
              </w:rPr>
              <w:t>RISK FACTORS</w:t>
            </w:r>
          </w:p>
        </w:tc>
        <w:tc>
          <w:tcPr>
            <w:tcW w:w="600" w:type="dxa"/>
            <w:vAlign w:val="bottom"/>
            <w:shd w:val="clear" w:color="auto" w:fill="CCEEFF"/>
          </w:tcPr>
          <w:p>
            <w:pPr>
              <w:spacing w:after="0"/>
              <w:rPr>
                <w:sz w:val="16"/>
                <w:szCs w:val="16"/>
                <w:color w:val="auto"/>
              </w:rPr>
            </w:pPr>
          </w:p>
        </w:tc>
        <w:tc>
          <w:tcPr>
            <w:tcW w:w="7000" w:type="dxa"/>
            <w:vAlign w:val="bottom"/>
            <w:tcBorders>
              <w:left w:val="single" w:sz="8" w:color="CCEEFF"/>
            </w:tcBorders>
            <w:gridSpan w:val="8"/>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3.</w:t>
            </w:r>
          </w:p>
        </w:tc>
        <w:tc>
          <w:tcPr>
            <w:tcW w:w="310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5"/>
              </w:rPr>
              <w:t>DEFAULTS UPON SENIOR SECURITIES</w:t>
            </w:r>
          </w:p>
        </w:tc>
        <w:tc>
          <w:tcPr>
            <w:tcW w:w="2800" w:type="dxa"/>
            <w:vAlign w:val="bottom"/>
            <w:gridSpan w:val="2"/>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4.</w:t>
            </w:r>
          </w:p>
        </w:tc>
        <w:tc>
          <w:tcPr>
            <w:tcW w:w="238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720" w:type="dxa"/>
            <w:vAlign w:val="bottom"/>
            <w:gridSpan w:val="2"/>
          </w:tcPr>
          <w:p>
            <w:pPr>
              <w:spacing w:after="0"/>
              <w:rPr>
                <w:sz w:val="16"/>
                <w:szCs w:val="16"/>
                <w:color w:val="auto"/>
              </w:rPr>
            </w:pPr>
          </w:p>
        </w:tc>
        <w:tc>
          <w:tcPr>
            <w:tcW w:w="572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18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560" w:type="dxa"/>
            <w:vAlign w:val="bottom"/>
            <w:tcBorders>
              <w:left w:val="single" w:sz="8" w:color="CCEEFF"/>
            </w:tcBorders>
            <w:shd w:val="clear" w:color="auto" w:fill="CCEEFF"/>
          </w:tcPr>
          <w:p>
            <w:pPr>
              <w:spacing w:after="0"/>
              <w:rPr>
                <w:sz w:val="16"/>
                <w:szCs w:val="16"/>
                <w:color w:val="auto"/>
              </w:rPr>
            </w:pPr>
          </w:p>
        </w:tc>
        <w:tc>
          <w:tcPr>
            <w:tcW w:w="6440" w:type="dxa"/>
            <w:vAlign w:val="bottom"/>
            <w:gridSpan w:val="7"/>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6.</w:t>
            </w:r>
          </w:p>
        </w:tc>
        <w:tc>
          <w:tcPr>
            <w:tcW w:w="18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40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132,027</w:t>
            </w:r>
          </w:p>
        </w:tc>
        <w:tc>
          <w:tcPr>
            <w:tcW w:w="0" w:type="dxa"/>
            <w:vAlign w:val="bottom"/>
          </w:tcPr>
          <w:p>
            <w:pPr>
              <w:spacing w:after="0"/>
              <w:rPr>
                <w:sz w:val="1"/>
                <w:szCs w:val="1"/>
                <w:color w:val="auto"/>
              </w:rPr>
            </w:pPr>
          </w:p>
        </w:tc>
      </w:tr>
      <w:tr>
        <w:trPr>
          <w:trHeight w:val="171"/>
        </w:trPr>
        <w:tc>
          <w:tcPr>
            <w:tcW w:w="664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$12,663</w:t>
            </w:r>
          </w:p>
        </w:tc>
        <w:tc>
          <w:tcPr>
            <w:tcW w:w="3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144"/>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(December 31, 2023: $11,900)</w:t>
            </w:r>
          </w:p>
        </w:tc>
        <w:tc>
          <w:tcPr>
            <w:tcW w:w="3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license revenue, 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liability, current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Issued and outstanding: 189,438,135</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169,867,414)</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1,349,821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81,270</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(1,276,652)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106,018</w:t>
            </w:r>
          </w:p>
        </w:tc>
        <w:tc>
          <w:tcPr>
            <w:tcW w:w="0" w:type="dxa"/>
            <w:vAlign w:val="bottom"/>
          </w:tcPr>
          <w:p>
            <w:pPr>
              <w:spacing w:after="0"/>
              <w:rPr>
                <w:sz w:val="1"/>
                <w:szCs w:val="1"/>
                <w:color w:val="auto"/>
              </w:rPr>
            </w:pPr>
          </w:p>
        </w:tc>
      </w:tr>
      <w:tr>
        <w:trPr>
          <w:trHeight w:val="217"/>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73,352</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42"/>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188,997,194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167,512,708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184,244,819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165,085,243</w:t>
            </w:r>
          </w:p>
        </w:tc>
        <w:tc>
          <w:tcPr>
            <w:tcW w:w="0" w:type="dxa"/>
            <w:vAlign w:val="bottom"/>
          </w:tcPr>
          <w:p>
            <w:pPr>
              <w:spacing w:after="0"/>
              <w:rPr>
                <w:sz w:val="1"/>
                <w:szCs w:val="1"/>
                <w:color w:val="auto"/>
              </w:rPr>
            </w:pPr>
          </w:p>
        </w:tc>
      </w:tr>
      <w:tr>
        <w:trPr>
          <w:trHeight w:val="263"/>
        </w:trPr>
        <w:tc>
          <w:tcPr>
            <w:tcW w:w="4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42"/>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440" w:top="1122" w:right="4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Additional Paid-</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3"/>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169,867,414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1,349,821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8,666,077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1,126,691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180,192,227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1,377,315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7,833,922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22,359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712,895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188,739,044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1,403,334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122,454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(19,717)</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189,438,135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1,407,595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106,890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122" w:right="4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9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157,455,363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136,852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Borders>
              <w:top w:val="single" w:sz="8" w:color="CCEEFF"/>
            </w:tcBorders>
            <w:vMerge w:val="continue"/>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7,423,622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(16,339)</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165,132,193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1,339,453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74,238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(1,220,142)</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143,915</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0" w:type="dxa"/>
            <w:vAlign w:val="bottom"/>
          </w:tcPr>
          <w:p>
            <w:pPr>
              <w:spacing w:after="0"/>
              <w:rPr>
                <w:sz w:val="1"/>
                <w:szCs w:val="1"/>
                <w:color w:val="auto"/>
              </w:rPr>
            </w:pPr>
          </w:p>
        </w:tc>
      </w:tr>
      <w:tr>
        <w:trPr>
          <w:trHeight w:val="131"/>
        </w:trPr>
        <w:tc>
          <w:tcPr>
            <w:tcW w:w="31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1,790,546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(17,094)</w:t>
            </w:r>
          </w:p>
        </w:tc>
        <w:tc>
          <w:tcPr>
            <w:tcW w:w="0" w:type="dxa"/>
            <w:vAlign w:val="bottom"/>
          </w:tcPr>
          <w:p>
            <w:pPr>
              <w:spacing w:after="0"/>
              <w:rPr>
                <w:sz w:val="1"/>
                <w:szCs w:val="1"/>
                <w:color w:val="auto"/>
              </w:rPr>
            </w:pPr>
          </w:p>
        </w:tc>
      </w:tr>
      <w:tr>
        <w:trPr>
          <w:trHeight w:val="222"/>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166,922,739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134,693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Borders>
              <w:top w:val="single" w:sz="8" w:color="CCEEFF"/>
            </w:tcBorders>
            <w:vMerge w:val="continue"/>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(20,104)</w:t>
            </w:r>
          </w:p>
        </w:tc>
        <w:tc>
          <w:tcPr>
            <w:tcW w:w="0" w:type="dxa"/>
            <w:vAlign w:val="bottom"/>
          </w:tcPr>
          <w:p>
            <w:pPr>
              <w:spacing w:after="0"/>
              <w:rPr>
                <w:sz w:val="1"/>
                <w:szCs w:val="1"/>
                <w:color w:val="auto"/>
              </w:rPr>
            </w:pPr>
          </w:p>
        </w:tc>
      </w:tr>
      <w:tr>
        <w:trPr>
          <w:trHeight w:val="222"/>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167,695,247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(1,257,340)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119,337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40" w:top="1017" w:right="439" w:bottom="1440" w:gutter="0" w:footer="0" w:header="0"/>
        </w:sectPr>
      </w:pPr>
    </w:p>
    <w:bookmarkStart w:id="6" w:name="page7"/>
    <w:bookmarkEnd w:id="6"/>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78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6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60" w:type="dxa"/>
            <w:vAlign w:val="bottom"/>
          </w:tcPr>
          <w:p>
            <w:pPr>
              <w:jc w:val="right"/>
              <w:ind w:right="1286"/>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(57,388)</w:t>
            </w:r>
          </w:p>
        </w:tc>
        <w:tc>
          <w:tcPr>
            <w:tcW w:w="80" w:type="dxa"/>
            <w:vAlign w:val="bottom"/>
          </w:tcPr>
          <w:p>
            <w:pPr>
              <w:spacing w:after="0"/>
              <w:rPr>
                <w:sz w:val="18"/>
                <w:szCs w:val="18"/>
                <w:color w:val="auto"/>
              </w:rPr>
            </w:pPr>
          </w:p>
        </w:tc>
        <w:tc>
          <w:tcPr>
            <w:tcW w:w="1460" w:type="dxa"/>
            <w:vAlign w:val="bottom"/>
          </w:tcPr>
          <w:p>
            <w:pPr>
              <w:jc w:val="right"/>
              <w:ind w:right="128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(53,537)</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1,047</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 of lab equipment</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14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royalty revenue</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deferred license revenue</w:t>
            </w: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(54,535)</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(68,644)</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investments in marketable securities</w:t>
            </w: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(98,318)</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(56,490)</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Disposition of investments in marketable securities</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107,951</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86,026</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4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9,537</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28,548</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tc>
        <w:tc>
          <w:tcPr>
            <w:tcW w:w="14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44,124</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exercise of stock options</w:t>
            </w: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6,055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08"/>
        </w:trPr>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ESPP</w:t>
            </w: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50,575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26,840</w:t>
            </w:r>
          </w:p>
        </w:tc>
      </w:tr>
      <w:tr>
        <w:trPr>
          <w:trHeight w:val="20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5,561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w:t>
            </w:r>
          </w:p>
        </w:tc>
      </w:tr>
      <w:tr>
        <w:trPr>
          <w:trHeight w:val="20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26,285</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30,776</w:t>
            </w:r>
          </w:p>
        </w:tc>
      </w:tr>
      <w:tr>
        <w:trPr>
          <w:trHeight w:val="228"/>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460" w:type="dxa"/>
            <w:vAlign w:val="bottom"/>
            <w:tcBorders>
              <w:bottom w:val="single" w:sz="8" w:color="auto"/>
            </w:tcBorders>
            <w:shd w:val="clear" w:color="auto" w:fill="CCEEFF"/>
          </w:tcPr>
          <w:p>
            <w:pPr>
              <w:jc w:val="right"/>
              <w:ind w:right="1286"/>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31,846</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8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Nature of business and future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Arbutus Biopharma Corporation (“Arbutus” or “the Company”) is a clinical-stage biopharmaceutical company leveraging its extensive virology expertise to develop novel therapeutics with distinct mechanisms of action, which can potentially be combined to provide a functional cure for patients with chronic hepatitis B virus (cHBV) infection. The Company believes the key to success in developing a functional cure involves suppressing hepatitis B virus deoxyribonucleic acid, reducing hepatitis B surface antigen and boosting HBV-specific immune responses. The Company’s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continues to protect and defend its intellectual property, which is the subject of the Company’s ongoing lawsuits against Moderna Therapeutics, Inc. (Moderna) and Pfizer Inc. and BioNTech SE (collectively, Pfizer/BioNTech) for their use of the Company’s patented lipid nanoparticle (LNP) technology in their COVID-19 vaccines. With respect to the Moderna lawsuit, the claim construction hearing occurred on February 8, 2024. On April 3, 2024, the court provided its claim construction ruling in which it construed the disputed claim terms and agreed with the Company’s position on most of the disputed claim terms. On August 5, 2024, the Company and Genevant Sciences Ltd. (Genevant), along with Moderna, filed a Stipulation to Extend Time with the court that requested an amended case schedule to accommodate certain outstanding discovery from Moderna and third parties. The court approved the amended case schedule and the start of the trial was moved from April 21, 2025 to September 24, 2025, subject to the court’s availability. The lawsuit against Pfizer/BioNTech is ongoing and a date for a claim construction hearing has been scheduled for December 18,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44"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At September 30, 2024, the Company had an aggregate of $130.8 million in cash, cash equivalents and investments in marketable securities. The Company had no outstanding debt as of September 30, 2024. The Company believes it has sufficient cash resources to fund its operations for at least the next 12 months.</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 w:name="page9"/>
    <w:bookmarkEnd w:id="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2023 included in the Company’s Annual Report on Form 10-K for the year ended December 31, 2023.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September 30, 2024 and December 31, 2023, the Company’s results of operations for the three and nine months ended September 30, 2024 and 2023, and the Company’s cash flows for the nine months ended September 30, 2024 and 2023. Such adjustments are of a normal recurring nature. The results of operations for the three and nine months ended September 30, 2024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2023, except as described below under the section entitled “Recent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loss per share is calculated based on the weighted average number of common shares outstanding. Diluted net loss per share does not differ from basic net loss per share for the three and nine months ended September 30, 2024 and 2023, since the effect of including potential common shares would be anti-dilutive. For the nine months ended September 30, 2024, potential common shares of 18.7 million pertaining to outstanding stock options and unvested restricted stock units were excluded from the calculation of net loss per share. A total of approximately 21.0 million outstanding stock options were excluded from the calculation for the nine months ended September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Company’s collaboration agreements fall under the scope of Accounting Standards Codification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some aspects, including for the delivery of a good or service (i.e., a unit of account).</w:t>
      </w:r>
    </w:p>
    <w:p>
      <w:pPr>
        <w:spacing w:after="0" w:line="2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 w:cs="Times New Roman" w:eastAsia="Times New Roman" w:hAnsi="Times New Roman"/>
          <w:sz w:val="18"/>
          <w:szCs w:val="18"/>
          <w:i w:val="1"/>
          <w:iCs w:val="1"/>
          <w:color w:val="auto"/>
        </w:rPr>
        <w:t>Balance Sheet - Offsetting</w:t>
      </w:r>
      <w:r>
        <w:rPr>
          <w:rFonts w:ascii="Times New Roman" w:cs="Times New Roman" w:eastAsia="Times New Roman" w:hAnsi="Times New Roman"/>
          <w:sz w:val="18"/>
          <w:szCs w:val="18"/>
          <w:color w:val="auto"/>
        </w:rPr>
        <w:t xml:space="preserve"> (ASC 210-20) the Company’s deferred revenue is offset by a contract asset as further discussed in Note 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a single segment.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which requires disclosure of significant segment expenses and other segment items on an annual and interim basis under ASC 280. ASU 2023-07 is effective for fiscal years beginning after December 15, 2023, and for interim periods beginning after December 15, 2024. Early adoption is permitted and the amendments in this ASU should be applied on a retrospective basis to all periods presented. The Company has not yet determined the impact ASU 2023-07 may have on the Company’s financial statement disclosures.</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yet determined the impact ASU 2023-09 may have on the Company’s financial statement disclosures.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reviewed all other recently issued standards and has determined that such standards will not have a material impact on the Company’s financial statements or do not otherwise apply to the Company’s operations.</w:t>
      </w: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35" w:lineRule="exact"/>
        <w:rPr>
          <w:sz w:val="20"/>
          <w:szCs w:val="20"/>
          <w:color w:val="auto"/>
        </w:rPr>
      </w:pPr>
    </w:p>
    <w:p>
      <w:pPr>
        <w:ind w:left="940" w:hanging="46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161" w:lineRule="exact"/>
        <w:rPr>
          <w:rFonts w:ascii="Times New Roman" w:cs="Times New Roman" w:eastAsia="Times New Roman" w:hAnsi="Times New Roman"/>
          <w:sz w:val="18"/>
          <w:szCs w:val="18"/>
          <w:color w:val="auto"/>
        </w:rPr>
      </w:pPr>
    </w:p>
    <w:p>
      <w:pPr>
        <w:jc w:val="both"/>
        <w:ind w:left="960" w:hanging="482"/>
        <w:spacing w:after="0" w:line="25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0" w:name="page11"/>
    <w:bookmarkEnd w:id="10"/>
    <w:p>
      <w:pPr>
        <w:ind w:left="960" w:hanging="482"/>
        <w:spacing w:after="0" w:line="268"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$8.3 million as of September 30, 2024 and the increase of $0.7 million from December 31, 2023 has been recorded as a component of total operating expenses in the statements of operations and comprehensive loss for the nine months ended September 30, 2024.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20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80" w:type="dxa"/>
            <w:vAlign w:val="bottom"/>
            <w:gridSpan w:val="5"/>
          </w:tcPr>
          <w:p>
            <w:pPr>
              <w:jc w:val="right"/>
              <w:ind w:right="47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2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8,335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370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5"/>
          </w:tcPr>
          <w:p>
            <w:pPr>
              <w:jc w:val="right"/>
              <w:ind w:right="47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240" w:type="dxa"/>
            <w:vAlign w:val="bottom"/>
          </w:tcPr>
          <w:p>
            <w:pPr>
              <w:spacing w:after="0"/>
              <w:rPr>
                <w:sz w:val="19"/>
                <w:szCs w:val="19"/>
                <w:color w:val="auto"/>
              </w:rPr>
            </w:pPr>
          </w:p>
        </w:tc>
        <w:tc>
          <w:tcPr>
            <w:tcW w:w="12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20" w:type="dxa"/>
            <w:vAlign w:val="bottom"/>
          </w:tcPr>
          <w:p>
            <w:pPr>
              <w:spacing w:after="0"/>
              <w:rPr>
                <w:sz w:val="16"/>
                <w:szCs w:val="16"/>
                <w:color w:val="auto"/>
              </w:rPr>
            </w:pPr>
          </w:p>
        </w:tc>
        <w:tc>
          <w:tcPr>
            <w:tcW w:w="21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Change in fair value of liability</w:t>
            </w:r>
          </w:p>
        </w:tc>
        <w:tc>
          <w:tcPr>
            <w:tcW w:w="240" w:type="dxa"/>
            <w:vAlign w:val="bottom"/>
          </w:tcPr>
          <w:p>
            <w:pPr>
              <w:spacing w:after="0"/>
              <w:rPr>
                <w:sz w:val="16"/>
                <w:szCs w:val="16"/>
                <w:color w:val="auto"/>
              </w:rPr>
            </w:pPr>
          </w:p>
        </w:tc>
        <w:tc>
          <w:tcPr>
            <w:tcW w:w="20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50"/>
        </w:trPr>
        <w:tc>
          <w:tcPr>
            <w:tcW w:w="43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84"/>
        </w:trPr>
        <w:tc>
          <w:tcPr>
            <w:tcW w:w="4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the fair value of the Company’s investments in marketable securities.</w:t>
      </w:r>
    </w:p>
    <w:p>
      <w:pPr>
        <w:spacing w:after="0" w:line="200" w:lineRule="exact"/>
        <w:rPr>
          <w:sz w:val="20"/>
          <w:szCs w:val="20"/>
          <w:color w:val="auto"/>
        </w:rPr>
      </w:pPr>
    </w:p>
    <w:p>
      <w:pPr>
        <w:spacing w:after="0" w:line="3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Investments in marketable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3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20" w:type="dxa"/>
            <w:vAlign w:val="bottom"/>
            <w:gridSpan w:val="5"/>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0" w:type="dxa"/>
            <w:vAlign w:val="bottom"/>
          </w:tcPr>
          <w:p>
            <w:pPr>
              <w:spacing w:after="0"/>
              <w:rPr>
                <w:sz w:val="1"/>
                <w:szCs w:val="1"/>
                <w:color w:val="auto"/>
              </w:rPr>
            </w:pPr>
          </w:p>
        </w:tc>
      </w:tr>
      <w:tr>
        <w:trPr>
          <w:trHeight w:val="19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52,457</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95,885</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95,948</w:t>
            </w:r>
          </w:p>
        </w:tc>
        <w:tc>
          <w:tcPr>
            <w:tcW w:w="0" w:type="dxa"/>
            <w:vAlign w:val="bottom"/>
          </w:tcPr>
          <w:p>
            <w:pPr>
              <w:spacing w:after="0"/>
              <w:rPr>
                <w:sz w:val="1"/>
                <w:szCs w:val="1"/>
                <w:color w:val="auto"/>
              </w:rPr>
            </w:pPr>
          </w:p>
        </w:tc>
      </w:tr>
      <w:tr>
        <w:trPr>
          <w:trHeight w:val="19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long-term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80" w:hanging="159"/>
        <w:spacing w:after="0"/>
        <w:tabs>
          <w:tab w:leader="none" w:pos="48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loss.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38"/>
        </w:trPr>
        <w:tc>
          <w:tcPr>
            <w:tcW w:w="4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60" w:type="dxa"/>
            <w:vAlign w:val="bottom"/>
            <w:gridSpan w:val="3"/>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18,029</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70,886</w:t>
            </w: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Yankee bonds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long-term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221"/>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r>
    </w:tbl>
    <w:p>
      <w:pPr>
        <w:spacing w:after="0" w:line="304" w:lineRule="exact"/>
        <w:rPr>
          <w:sz w:val="20"/>
          <w:szCs w:val="20"/>
          <w:color w:val="auto"/>
        </w:rPr>
      </w:pPr>
    </w:p>
    <w:p>
      <w:pPr>
        <w:ind w:left="480" w:hanging="159"/>
        <w:spacing w:after="0"/>
        <w:tabs>
          <w:tab w:leader="none" w:pos="48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loss.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contractual term to maturity of the $95.9 million of short-term marketable securities held by the Company as of September 30, 2024 is less than one year. As of September 30, 2024, the Company held $3.0 million of long-term marketable securities with contractual maturities of more than one year, but less than five years. As of December 31, 2023, the Company’s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color w:val="auto"/>
        </w:rPr>
        <w:t>$99.7 million of short-term marketable securities had contractual maturities of less than one year, while the Company’s $6.3 million of long-term marketable securities had maturities of more than one year, but less than five years.</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At September 30, 2024 and December 31, 2023, the Company had 7 and 27,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Accrued interest receivable on investments in marketable securities of $0.3 million at both September 30, 2024 and December 31, 2023 is included in prepaid expenses and other current assets.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had realized gains of less than $0.1 million for the three and nine months ended September 30, 2024 and zero and less than $0.1 million realized gains for same periods in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regarding the fair value of the Company’s investments in marketable securities.</w:t>
      </w:r>
    </w:p>
    <w:p>
      <w:pPr>
        <w:spacing w:after="0" w:line="200" w:lineRule="exact"/>
        <w:rPr>
          <w:sz w:val="20"/>
          <w:szCs w:val="20"/>
          <w:color w:val="auto"/>
        </w:rPr>
      </w:pPr>
    </w:p>
    <w:p>
      <w:pPr>
        <w:spacing w:after="0" w:line="2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Investment in Genevant</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a company focused on a broad range of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2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September 30, 2024,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3" w:name="page14"/>
    <w:bookmarkEnd w:id="13"/>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Accounts payable and accrued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6"/>
                <w:szCs w:val="16"/>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Sale of future royalties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 Pharmaceuticals, Inc. (Alnylam).</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September 30, 2024, the Company estimated an effective annual interest rate of approximately 2.0%.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September 30, 2024, the Company has recorded an aggregate of $24.4 million of non-cash royalty revenue for royalties earned by OMERS. There are a number of factors that could materially affect the amount and timing of royalty payments from Alnylam, none of which are within the Company’s control.</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non-cash royalty revenue of $1.7 million and related non-cash interest expense of less than $0.1 million. During the nine months ended September 30, 2023, the Company recognized non-cash royalty revenue of $2.7 million and related non-cash interest expense of $0.4 million.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the nine months ended September 30,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3"/>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(2,667)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spacing w:after="0"/>
              <w:rPr>
                <w:sz w:val="19"/>
                <w:szCs w:val="19"/>
                <w:color w:val="auto"/>
              </w:rPr>
            </w:pPr>
          </w:p>
        </w:tc>
        <w:tc>
          <w:tcPr>
            <w:tcW w:w="1000" w:type="dxa"/>
            <w:vAlign w:val="bottom"/>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r>
    </w:tbl>
    <w:p>
      <w:pPr>
        <w:spacing w:after="0" w:line="29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Contingencies and commitments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consideration was $8.3 million as of September 30, 2024.</w:t>
      </w:r>
    </w:p>
    <w:p>
      <w:pPr>
        <w:spacing w:after="0" w:line="200" w:lineRule="exact"/>
        <w:rPr>
          <w:sz w:val="20"/>
          <w:szCs w:val="20"/>
          <w:color w:val="auto"/>
        </w:rPr>
      </w:pPr>
    </w:p>
    <w:p>
      <w:pPr>
        <w:spacing w:after="0" w:line="2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Collaborations, contracts and licensing agreements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 Co., Ltd.</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the Territory. The royalties are payable on a product-by-product and region-by-region basis, subject to certain limitations.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type w:val="continuous"/>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18"/>
          <w:szCs w:val="18"/>
          <w:color w:val="auto"/>
        </w:rPr>
        <w:t>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the Territory until the Company has completed manufacturing technology transfer to Qilu and Qilu has received all approvals required for it or its designated contract manufacturing organization to manufacture imdusiran in the Territory.</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License Agreement)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determined the initial transaction price of the combined performance obligation to be $50.4 million, which includes the $40.0 million upfront fee, $4.4 million of withholding taxes paid by Qilu on behalf of the Company,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transaction price and the changes to the related liability balance: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Transaction Price</w:t>
            </w:r>
          </w:p>
        </w:tc>
        <w:tc>
          <w:tcPr>
            <w:tcW w:w="200" w:type="dxa"/>
            <w:vAlign w:val="bottom"/>
          </w:tcPr>
          <w:p>
            <w:pPr>
              <w:spacing w:after="0"/>
              <w:rPr>
                <w:sz w:val="13"/>
                <w:szCs w:val="13"/>
                <w:color w:val="auto"/>
              </w:rPr>
            </w:pPr>
          </w:p>
        </w:tc>
        <w:tc>
          <w:tcPr>
            <w:tcW w:w="180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Cumulative Collaboration</w:t>
            </w:r>
          </w:p>
        </w:tc>
        <w:tc>
          <w:tcPr>
            <w:tcW w:w="140" w:type="dxa"/>
            <w:vAlign w:val="bottom"/>
          </w:tcPr>
          <w:p>
            <w:pPr>
              <w:spacing w:after="0"/>
              <w:rPr>
                <w:sz w:val="13"/>
                <w:szCs w:val="13"/>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License Revenue</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8"/>
              </w:rPr>
              <w:t>Revenue Recognized</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performance obligation</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50,445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37,561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12,884</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contract asset</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(1,973)</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license revenue</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10,911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$0.1 million and $0.9 million of revenue based on labor hours expended by the Company on its Manufacturing Obligations during the three and nine months ended September 30, 2024, respectively, and $3.2 million and $10.3 million during the three and nine months ended September 30, 2023, respectively.</w:t>
      </w:r>
    </w:p>
    <w:p>
      <w:pPr>
        <w:spacing w:after="0" w:line="2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As of September 30, 2024, the balance of the deferred license revenue was $12.9 million, which, in accordance with ASC 210-20, was partially offset by the contract asset associated with the manufacturing cost reimbursement of $2.0 million, resulting in a net deferred license revenue liability of $10.9 million.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amortization expense of less than $0.1 million for both the three and nine months ended September 30, 2024 and amortization expense of less than $0.1 million for the three months ended September 30, 2023 and $0.1 million for the nine months ended September 30, 2023.</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Barinthus Biotherapeutics plc</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July 2021, the Company entered into a clinical collaboration agreement with Barinthus Biotherapeutics plc (Barinthus), formerly Vaccitech plc, to evaluate imdusiran followed by Barinthus’ VTP-300, an HBV antigen specific immunotherapy, and ongoing nucleos(t)ide analogue therapy in patients with cHBV. This clinical trial was amended and is now dosing patients in an additional treatment arm that includes an approved PD-1 monoclonal antibody inhibitor,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will split all costs associated with the clinical trial. The Company incurred $0.5 million and $1.7 million of expenses, net of Barinthus’s 50% share, during the three and nine months ended September 30, 2024, respectively, and $0.7 million and $1.6 million during the three and nine months ended September 30, 2023 respectively, and reflected those costs in research and development in the statements of operations and comprehensive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Entitlements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of the royalty sale through September 30, 2024, an aggregate of $24.4 million of royalties have been earned by OMERS.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Revenues are summarized in the following table: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5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Acuitas Therapeutics,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4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4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w:t>
            </w:r>
          </w:p>
        </w:tc>
      </w:tr>
    </w:tbl>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Shareholders’ equity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1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 has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with Jefferies LLC (Jefferies) dated December 20, 2018, as amended by Amendment No. 1, dated December 20, 2019, Amendment No. 2, dated August 7, 2020 and Amendment No. 3, dated March 4, 2021 (as amended, the Sale Agreement), under which the Company may issue and sell common shares, from time to time.</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for an offering of up to $50.0 million of the Company’s common shares pursuant to the Sale Agreement. This prospectus supplement was fully utilized during 2020. On August 7, 2020, the Company filed a prospectus supplement with the SEC (the August 2020 Prospectus Supplement) for an offering of up to an additional $75.0 million of its common shares pursuant to the Sale Agreement under the January 2020 Registration Statement. The August 2020 Prospectus Supplement was fully utilized during 2020. The January 2020 Registration Statement expired in January 2023.</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for an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for an offering of up to an additional $75.0 million of its common shares pursuant to the Sale Agreement under the October 2020 Registration Statement. The October 2020 Registration Statement expired in October 2023 with $29.3 million that was not utilized under the October 2021 Prospectus Supplement.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2021, the Company filed a shelf registration statement on Form S-3 with the SEC (File No. 333-260782) and accompanying base prospectus, which was declared effective by the SEC on November 18, 2021 (the November 2021 Registration Statement), for the offer and sale of up to $250.0 million of the Company’s securities.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 2022, the Company filed a prospectus supplement with the SEC (the March 2022 Prospectus Supplement) for an offering of up to an additional $100.0 million of its common shares pursuant to the Sale Agreement under: (i) the January 2020 Registration Statement; (ii) the October 2020 Registration Statement; and (iii) the November 2021 Registration Statement, of which only the November 2021 Registration Statement remains active.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did not issue any common shares pursuant to the Sale Agreement. During the nine months ended September 30, 2024, the Company issued 16,499,999 common shares pursuant to the Sale Agreement, resulting in net proceeds of approximately $44.1 million. During the three and nine months ended September 30, 2023, the Company issued 633,922 and 9,848,090 common shares pursuant to the Sale Agreement, respectively, resulting in net proceeds of $1.4 million and $26.0 million, respectively.</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September 30, 2024, there was approximately $25.4 million of common shares remaining available in aggregate under the March 2022 Prospectus Supplement, pursuant to the November 2021 Registration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table below summarizes information about the Company’s stock-based compensation for the three and nine months ended September 30, 2024 and 2023 and the expense recognized in the condensed consolidated statements of operations:</w:t>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0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48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4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 during period</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5,082,640</w:t>
            </w:r>
          </w:p>
        </w:tc>
      </w:tr>
      <w:tr>
        <w:trPr>
          <w:trHeight w:val="22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granted during period</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1,316,200</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1,344,550</w:t>
            </w: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date fair value</w:t>
            </w:r>
          </w:p>
        </w:tc>
        <w:tc>
          <w:tcPr>
            <w:tcW w:w="90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compensation expense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2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r>
      <w:tr>
        <w:trPr>
          <w:trHeight w:val="221"/>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90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r>
    </w:tbl>
    <w:p>
      <w:pPr>
        <w:spacing w:after="0" w:line="2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Restructuring</w:t>
      </w: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29, 2024, the Company’s Board of Directors approved a plan, effective August 1, 2024, to streamline the organization to focus its efforts on advancing the clinical development of imdusiran and AB-101, and therefore ceased all discovery efforts and discontinued its IM-PROVE III clinical trial. In taking these steps to streamline the organization, the Company implemented a 40% reduction in its workforce, primarily affecting the discovery and general and administrative functions. As a result, the Company incurred a one-time restructuring charge in the third quarter of 2024 of $3.6 million, which includes approximately $2.9 million of cash severance and continued benefits paid, a non-cash impairment charge for laboratory equipment of $0.2 million and $0.5 million of cash payments to vendors for close-out activities in connection with the cessation of discovery efforts and the discontinuation of the IM-PROVE III clinical trial.</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there were $0.6 million of accrued restructuring costs for contract close-out activities and severance payments included in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2023 and our unaudited condensed consolidated financial statements for the three and nine months ended September 30, 2024. Our consolidated financial statements have been prepared in accordance with United States generally accepted accounting principles and are presented in U.S.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ARBUTUS BIOPHARMA CORPORATION</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this Quarterly Report on Form 10-Q (Form 10-Q), the “Company,” “Arbutus,” “we,” “us,” and “our,” except where the context requires otherwise, refer to Arbutus Biopharma Corporation and its consolidated subsidiary, and “our Board of Directors” refers to the board of directors of Arbutus Biopharma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372"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studies, clinical trials, prospects and the plans of management;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achieve their desired or anticipated outcomes;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timing and results of our clinical development plans and clinical trials, including our clinical collaborations with third parties;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a curative combination regimen for chronic hepatitis B infection, a disease of the liver caused by the hepatitis B virus;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of our product candidates to improve upon the standard of care and contribute to a functional curative combination treatment regimen;</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returns and benefits from strategic alliances, licensing agreements, and research collaborations with third parties, and the timing thereof;</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technology licensed to third parties, and the timing thereof;</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 and expense fluctuation and guidance;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announcing data from our ongoing clinical trials;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current patent disputes and litigation;</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a net cash burn between $63 million and $67 million in 2024;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sufficient cash resources to fund our operations into the fourth quarter of 2026,</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2023 (the Form 10-K), and in particular the risks and uncertainties discussed under “Item 1A-Risk Factors” of this Form 10-Q and the Form 10-K. As a result, you should not place undue reliance on forward-looking statements.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 (the SEC).</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leveraging its extensive virology expertise to develop novel therapeutics with distinct mechanisms of action, which can potentially be combined to provide a functional cure for patients with chronic hepatitis B virus (cHBV) infection. We believe the key to success in developing a functional cure involves suppressing hepatitis B virus deoxyribonucleic acid (HBV DNA), reducing hepatitis B surface antigen (HBsAg) and boosting HBV-specific immune responses. Our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 </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continue to protect and defend our intellectual property, which is the subject of our ongoing lawsuits against Moderna Therapeutics, Inc. (Moderna) and Pfizer Inc. and BioNTech SE (collectively, Pfizer/BioNTech) for their use of our patented lipid nanoparticle (LNP) technology in their COVID-19 vaccines. With respect to the Moderna lawsuit, the claim construction hearing occurred on February 8, 2024. On April 3, 2024, the court provided its claim construction ruling in which it construed the disputed claim terms and agreed with our position on most of the disputed claim terms. On August 5, 2024, we and Genevant Sciences Ltd. (Genevant), along with Moderna, filed a Stipulation to Extend Time (the Stipulation) with the court that requested an amended case schedule to accommodate certain outstanding discovery from Moderna and third parties. The court approved the amended case schedule and the start of the trial was moved from April 21, 2025 to September 24, 2025, subject to the court’s availability. The lawsuit against Pfizer/BioNTech is ongoing and a date for a claim construction hearing has been scheduled for December 18,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strategy is to advance our therapeutic product candidates with complementary mechanisms of action into late-stage clinical trials with the goal of developing a functional cure for people with cHBV infection.</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believe that a combination of compounds that can suppress HBV DNA replication and HBsAg expression as well as boost patients’ HBV-specific immune response could address the most important elements to achieving a functional cure. Functional cure is defined as sustained HBsAg loss and HBV DNA less than the lower limit of quantification (&lt;LLOQ) 24 weeks off treatment, with or without anti-HBsAg antibodies. We are developing imdusiran as a cornerstone in a combination therapy that also includes antivirals and immunologics. We believe that a combination therapy delivered over a finite treatment period that results in a significant increase in the functional cure rate (i.e., a cure rate of at least 20%) would be a meaningful advancement for patients with cHBV infection.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HBV product pipeline includes the following:</w:t>
      </w:r>
    </w:p>
    <w:p>
      <w:pPr>
        <w:spacing w:after="0" w:line="240" w:lineRule="exact"/>
        <w:rPr>
          <w:sz w:val="20"/>
          <w:szCs w:val="20"/>
          <w:color w:val="auto"/>
        </w:rPr>
      </w:pPr>
    </w:p>
    <w:p>
      <w:pPr>
        <w:jc w:val="both"/>
        <w:ind w:left="640" w:hanging="319"/>
        <w:spacing w:after="0" w:line="293" w:lineRule="auto"/>
        <w:tabs>
          <w:tab w:leader="none" w:pos="63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Imdusiran is our proprietary, conjugated GalNAc, subcutaneously-delivered RNAi therapeutic product candidate that suppresses all HBV antigens, including HBsAg expression, which is thought to be a key prerequisite to enable reawakening of a patient’s immune system to respond to HBV. Over 250 patients with cHBV infection have been dosed with imdusiran in our Phase 1 and ongoing Phase 2a clinical trials. Clinical data generated thus far has shown imdusiran to be generally safe and well-tolerated, while also providing meaningful reductions in HBsAg and HBV DNA.</w:t>
      </w:r>
    </w:p>
    <w:p>
      <w:pPr>
        <w:spacing w:after="0" w:line="179" w:lineRule="exact"/>
        <w:rPr>
          <w:rFonts w:ascii="Times New Roman" w:cs="Times New Roman" w:eastAsia="Times New Roman" w:hAnsi="Times New Roman"/>
          <w:sz w:val="16"/>
          <w:szCs w:val="16"/>
          <w:color w:val="auto"/>
        </w:rPr>
      </w:pPr>
    </w:p>
    <w:p>
      <w:pPr>
        <w:jc w:val="both"/>
        <w:ind w:left="640" w:hanging="319"/>
        <w:spacing w:after="0" w:line="285" w:lineRule="auto"/>
        <w:tabs>
          <w:tab w:leader="none" w:pos="636" w:val="left"/>
        </w:tabs>
        <w:numPr>
          <w:ilvl w:val="0"/>
          <w:numId w:val="9"/>
        </w:numPr>
        <w:rPr>
          <w:rFonts w:ascii="Arial" w:cs="Arial" w:eastAsia="Arial" w:hAnsi="Arial"/>
          <w:sz w:val="16"/>
          <w:szCs w:val="16"/>
          <w:color w:val="auto"/>
        </w:rPr>
      </w:pPr>
      <w:r>
        <w:rPr>
          <w:rFonts w:ascii="Times New Roman" w:cs="Times New Roman" w:eastAsia="Times New Roman" w:hAnsi="Times New Roman"/>
          <w:sz w:val="16"/>
          <w:szCs w:val="16"/>
          <w:color w:val="auto"/>
        </w:rPr>
        <w:t>AB-101 is our proprietary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Parts 1 and 2 of this clinical trial enrolled sequential cohorts of healthy subjects receiving single and multiple doses, respectively, of AB-101 at increasing dose levels. The data showed that AB-101 was generally well-tolerated with evidence of dose-dependent receptor occupancy. We have moved into Part 3 of this clinical trial which evaluates repeat dosing of AB-101 in patients with cHBV, and we expect to report preliminary data in the first half of 2025.</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strategy is to position imdusiran as a potential cornerstone therapeutic in combination with AB-101 or other agents with potentially complementary mechanisms of action. We are currently conducting two Phase 2a clinical trials combining imdusiran with other agents. The intent of these trials is to initially lower HBsAg levels with imdusiran and then administer a complementary agent, in this case an immune modulator or a therapeutic vaccine, to further lower HBsAg levels and promote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2" w:name="page23"/>
    <w:bookmarkEnd w:id="22"/>
    <w:p>
      <w:pPr>
        <w:spacing w:after="0" w:line="268" w:lineRule="auto"/>
        <w:rPr>
          <w:sz w:val="20"/>
          <w:szCs w:val="20"/>
          <w:color w:val="auto"/>
        </w:rPr>
      </w:pPr>
      <w:r>
        <w:rPr>
          <w:rFonts w:ascii="Times New Roman" w:cs="Times New Roman" w:eastAsia="Times New Roman" w:hAnsi="Times New Roman"/>
          <w:sz w:val="18"/>
          <w:szCs w:val="18"/>
          <w:color w:val="auto"/>
        </w:rPr>
        <w:t>anti-HBV immunity. We believe that if we can lower HBsAg and promote immunity, we may achieve sustained HBsAg loss and HBV DNA &lt;LLOQ, potentially leading to a functional cure.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imdusiran development program includes the following Phase 2a clinical trials:</w:t>
      </w:r>
    </w:p>
    <w:p>
      <w:pPr>
        <w:spacing w:after="0" w:line="108" w:lineRule="exact"/>
        <w:rPr>
          <w:sz w:val="20"/>
          <w:szCs w:val="20"/>
          <w:color w:val="auto"/>
        </w:rPr>
      </w:pPr>
    </w:p>
    <w:p>
      <w:pPr>
        <w:jc w:val="both"/>
        <w:ind w:left="640" w:hanging="319"/>
        <w:spacing w:after="0" w:line="249"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in combination with Peg-IFNα-2a and ongoing standard-of-care NA therapy in patients with cHBV infection (IM-PROVE I). Preliminary data reported from this IM-PROVE I trial suggest that the addition of a short course of Peg-IFNα-2a to imdusiran treatment was generally safe, well-tolerated and, in some patients, resulted in HBsAg loss at end-of-treatment and sustained HBsAg loss 24 weeks after completing imdusiran and Peg-IFNα-2a treatment. We intend to present additional follow-up data as a late-breaker poster presentation at the upcoming AASLD - The Liver Meeting in November 2024.</w:t>
      </w:r>
    </w:p>
    <w:p>
      <w:pPr>
        <w:spacing w:after="0" w:line="82" w:lineRule="exact"/>
        <w:rPr>
          <w:rFonts w:ascii="Times New Roman" w:cs="Times New Roman" w:eastAsia="Times New Roman" w:hAnsi="Times New Roman"/>
          <w:sz w:val="18"/>
          <w:szCs w:val="18"/>
          <w:color w:val="auto"/>
        </w:rPr>
      </w:pPr>
    </w:p>
    <w:p>
      <w:pPr>
        <w:jc w:val="both"/>
        <w:ind w:left="640" w:hanging="319"/>
        <w:spacing w:after="0" w:line="24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in combination with VTP-300, Barinthus Biotherapeutics plc’s (Barinthus and formerly Vaccitech plc), HBV antigen specific immunotherapy, and ongoing standard-of-care NA therapy in patients with cHBV infection (IM-PROVE II). Preliminary data reported from this IM-PROVE II clinical trial showed that dosing with imdusiran and then VTP-300 achieved statistical significance in lowering HBsAg levels after the end of the treatment period. We are also dosing patients in an additional cohort of this clinical trial that, in addition to imdusiran and VTP-300, includes up to two low doses of nivolumab (Opdivo®), an approved PD-1 monoclonal antibody inhibitor. We intend to present preliminary end-of-treatment data from this additional cohort as a poster presentation at the upcoming AASLD - The Liver Meeting in November 2024.</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July 29, 2024, our Board of Directors approved a plan, effective August 1, 2024, to streamline the organization to focus our efforts on advancing the clinical development of imdusiran and AB-101, and therefore ceased all discovery efforts and discontinued our IM-PROVE III clinical trial. In taking these steps to streamline the organization, we implemented a 40% reduction in our workforce, primarily affecting the discovery and general and administrative functions. As a result, we incurred a one-time restructuring charge in the third quarter of 2024 of approximately $3.6 million, which includes approximately $2.9 million of cash severance and continued benefits payments, a non-cash impairment charge for laboratory equipment of approximately $0.2 million and approximately $0.5 million of cash payments to vendors for close-out activities in connection with the cessation of discovery efforts and the discontinuation of our IM-PROVE III clinical trial. With these organizational changes and our ongoing cost management efforts, we expect our current cash, cash equivalents and investments in marketable securities will be sufficient to fund our operations into the fourth quarter of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pipeline consists of two product candidates that are designed to suppress HBV DNA, reduce HBsAg and/or boost HBV-specific immune responses,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-13970</wp:posOffset>
            </wp:positionV>
            <wp:extent cx="3922395" cy="2219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2239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explore expansion opportunities for our pipeline through development activities and potential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RNAi therapeutic (imdusiran, AB-729)</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RNAi therapeutics represent a significant advancement in drug development. RNAi therapeutics utilize a natural pathway within cells to silence genes by eliminating the disease-causing proteins that they code for. We are developing an RNAi therapeutic that is designed to reduce HBsAg expression and other HBV antigens in people with cHBV infection. Reducing HBsAg is widely believed to be a key prerequisite to enable a patient’s immune system to reawaken and respond against the virus.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Imdusiran (AB-729) is a subcutaneously-delivered single-trigger RNAi therapeutic targeted to hepatocytes using our proprietary covalently conjugated GalNAc delivery technology. Imdusiran reduces all HBV antigens and inhibits viral replication.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Data from our Phase 1a/1b clinical trial evaluating single and multiple doses of imdusiran in healthy subjects and patients with cHBV (AB-729-001) showed that repeat dosing of 60mg and 90mg of imdusiran at different dosing intervals was well-tolerated and resulted in robust and comparable HBsAg declines and supported our view that 60mg every 8 weeks was an appropriate dose to move forward in our Phase 2a clinical trials.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 Phase 2a proof-of-concept clinical trial evaluating imdusiran in combination with Peg-IFNα-2a</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completed enrollment in a randomized, open label, multicenter Phase 2a proof-of-concept clinical trial investigating the safety and antiviral activity of imdusiran in combination with a short course of Peg-IFNα-2a and ongoing NA therapy in 43 stably NA-suppressed, HBeAg negative, non-cirrhotic patients with cHBV infection. The primary objective of this trial is to initially lower HBsAg levels with imdusiran and then administer Peg-IFNα-2a as an immunomodulator to promote anti-HBV immune reawakening. We believe that if we can lower HBsAg and promote immune reawakening, we may achieve sustained HBsAg loss and HBV DNA &lt;LLOQ, potentially leading to a functional cure. After 24-weeks of dosing with imdusiran (60mg every 8 weeks, 4 doses), patients were randomized into one of four arms to receive a short course of Peg-IFNα-2a plus ongoing NA therapy for either 12 or 24 weeks, with or without an additional two doses of imdusiran. After completion of the assigned Peg-IFNα-2a treatment period, all patients remained on NA therapy for the initial 24-week follow-up period, and then discontinued NA treatment, provided they met protocol-defined stopping criteria. Patients who stopped NA therapy entered an intensive follow-up period for 48 weeks.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European Association for the Study of the Liver (EASL) Congress in June 2024, we presented data from this clinical trial that suggests that the addition of Peg-IFNα-2a to imdusiran treatment was generally safe, well-tolerated and, in some patients, resulted in HBsAg loss at end-of-treatment and sustained HBsAg loss 24 weeks after completing imdusiran and Peg-IFNα-2a treatment.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 key data from this Phase 2a clinical trial that was presented at EASL 2024 include:</w:t>
      </w:r>
    </w:p>
    <w:p>
      <w:pPr>
        <w:spacing w:after="0" w:line="240" w:lineRule="exact"/>
        <w:rPr>
          <w:sz w:val="20"/>
          <w:szCs w:val="20"/>
          <w:color w:val="auto"/>
        </w:rPr>
      </w:pPr>
    </w:p>
    <w:p>
      <w:pPr>
        <w:jc w:val="both"/>
        <w:ind w:left="560" w:hanging="239"/>
        <w:spacing w:after="0" w:line="256" w:lineRule="auto"/>
        <w:tabs>
          <w:tab w:leader="none" w:pos="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patients in Cohort A1 who received 48 weeks of imdusiran (60mg every 8 weeks, 6 doses) combined with 24 weeks of Peg-IFNα-2a and their ongoing NA therapy achieved HBsAg loss at the end-of-treatment (EOT) that was maintained in 100% of these patients 24 weeks after completing imdusiran and Peg-IFNα-2a treatment.</w:t>
      </w:r>
    </w:p>
    <w:p>
      <w:pPr>
        <w:spacing w:after="0" w:line="73"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HBsAg loss was achieved and maintained in 67% of patients with HBsAg less than 1,000 IU/mL at baseline in Cohort A1.</w:t>
      </w:r>
    </w:p>
    <w:p>
      <w:pPr>
        <w:spacing w:after="0" w:line="108" w:lineRule="exact"/>
        <w:rPr>
          <w:rFonts w:ascii="Times New Roman" w:cs="Times New Roman" w:eastAsia="Times New Roman" w:hAnsi="Times New Roman"/>
          <w:sz w:val="18"/>
          <w:szCs w:val="18"/>
          <w:color w:val="auto"/>
        </w:rPr>
      </w:pPr>
    </w:p>
    <w:p>
      <w:pPr>
        <w:jc w:val="both"/>
        <w:ind w:left="560" w:hanging="239"/>
        <w:spacing w:after="0" w:line="252" w:lineRule="auto"/>
        <w:tabs>
          <w:tab w:leader="none" w:pos="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six patients who received 24 weeks of Peg-IFNα-2a (n=4 Cohort A1; n=2 Cohort A2) seroconverted with HBsAg loss. At the time the data was reported, all six of these patients had stopped NA therapy, with two of those patients reaching 12 weeks off all therapy with sustained undetectable HBV DNA levels and HBsAg loss. The remaining four patients were at various timepoints less than 12 weeks off therapy with undetectable HBV DNA levels and HBsAg loss.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data from the IM-PROVE I trial suggest that the combination of imdusiran and 24 weeks of Peg-IFNα-2a was generally safe and well-tolerated. There were no serious adverse events related to imdusiran or Peg-IFNα-2a, and no adverse events leading to discontinuation. The most common imdusiran-related treatment emergent adverse events (TEAEs) were transient ALT elevations and injection site bruising. The Peg-IFNα-2a-related TEAEs were consistent with the known safety profile of Peg-IFNα-2a.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present additional follow-up data as a late-breaker poster presentation at the upcoming AASLD - The Liver Meeting in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IM-PROVE II Phase 2a proof-of-concept clinical trial evaluating imdusiran in combination with Barinthus’ VTP-300</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Through a clinical collaboration agreement with Barinthus that we entered into in July 2021, we have completed enrollment in IM-PROVE II, a Phase 2a proof-of-concept clinical trial evaluating the safety, antiviral activity and immunogenicity of Barinthus’ VTP-300, an HBV antigen specific immunotherapy, administered after imdusiran in patients with cHBV infection. The initial trial design enrolled 40 NA-suppressed, HBeAg negative or positive, non-cirrhotic cHBV infected patients. The primary objective of this trial was to initially lower HBsAg levels with imdusiran and then administer VTP-300 as an immunomodulator to promote anti-HBV immune reawakening. We believe that if we can lower HBsAg and promote immune reawakening, we may achieve sustained HBsAg loss and HBV DNA &lt;LLOQ, potentially leading to a functional cure.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are followed for an additional 24 to 48 weeks.</w:t>
      </w:r>
    </w:p>
    <w:p>
      <w:pPr>
        <w:spacing w:after="0" w:line="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Preliminary data were presented at the EASL Congress in June 2024 from 38 of 40 patients in the IM-PROVE II clinical trial that were on stable NA therapy throughout the treatment period, received imdusiran (60mg every 8 weeks, 4 doses) over 24 weeks and were then randomized to receive either VTP-300 (treatment arm) or placebo at Weeks 26 and 30. The data showed that at 24-weeks post-treatment with imdusiran and VTP-300, statistical significance (p&lt;0.05) was achieved in HBsAg levels between the treatment arm (n=5) and placebo (n=6). In addition, more patients maintained HBsAg thresholds of &lt;100 IU/mL and &lt;10 IU/mL when administered VTP-300 versus placebo. Treatment with imdusiran and VTP-300 was generally safe and well-tolerated. There were no serious adverse events, Grade 3 or 4 adverse events or discontinuations due to adverse events.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we amended the IM-PROVE II clinical trial protocol to include another cohort that received imdusiran, VTP-300 and low dose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 approved PD-1 inhibitor. In this additional cohort, patients received imdusiran (60mg every 8 weeks, 4 doses) plus NA therapy for 24 weeks, followed by administration of VTP-300 plus up to two low doses of nivolumab while remaining on NA therapy. At week 48, all patients will be evaluated for eligibility to discontinue NA therapy, and will be followed for an additional 24 to 48 weeks. We intend to present preliminary end-of-treatment data from this additional cohort as a poster presentation at the upcoming AASLD - The Liver Meeting in November 2024.</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IM-PROVE II clinical trial is being managed by us, subject to oversight by a joint development committee comprised of representatives from both companies. We and Barinthus retain full rights to our respective product candidates and will split all costs associated with the clinical trial. Pursuant to the agreement, the parties may undertake a larger Phase 2b clinical trial depending on the results of the initial Phase 2a clinical trial.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III Phase 2a proof-of-concept clinical trial to evaluate imdusiran in combination with durvalumab</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terminated our Phase 2a clinical trial evaluating the safety, tolerability and antiviral activity of imdusiran and NA therapy in combination with intermittent low doses of durvalumab, an approved anti-PD-L1 monoclonal antibody, in patients with cHBV infection (IM-PROVE III) prior to dosing any participants. This decision was based on a prioritization of resources and the projected availability of clinical data from this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PD-L1 Inhibitor (AB-101)</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infection.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AB-101 is our proprietary oral small-molecule PD-L1 inhibitor candidate that we believe will allow for controlled checkpoint blockade while minimizing the systemic safety issues typically seen with checkpoint inhibitor antibody therapies. AB-101 is differentiated from monoclonal antibody checkpoint inhibitors such as durvalumab (anti-PD-L1) and nivolumab (anti-PD-1) because it is liver centric, has a much shorter duration of effect which may provide dosing and safety advantages, and has a novel mechanism of action as it binds to PD-L1 on the surface of cells causing dimerization and internalization of the PD-L1 protein followed by degradation within hours.</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Preclinical data indicates that AB-101 mediates activation and reinvigoration of HBV-specific T-cells from cHBV infected patients. In June 2022, we presented a poster at the 2022 EASL ILC highlighting data from a study that was designed to assess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6"/>
          <w:szCs w:val="16"/>
          <w:color w:val="auto"/>
        </w:rPr>
        <w:t>the preclinical activity of AB-101 and the compound’s ability to reinvigorate patient HBV-specific T-cells. Studies were conducted using a transgenic MC38 tumor mouse model and peripheral blood mononuclear cells (PBMCs) from cHBV infected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were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infection treatment. We believe AB-101, when used in combination with imdusiran or other approved and investigational agents, could potentially lead to a functional cure in HBV chronically infected patients.</w:t>
      </w:r>
    </w:p>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April 2023, we received verbal communication from the FDA that the AB-101 IND application had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In July 2023, the New Zealand Medicine Safety Authority (Medsafe) approved our clinical trial application (CTA) for a Phase 1 clinical trial in New Zealand for AB-101, and we believe the protocol approved by Medsafe adequately addresses the clinical trial design and safety monitoring issues raised by the FDA. We included the clinical hold letter from the FDA as part of our CTA application with Medsafe. Subsequent to its approval in New Zealand, our CTA for this Phase 1 clinical trial with AB-101 was approved in several additional countries outside of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1a/1b clinical trial to evaluate safety, tolerability and PK/PD of AB-101 (AB-101-001)</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currently dosing study subject in our Phase 1a/1b clinical trial for AB-101 (AB-101-001). The AB-101-001 clinical trial is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 1 of this clinical trial enrolled four sequential cohorts of eight healthy subjects each (6 active: 2 placebo) receiving a single dose of AB-101 at increasing dose levels. The data showed that AB-101 was well-tolerated with evidence of dose-dependent receptor occupancy. In the 25mg cohort, all five evaluable subjects showed evidence of receptor occupancy between 50-100%.</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 2 of this clinical trial has enrolled to date two sequential cohorts of ten healthy subjects each receiving 10 mg or 25 mg of AB-101 (8 active: 2 placebo) daily for seven days. AB-101 was generally well-tolerated after repeat dosing with evidence of dose-dependent receptor occupancy. In the 25mg cohort, all subjects showed evidence of receptor occupancy, with seven of the eight subjects demonstrating receptor occupancy greater than 70% during the seven-day dosing period.</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have moved into Part 3 of this clinical trial which evaluates repeat dosing of AB-101 for 28 days in patients with cHBV and we expect to report preliminary data in the first half of 2025.   </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Collaborations, Royalty Entitlements and Intellectual Property Litigation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Qilu Pharmaceutical Co., Ltd. (Qilu)</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 The royalties are payable on a product-by-product and region-by-region basis,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the Territory until we have completed manufacturing technology transfer to Qilu and Qilu has received all approvals required for it or its designated contract manufacturing organization to manufacture imdusiran in the Territory.</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(Alnylam) and Acuitas Therapeutics, Inc. (Acuitas)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royalty entitlements to Alnylam’s global net sales of ONPATTRO.</w:t>
      </w: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September 30, 2024, an aggregate of $24.4 million of royalties have been earned by OMERS.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 Sciences, Ltd.</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color w:val="auto"/>
        </w:rPr>
        <w:t>Genevant or, if less, tiered low single-digit royalties on net sales of the infringing product (inclusive of the proceeds from litigation or settlement, which would be treated as net sales).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2024, we owned approximately 16% of the common equity of Genevant and the carrying value of our investment in Genevant was zero.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entitlement to receive future royalties or sublicensing revenue from Genevant was not impacted by the recapitalization.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Inter Partes Review Petition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w:t>
      </w:r>
    </w:p>
    <w:p>
      <w:pPr>
        <w:spacing w:after="0" w:line="2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Both parties have given notice of their intent to appeal the Opposition Division’s decision, and the deadline for filing for their respective grounds for appeal is November 25, 2024.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holder, the ‘127 Patent, the ‘254 Patent, the other patents in our LNP portfolio have been licensed to Genevant and are included in the rights licensed by us to Genevant under the Genevant License.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On August 5, 2024, we and Genevant, along with Moderna, filed the Stipulation with the court that requested an amended case schedule to accommodate certain outstanding discovery from Moderna and third parties. The court approved the amended case schedule and the start of the trial was moved from April 21, 2025 to September 24, 2025, subject to the court’s availability.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certain court dates. Subsequently, the claim construction hearing was scheduled for December 18, 2024. Scheduling of subsequent case dates, including the date for trial, will be set at a later time that is yet to be determined. Document and written discovery in the action is ongoing.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Acuitas Declaratory Judgment Lawsuit</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18"/>
          <w:szCs w:val="18"/>
          <w:color w:val="auto"/>
        </w:rPr>
        <w:t>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2023. Acuitas filed a request to commence discovery on November 18, 2023, to which we and Genevant responded on November 20, 2023. On May 20, 2024, the court granted our and Genevant’s motion to dismiss, so we believe this matter is now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0" w:name="page31"/>
    <w:bookmarkEnd w:id="30"/>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1-Financial Statements (Unaudited)” of this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0"/>
        </w:trPr>
        <w:tc>
          <w:tcPr>
            <w:tcW w:w="40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73,352</w:t>
            </w:r>
          </w:p>
        </w:tc>
      </w:tr>
      <w:tr>
        <w:trPr>
          <w:trHeight w:val="217"/>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(21,558)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(57,356)</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17"/>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(20,104)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50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0" w:type="dxa"/>
            <w:vAlign w:val="bottom"/>
          </w:tcPr>
          <w:p>
            <w:pPr>
              <w:spacing w:after="0"/>
              <w:rPr>
                <w:sz w:val="16"/>
                <w:szCs w:val="16"/>
                <w:color w:val="auto"/>
              </w:rPr>
            </w:pPr>
          </w:p>
        </w:tc>
      </w:tr>
      <w:tr>
        <w:trPr>
          <w:trHeight w:val="190"/>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88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40" w:type="dxa"/>
            <w:vAlign w:val="bottom"/>
          </w:tcPr>
          <w:p>
            <w:pPr>
              <w:spacing w:after="0"/>
              <w:rPr>
                <w:sz w:val="19"/>
                <w:szCs w:val="19"/>
                <w:color w:val="auto"/>
              </w:rPr>
            </w:pPr>
          </w:p>
        </w:tc>
      </w:tr>
      <w:tr>
        <w:trPr>
          <w:trHeight w:val="223"/>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40" w:type="dxa"/>
            <w:vAlign w:val="bottom"/>
          </w:tcPr>
          <w:p>
            <w:pPr>
              <w:spacing w:after="0"/>
              <w:rPr>
                <w:sz w:val="19"/>
                <w:szCs w:val="19"/>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9"/>
                <w:szCs w:val="19"/>
                <w:color w:val="auto"/>
              </w:rPr>
            </w:pP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Pr>
          <w:p>
            <w:pPr>
              <w:spacing w:after="0"/>
              <w:rPr>
                <w:sz w:val="19"/>
                <w:szCs w:val="19"/>
                <w:color w:val="auto"/>
              </w:rPr>
            </w:pPr>
          </w:p>
        </w:tc>
        <w:tc>
          <w:tcPr>
            <w:tcW w:w="86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40" w:type="dxa"/>
            <w:vAlign w:val="bottom"/>
          </w:tcPr>
          <w:p>
            <w:pPr>
              <w:spacing w:after="0"/>
              <w:rPr>
                <w:sz w:val="19"/>
                <w:szCs w:val="19"/>
                <w:color w:val="auto"/>
              </w:rPr>
            </w:pPr>
          </w:p>
        </w:tc>
      </w:tr>
      <w:tr>
        <w:trPr>
          <w:trHeight w:val="508"/>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50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88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80" w:type="dxa"/>
            <w:vAlign w:val="bottom"/>
            <w:tcBorders>
              <w:top w:val="single" w:sz="8" w:color="auto"/>
            </w:tcBorders>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4,597</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3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revenue decreased $3.3 million and $11.4 million for the three and nine months ended September 30, 2024, respectively, compared to the same periods in 2023, due primarily to: i) a decrease in license revenue recognized related to our progress towards the satisfaction of our performance obligations with respect to the technology transfer and licensing agreement with Qilu; and ii) a decrease in license royalty revenue from Alnylam and Acuitas due to lower sales of ONPATTRO in 2024 compared to 2023.</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6"/>
                <w:szCs w:val="16"/>
                <w:color w:val="auto"/>
              </w:rPr>
            </w:pP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7"/>
        </w:trPr>
        <w:tc>
          <w:tcPr>
            <w:tcW w:w="5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22,779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26,216</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8"/>
                <w:szCs w:val="18"/>
                <w:color w:val="auto"/>
              </w:rPr>
            </w:pPr>
          </w:p>
        </w:tc>
      </w:tr>
      <w:tr>
        <w:trPr>
          <w:trHeight w:val="541"/>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56,136</w:t>
            </w: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17,374</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7"/>
        </w:trPr>
        <w:tc>
          <w:tcPr>
            <w:tcW w:w="50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66,983</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73,352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decreased $5.9 million and $10.9 million for the three and nine months ended September 30, 2024, respectively, compared to the same periods in 2023. The decreases were due primarily to the discontinuation of our coronavirus and AB-161 programs in September 2023, along with related headcount reductions, as part of our efforts to focus our pipeline on our lead HBV product candidates. In connection with our cessation of all discovery efforts in August 2024, we expect our research expenses to continue to be reduced in future periods.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General and administrative expenses decreased $1.3 million for the three months ended September 30, 2024, as compared to the same period in 2023, due primarily to decreased employee compensation-related expenses associated with a reduction in headcount in connection with the prioritization of our HBV pipeline in September 2023. Total general and administrative expenses remained substantially similar for the nine months ended September 30, 2024 compared to the same period in 2023, with higher litigation-related legal fees offset by a reduction in employee compensation-related expenses and insurance premiums.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Phase 2a proof-of-concept clinical trials, we will adjust our assumptions regarding probability of success commensurate with the progression of the program, which will increase the fair value of the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During the three months ended September 30, 2024, we ceased all discovery efforts and discontinued our IM-PROVE III clinical trial to streamline the organization to focus our efforts on advancing the clinical development of imdusiran and AB-101. In taking these steps, we implemented a 40% reduction in our workforce, primarily affecting the discovery and general and administrative functions. As a result, we incurred a one-time restructuring charge in the third quarter of 2024 of approximately $3.6 million, which includes approximately $2.9 million of cash severance and continued benefits payments, a non-cash impairment charge for laboratory equipment of approximately $0.2 million and approximately $0.5 million of cash payments to vendors for close-out activities in connection with the cessation of discovery efforts and the discontinuation of our IM-PROVE III clinical trial.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other income (loss) are summarized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1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4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4,998</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interest income for the three and nine months ended September 30, 2024 compared to the same periods in 2023 was due primarily to higher interest earned on our cash and investment balances due to a general increase in market interest rates. We anticipate a decrease in interest income in immediate future periods due to lower interest earned on our cash and investment balances due to a general decrease in market interest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2024 and 2023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1260" w:type="dxa"/>
            <w:vAlign w:val="bottom"/>
          </w:tcPr>
          <w:p>
            <w:pPr>
              <w:spacing w:after="0"/>
              <w:rPr>
                <w:sz w:val="16"/>
                <w:szCs w:val="16"/>
                <w:color w:val="auto"/>
              </w:rPr>
            </w:pPr>
          </w:p>
        </w:tc>
      </w:tr>
      <w:tr>
        <w:trPr>
          <w:trHeight w:val="37"/>
        </w:trPr>
        <w:tc>
          <w:tcPr>
            <w:tcW w:w="66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4"/>
        </w:trPr>
        <w:tc>
          <w:tcPr>
            <w:tcW w:w="66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90"/>
        </w:trPr>
        <w:tc>
          <w:tcPr>
            <w:tcW w:w="6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0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(53,537)</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license revenue</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operating items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(68,644)</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9,537</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28,548</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the Open Market Sale Agreement</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other financing activities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50,575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(13,245)</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30,776</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31,846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17,531</w:t>
            </w:r>
          </w:p>
        </w:tc>
      </w:tr>
    </w:tbl>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$54.5 million of cash was used in operating activities compared to $68.6 million used in operating activities for the nine months ended September 30, 2023, a change of $14.1 million. The change was due primarily to a decrease in research and development expenses related to our HBV pipeline prioritization in September 2023 and the timing of payments to vendors.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investing activities was $9.5 million, resulting primarily from maturities of investments in marketable securities of $108.0 million, partially offset by additional investments in marketable securities of $98.3 million. For the nine months ended September 30, 2023, net cash provided by investing activities was $28.5 million, which resulted primarily from maturities of investments in marketable securities of $86.0 million, partially offset by additional investments in marketable securities of $56.5 million.</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$50.6 million, which was primarily related to $44.1 million in proceeds from sales of common shares under the Sale Agreement and $6.1 million in proceeds from the issuance of common shares pursuant to the exercise of stock options. For the nine months ended September 30, 2023, net cash provided by financing activities was $26.8 million, which included $26.0 million in proceeds from sales of common shares under the Sale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September 30, 2024, we had cash, cash equivalents and investments in marketable securities of $130.8 million. We had no outstanding debt as of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24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with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December 23, 2019, we filed a shelf registration statement on Form S-3 with the SEC (File No. 333-235674) and accompanying base prospectus, declared effective by the SEC on January 10, 2020 (the January 2020 Registration Statement),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5" w:name="page36"/>
    <w:bookmarkEnd w:id="35"/>
    <w:p>
      <w:pPr>
        <w:jc w:val="both"/>
        <w:spacing w:after="0" w:line="249" w:lineRule="auto"/>
        <w:rPr>
          <w:sz w:val="20"/>
          <w:szCs w:val="20"/>
          <w:color w:val="auto"/>
        </w:rPr>
      </w:pPr>
      <w:r>
        <w:rPr>
          <w:rFonts w:ascii="Times New Roman" w:cs="Times New Roman" w:eastAsia="Times New Roman" w:hAnsi="Times New Roman"/>
          <w:sz w:val="18"/>
          <w:szCs w:val="18"/>
          <w:color w:val="auto"/>
        </w:rPr>
        <w:t>for the offer and sale of up to $150 million of our securities. The January 2020 Registration Statement also contained a prospectus supplement for an offering of up to $50.0 million of our common shares pursuant to the Sale Agreement. This prospectus supplement was fully utilized during 2020. On August 7, 2020, we filed a prospectus supplement with the SEC (the August 2020 Prospectus Supplement) for an offering of up to an additional $75.0 million of our common shares pursuant to the Sale Agreement under the January 2020 Registration Statement. The August 2020 Prospectus Supplement was fully utilized during 2020. The January 2020 Registration Statement expired in January 2023.</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August 28, 2020, we filed a shelf registration statement on Form S-3 with the SEC (File No. 333-248467) and accompanying base prospectus, declared effective by the SEC on October 22, 2020 (the October 2020 Registration Statement), for the offer and sale of up to $200 million of our securities. On March 4, 2021, we filed a prospectus supplement with the SEC in connection with the offering of up to an additional $75.0 million of our common shares pursuant to the Sale Agreement under the October 2020 Registration Statement, which we fully utilized during 2021. On October 8, 2021, we filed a prospectus supplement with the SEC for the offer and sale of up to an additional $75.0 million of our common shares pursuant to the Sale Agreement under the October 2020 Registration Statement.</w:t>
      </w:r>
    </w:p>
    <w:p>
      <w:pPr>
        <w:spacing w:after="0" w:line="21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On November 4, 2021, we filed a shelf registration statement on Form S-3 with the SEC (File No. 333-260782) and accompanying base prospectus, declared effective by the SEC on November 18, 2021 (the November 2021 Registration Statement), for the offer and sale of up to $250 million of our securities.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 of which only the November 2021 Registration Statement remains active.</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October 2023, the October 2020 Registration Statement expired with $29.3 million that was not utilized under the October 2021 Prospectus Supplement, leaving $75.0 million remaining available under the March 2022 Prospectus Supplement pursuant to the November 2021 Registration Statement.</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we issued 16,499,999 common shares pursuant to the Sale Agreement resulting in net proceeds of approximately $44.1 million. For the nine months ended September 30, 2023, we issued 9,848,090 common shares pursuant to the Sale Agreement, resulting in net proceeds of approximately $26.0 million. As of September 30, 2024, there was approximately $25.4 million available under the March 2022 Prospectus Supplement.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Entitlements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From the inception of the royalty sale through September 30, 2024, we have recorded an aggregate of $24.4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1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 the Territory. In partial consideration for the rights granted by us, Qilu paid us a one-time upfront cash payment of $40 million and made an equity investment in us of $15.0 million, both received in January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our $130.8 million of cash, cash equivalents and investments in marketable securities as of September 30, 2024 will be sufficient to fund our operations for at least the next twelve months and into the fourth quarter of 2026. We expect a net cash burn between $63 million and $67 million in 2024. In the future, substantial additional funds will be required to continue with the active development of our pipeline products and technologies. In particular, our funding needs may vary depending on a number of factors including:</w:t>
      </w:r>
    </w:p>
    <w:p>
      <w:pPr>
        <w:spacing w:after="0" w:line="77" w:lineRule="exact"/>
        <w:rPr>
          <w:sz w:val="20"/>
          <w:szCs w:val="20"/>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90"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make milestone payments related to our legacy agreements;</w:t>
      </w:r>
    </w:p>
    <w:p>
      <w:pPr>
        <w:spacing w:after="0" w:line="108"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clinical findings;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w:t>
      </w:r>
    </w:p>
    <w:p>
      <w:pPr>
        <w:spacing w:after="0" w:line="108"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63"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 candidates;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product candidates and technological and market developments; and</w:t>
      </w:r>
    </w:p>
    <w:p>
      <w:pPr>
        <w:spacing w:after="0" w:line="108"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advancement of our development programs.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If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this item is not required to be provided by smaller reporting companies.</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2024, our principal executive officer and principal financial officer concluded that, as of such date, our disclosure controls and procedures were effective at the reasonable assurance level.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certain court dates. Subsequently, the claim construction hearing was scheduled for December 18, 2024. Scheduling of subsequent case dates, including the date for trial, will be set at a later time that is yet to be determined. Document and written discovery in the action is ongoing.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On August 5, 2024, we and Genevant, along with Moderna, filed the Stipulation with the court that requested an amended case schedule to accommodate certain outstanding discovery from Moderna and third parties. The court approved the amended case schedule and the start of the trial was moved from April 21, 2025 to September 24, 2025, subject to the court’s availability.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Acuitas Declaratory Judgment Lawsuit</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9" w:name="page40"/>
    <w:bookmarkEnd w:id="39"/>
    <w:p>
      <w:pPr>
        <w:jc w:val="both"/>
        <w:spacing w:after="0" w:line="245" w:lineRule="auto"/>
        <w:rPr>
          <w:sz w:val="20"/>
          <w:szCs w:val="20"/>
          <w:color w:val="auto"/>
        </w:rPr>
      </w:pPr>
      <w:r>
        <w:rPr>
          <w:rFonts w:ascii="Times New Roman" w:cs="Times New Roman" w:eastAsia="Times New Roman" w:hAnsi="Times New Roman"/>
          <w:sz w:val="18"/>
          <w:szCs w:val="18"/>
          <w:color w:val="auto"/>
        </w:rPr>
        <w:t>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2023. Acuitas filed a request to commence discovery on November 18, 2023, to which we and Genevant responded on November 20, 2023. On May 20, 2024, the court granted our and Genevant’s motion to dismiss, so we believe this matter is now concluded.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Inter Partes Review Petition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18"/>
          <w:szCs w:val="18"/>
          <w:color w:val="auto"/>
        </w:rPr>
        <w:t>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Both parties have given notice of their intent to appeal the Opposition Division’s decision, and the deadline for filing for their respective grounds for appeal is November 25, 2024.</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holder, the ‘127 Patent, the ‘254 Patent, the other patents in our LNP portfolio have been licensed to Genevant and are included in the rights licensed by us to Genevant under the Genevant License.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8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our risk factors from those disclosed in our Annual Report on Form 10-K for the fiscal year ended December 31, 2023.</w:t>
      </w:r>
    </w:p>
    <w:p>
      <w:pPr>
        <w:spacing w:after="0" w:line="26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adopted, modified or terminated a “Rule 10b5-1 trading arrangement” or a “non-Rule 10b5-1 trading arrangement” as such terms are defined under Item 408 of Regulation S-K, except as follows:</w:t>
      </w:r>
    </w:p>
    <w:p>
      <w:pPr>
        <w:spacing w:after="0" w:line="234" w:lineRule="exact"/>
        <w:rPr>
          <w:sz w:val="20"/>
          <w:szCs w:val="20"/>
          <w:color w:val="auto"/>
        </w:rPr>
      </w:pPr>
    </w:p>
    <w:p>
      <w:pPr>
        <w:jc w:val="both"/>
        <w:ind w:left="640" w:hanging="319"/>
        <w:spacing w:after="0" w:line="239" w:lineRule="auto"/>
        <w:tabs>
          <w:tab w:leader="none" w:pos="63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On September 18, 2024, the Irrevocable Deed of Trust of Michael J. Sofia dated July 6, 2020 (the Trust), adopted a “Rule 10b5-1 trading arrangement,” as defined in Item 408 of Regulation S-K, to satisfy the affirmative defense of Rule 10b5-1(c) of the Exchange Act. Michael J. Sofia is our Chief Scientific Officer. This plan provides for the sale of an aggregate of up to 96,456 shares of our common stock, held by the Trust. This plan will terminate on April 15, 2025, or earlier upon the completed sale of the maximum number of common shares subject to the plan, subject to early termination for certain specified events set forth in the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15"/>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6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10"/>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13"/>
          </w:tcPr>
          <w:p>
            <w:pPr>
              <w:spacing w:after="0" w:line="177"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Notice of Articles and Articles of the Company, as amended (incorporated herein by reference to Exhibit 3.1 to the Registrant’s Annual Report</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52">
              <w:r>
                <w:rPr>
                  <w:rFonts w:ascii="Times New Roman" w:cs="Times New Roman" w:eastAsia="Times New Roman" w:hAnsi="Times New Roman"/>
                  <w:sz w:val="18"/>
                  <w:szCs w:val="18"/>
                  <w:color w:val="0000FF"/>
                  <w:w w:val="96"/>
                </w:rPr>
                <w:t>on Form 10-K for the year ended December 31, 2017, filed with the SEC on March 16, 2018).</w:t>
              </w:r>
            </w:hyperlink>
          </w:p>
        </w:tc>
        <w:tc>
          <w:tcPr>
            <w:tcW w:w="368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Amendment to Articles of the Company (incorporated herein by reference to Exhibit 3.1 to the Registrant’s Quarterly Report on Form 10-Q for</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9"/>
          </w:tcPr>
          <w:p>
            <w:pPr>
              <w:spacing w:after="0" w:line="164"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the quarter ended September 30, 2018, filed with the SEC on November 7,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First Amendment to Executive Employment Agreement, dated October 11, 2024, by and between Michael J. Sofia and Arbutus Biopharma, Inc.</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top w:val="single" w:sz="8" w:color="0000FF"/>
            </w:tcBorders>
            <w:gridSpan w:val="11"/>
          </w:tcPr>
          <w:p>
            <w:pPr>
              <w:spacing w:after="0" w:line="164"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(incorporated herein by reference to Exhibit 10.1 to the Registrant’s Current Report on Form 8-K, filed with the SEC on October 11,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2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8"/>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10"/>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 Act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3"/>
              </w:rPr>
              <w:t>of 2002.</w:t>
            </w:r>
          </w:p>
        </w:tc>
        <w:tc>
          <w:tcPr>
            <w:tcW w:w="9600" w:type="dxa"/>
            <w:vAlign w:val="bottom"/>
            <w:tcBorders>
              <w:top w:val="single" w:sz="8" w:color="0000FF"/>
            </w:tcBorders>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 Section 1350, as adopted pursuant to Section 906 of the Sarbanes-Oxley Act of</w:t>
            </w:r>
          </w:p>
        </w:tc>
      </w:tr>
      <w:tr>
        <w:trPr>
          <w:trHeight w:val="164"/>
        </w:trPr>
        <w:tc>
          <w:tcPr>
            <w:tcW w:w="9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80" w:type="dxa"/>
            <w:vAlign w:val="bottom"/>
            <w:tcBorders>
              <w:bottom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88"/>
              </w:rPr>
              <w:t>2002.</w:t>
            </w:r>
          </w:p>
        </w:tc>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74" w:lineRule="exact"/>
        <w:rPr>
          <w:sz w:val="20"/>
          <w:szCs w:val="20"/>
          <w:color w:val="auto"/>
        </w:rPr>
      </w:pPr>
    </w:p>
    <w:p>
      <w:pPr>
        <w:jc w:val="both"/>
        <w:ind w:left="1040" w:right="20" w:hanging="713"/>
        <w:spacing w:after="0" w:line="247"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Arbutus Biopharma Corporation’s Quarterly Report on Form 10-Q for the quarter ended September 30, 2024,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4" w:lineRule="exact"/>
        <w:rPr>
          <w:sz w:val="20"/>
          <w:szCs w:val="20"/>
          <w:color w:val="auto"/>
        </w:rPr>
      </w:pPr>
    </w:p>
    <w:p>
      <w:pPr>
        <w:ind w:right="2660" w:firstLine="327"/>
        <w:spacing w:after="0" w:line="579" w:lineRule="auto"/>
        <w:tabs>
          <w:tab w:leader="none" w:pos="10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 * Filed herewith.</w:t>
      </w:r>
    </w:p>
    <w:p>
      <w:pPr>
        <w:ind w:left="360" w:hanging="355"/>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Management Contract or Compensatory Arrangement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42" w:name="page43"/>
    <w:bookmarkEnd w:id="42"/>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100" w:firstLine="63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6, 2024.</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71" w:lineRule="exact"/>
        <w:rPr>
          <w:sz w:val="20"/>
          <w:szCs w:val="20"/>
          <w:color w:val="auto"/>
        </w:rPr>
      </w:pPr>
    </w:p>
    <w:tbl>
      <w:tblPr>
        <w:tblLayout w:type="fixed"/>
        <w:tblInd w:w="5540" w:type="dxa"/>
        <w:tblCellMar>
          <w:top w:w="0" w:type="dxa"/>
          <w:left w:w="0" w:type="dxa"/>
          <w:bottom w:w="0" w:type="dxa"/>
          <w:right w:w="0" w:type="dxa"/>
        </w:tblCellMar>
      </w:tblPr>
      <w:tr>
        <w:trPr>
          <w:trHeight w:val="228"/>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McElhaugh</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McElhaugh</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23"/>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 Hastings</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Hastings</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539"/>
        </w:trPr>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41</w:t>
            </w:r>
          </w:p>
        </w:tc>
        <w:tc>
          <w:tcPr>
            <w:tcW w:w="49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McElhaugh, certify that:</w:t>
      </w:r>
    </w:p>
    <w:p>
      <w:pPr>
        <w:spacing w:after="0" w:line="95" w:lineRule="exact"/>
        <w:rPr>
          <w:sz w:val="20"/>
          <w:szCs w:val="20"/>
          <w:color w:val="auto"/>
        </w:rPr>
      </w:pPr>
    </w:p>
    <w:p>
      <w:pPr>
        <w:ind w:left="1180" w:hanging="386"/>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Michael J. McElhaugh</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Interim President and Chief Executive Officer</w:t>
      </w:r>
    </w:p>
    <w:p>
      <w:pPr>
        <w:sectPr>
          <w:pgSz w:w="11900" w:h="16838" w:orient="portrait"/>
          <w:cols w:equalWidth="0" w:num="1">
            <w:col w:w="11240"/>
          </w:cols>
          <w:pgMar w:left="320" w:top="9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6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on Form 10-Q of Arbutus Biopharma Corporation (the “Company”) for the quarter ended September 30, 2024, as filed with the Securities and Exchange Commission on the date hereof (the “Report”), I, Michael J. McElhaugh, Interim President and Chief Executive Officer of the Company, certify, pursuant to 18 U.S.C. Section 1350, as adopted pursuant to Section 906 of the Sarbanes-Oxley Act of 2002, that to the best of my knowledge:</w:t>
      </w:r>
    </w:p>
    <w:p>
      <w:pPr>
        <w:spacing w:after="0" w:line="197" w:lineRule="exact"/>
        <w:rPr>
          <w:sz w:val="20"/>
          <w:szCs w:val="20"/>
          <w:color w:val="auto"/>
        </w:rPr>
      </w:pPr>
    </w:p>
    <w:p>
      <w:pPr>
        <w:ind w:left="1580" w:hanging="392"/>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Michael J. McElhaugh</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Interim President and Chief Executive Officer</w:t>
      </w:r>
    </w:p>
    <w:p>
      <w:pPr>
        <w:sectPr>
          <w:pgSz w:w="11900" w:h="16838" w:orient="portrait"/>
          <w:cols w:equalWidth="0" w:num="1">
            <w:col w:w="11240"/>
          </w:cols>
          <w:pgMar w:left="320" w:top="9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2024,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31" w:lineRule="exact"/>
        <w:rPr>
          <w:sz w:val="20"/>
          <w:szCs w:val="20"/>
          <w:color w:val="auto"/>
        </w:rPr>
      </w:pPr>
    </w:p>
    <w:p>
      <w:pPr>
        <w:ind w:left="1580" w:hanging="392"/>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2" Type="http://schemas.openxmlformats.org/officeDocument/2006/relationships/hyperlink" Target="https://www.sec.gov/Archives/edgar/data/1447028/000162828018003276/exhibit31_articlesandartic.htm" TargetMode="External"/><Relationship Id="rId53" Type="http://schemas.openxmlformats.org/officeDocument/2006/relationships/hyperlink" Target="https://www.sec.gov/Archives/edgar/data/1447028/000162828018013909/exhibit31amendmenttoarticl.htm" TargetMode="External"/><Relationship Id="rId54" Type="http://schemas.openxmlformats.org/officeDocument/2006/relationships/hyperlink" Target="https://www.sec.gov/Archives/edgar/data/1447028/000144702824000084/firstamendmenttomjsemploy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2024-11-06T15:21:03Z</dcterms:created>
  <dcterms:modified xsi:type="dcterms:W3CDTF">2024-11-06T15:21:03Z</dcterms:modified>
</cp:coreProperties>
</file>