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3" w:lineRule="exact"/>
        <w:rPr>
          <w:sz w:val="24"/>
          <w:szCs w:val="24"/>
          <w:color w:val="auto"/>
        </w:rPr>
      </w:pPr>
    </w:p>
    <w:p>
      <w:pPr>
        <w:ind w:left="3840" w:right="2360" w:hanging="3835"/>
        <w:spacing w:after="0" w:line="420"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28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701 Veterans Circle, Warminster, PA 18974</w:t>
            </w:r>
          </w:p>
        </w:tc>
        <w:tc>
          <w:tcPr>
            <w:tcW w:w="2720" w:type="dxa"/>
            <w:vAlign w:val="bottom"/>
            <w:gridSpan w:val="3"/>
          </w:tcPr>
          <w:p>
            <w:pPr>
              <w:spacing w:after="0"/>
              <w:rPr>
                <w:sz w:val="24"/>
                <w:szCs w:val="24"/>
                <w:color w:val="auto"/>
              </w:rPr>
            </w:pPr>
          </w:p>
        </w:tc>
      </w:tr>
      <w:tr>
        <w:trPr>
          <w:trHeight w:val="35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191"/>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1"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7"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07" w:right="339" w:bottom="1440" w:gutter="0" w:footer="0" w:header="0"/>
          <w:type w:val="continuous"/>
        </w:sectPr>
      </w:pPr>
    </w:p>
    <w:p>
      <w:pPr>
        <w:spacing w:after="0" w:line="14"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8"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07" w:right="339" w:bottom="1440" w:gutter="0" w:footer="0" w:header="0"/>
          <w:type w:val="continuous"/>
        </w:sectPr>
      </w:pPr>
    </w:p>
    <w:p>
      <w:pPr>
        <w:ind w:right="2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9" w:lineRule="exact"/>
        <w:rPr>
          <w:sz w:val="24"/>
          <w:szCs w:val="24"/>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11, 2025, the registrant had 192,324,017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20" w:type="dxa"/>
            <w:vAlign w:val="bottom"/>
            <w:gridSpan w:val="2"/>
            <w:shd w:val="clear" w:color="auto" w:fill="CCEEFF"/>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gridSpan w:val="2"/>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360" w:type="dxa"/>
            <w:vAlign w:val="bottom"/>
            <w:gridSpan w:val="3"/>
            <w:shd w:val="clear" w:color="auto" w:fill="CCEEFF"/>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OPERATIONS</w:t>
            </w:r>
          </w:p>
        </w:tc>
        <w:tc>
          <w:tcPr>
            <w:tcW w:w="1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3.</w:t>
            </w:r>
          </w:p>
        </w:tc>
        <w:tc>
          <w:tcPr>
            <w:tcW w:w="59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8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2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36</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60" w:type="dxa"/>
            <w:vAlign w:val="bottom"/>
            <w:gridSpan w:val="3"/>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4"/>
              </w:rPr>
              <w:t>RISK FACTORS</w:t>
            </w:r>
          </w:p>
        </w:tc>
        <w:tc>
          <w:tcPr>
            <w:tcW w:w="600" w:type="dxa"/>
            <w:vAlign w:val="bottom"/>
            <w:shd w:val="clear" w:color="auto" w:fill="CCEEFF"/>
          </w:tcPr>
          <w:p>
            <w:pPr>
              <w:spacing w:after="0"/>
              <w:rPr>
                <w:sz w:val="16"/>
                <w:szCs w:val="16"/>
                <w:color w:val="auto"/>
              </w:rPr>
            </w:pPr>
          </w:p>
        </w:tc>
        <w:tc>
          <w:tcPr>
            <w:tcW w:w="7000" w:type="dxa"/>
            <w:vAlign w:val="bottom"/>
            <w:tcBorders>
              <w:left w:val="single" w:sz="8" w:color="CCEEFF"/>
            </w:tcBorders>
            <w:gridSpan w:val="8"/>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5"/>
              </w:rPr>
              <w:t>DEFAULTS UPON SENIOR SECURITIES</w:t>
            </w:r>
          </w:p>
        </w:tc>
        <w:tc>
          <w:tcPr>
            <w:tcW w:w="2800" w:type="dxa"/>
            <w:vAlign w:val="bottom"/>
            <w:gridSpan w:val="2"/>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4.</w:t>
            </w:r>
          </w:p>
        </w:tc>
        <w:tc>
          <w:tcPr>
            <w:tcW w:w="23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720" w:type="dxa"/>
            <w:vAlign w:val="bottom"/>
            <w:gridSpan w:val="2"/>
          </w:tcPr>
          <w:p>
            <w:pPr>
              <w:spacing w:after="0"/>
              <w:rPr>
                <w:sz w:val="16"/>
                <w:szCs w:val="16"/>
                <w:color w:val="auto"/>
              </w:rPr>
            </w:pPr>
          </w:p>
        </w:tc>
        <w:tc>
          <w:tcPr>
            <w:tcW w:w="572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440" w:type="dxa"/>
            <w:vAlign w:val="bottom"/>
            <w:gridSpan w:val="7"/>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6.</w:t>
            </w:r>
          </w:p>
        </w:tc>
        <w:tc>
          <w:tcPr>
            <w:tcW w:w="18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40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127,316</w:t>
            </w:r>
          </w:p>
        </w:tc>
        <w:tc>
          <w:tcPr>
            <w:tcW w:w="0" w:type="dxa"/>
            <w:vAlign w:val="bottom"/>
          </w:tcPr>
          <w:p>
            <w:pPr>
              <w:spacing w:after="0"/>
              <w:rPr>
                <w:sz w:val="1"/>
                <w:szCs w:val="1"/>
                <w:color w:val="auto"/>
              </w:rPr>
            </w:pPr>
          </w:p>
        </w:tc>
      </w:tr>
      <w:tr>
        <w:trPr>
          <w:trHeight w:val="171"/>
        </w:trPr>
        <w:tc>
          <w:tcPr>
            <w:tcW w:w="664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impairment of $13,347</w:t>
            </w:r>
          </w:p>
        </w:tc>
        <w:tc>
          <w:tcPr>
            <w:tcW w:w="3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(December 31, 2024: $12,996)</w:t>
            </w:r>
          </w:p>
        </w:tc>
        <w:tc>
          <w:tcPr>
            <w:tcW w:w="3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license revenue, current</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license revenue, non-current</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Issued and outstanding: 191,953,665</w:t>
            </w: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189,963,492)</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1,410,025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(1,346,572)</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42"/>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191,778,950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188,997,194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191,347,969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184,244,819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189,963,492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1,410,025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82,048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892,857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w:t>
            </w: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191,481,474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1,416,332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82,089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(1,371,098)</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79,157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191,641,511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1,417,110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82,628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296,202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191,953,665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1,418,560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122"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9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100" w:type="dxa"/>
            <w:vAlign w:val="bottom"/>
          </w:tcPr>
          <w:p>
            <w:pPr>
              <w:spacing w:after="0"/>
              <w:rPr>
                <w:sz w:val="9"/>
                <w:szCs w:val="9"/>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tcBorders>
              <w:top w:val="single" w:sz="8" w:color="CCEEFF"/>
            </w:tcBorders>
            <w:vMerge w:val="continue"/>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139"/>
        </w:trPr>
        <w:tc>
          <w:tcPr>
            <w:tcW w:w="3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8,666,077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Sale Agreement</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1,126,691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22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180,192,227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tcBorders>
              <w:top w:val="single" w:sz="8" w:color="CCEEFF"/>
            </w:tcBorders>
            <w:vMerge w:val="continue"/>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39"/>
        </w:trPr>
        <w:tc>
          <w:tcPr>
            <w:tcW w:w="3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7,833,922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Sale Agreement</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712,895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22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188,739,044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tcBorders>
              <w:top w:val="single" w:sz="8" w:color="CCEEFF"/>
            </w:tcBorders>
            <w:vMerge w:val="continue"/>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39"/>
        </w:trPr>
        <w:tc>
          <w:tcPr>
            <w:tcW w:w="3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189,438,135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460" w:top="1017" w:right="479" w:bottom="1440" w:gutter="0" w:footer="0" w:header="0"/>
        </w:sectPr>
      </w:pPr>
    </w:p>
    <w:bookmarkStart w:id="6" w:name="page7"/>
    <w:bookmarkEnd w:id="6"/>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76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66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tcPr>
          <w:p>
            <w:pPr>
              <w:jc w:val="right"/>
              <w:ind w:right="12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(29,745)</w:t>
            </w:r>
          </w:p>
        </w:tc>
        <w:tc>
          <w:tcPr>
            <w:tcW w:w="80" w:type="dxa"/>
            <w:vAlign w:val="bottom"/>
          </w:tcPr>
          <w:p>
            <w:pPr>
              <w:spacing w:after="0"/>
              <w:rPr>
                <w:sz w:val="18"/>
                <w:szCs w:val="18"/>
                <w:color w:val="auto"/>
              </w:rPr>
            </w:pPr>
          </w:p>
        </w:tc>
        <w:tc>
          <w:tcPr>
            <w:tcW w:w="1440" w:type="dxa"/>
            <w:vAlign w:val="bottom"/>
          </w:tcPr>
          <w:p>
            <w:pPr>
              <w:jc w:val="right"/>
              <w:ind w:right="126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(57,388)</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leasehold improvements and lab equipment</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2,811</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5,691</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1,504</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deferred license revenue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08"/>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(34,957)</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(54,535)</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(114,514)</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(98,318)</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131,446</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107,951</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5"/>
        </w:trPr>
        <w:tc>
          <w:tcPr>
            <w:tcW w:w="6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16,941</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tc>
        <w:tc>
          <w:tcPr>
            <w:tcW w:w="1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44,124</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3,900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w:t>
            </w:r>
          </w:p>
        </w:tc>
      </w:tr>
      <w:tr>
        <w:trPr>
          <w:trHeight w:val="212"/>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ESPP</w:t>
            </w:r>
          </w:p>
        </w:tc>
        <w:tc>
          <w:tcPr>
            <w:tcW w:w="1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4,081</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50,575</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(Decrease) / Increase in cash and cash equivalents</w:t>
            </w:r>
          </w:p>
        </w:tc>
        <w:tc>
          <w:tcPr>
            <w:tcW w:w="1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(13,922)</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36,330</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420" w:type="dxa"/>
            <w:vAlign w:val="bottom"/>
            <w:tcBorders>
              <w:bottom w:val="single" w:sz="8" w:color="auto"/>
            </w:tcBorders>
          </w:tcPr>
          <w:p>
            <w:pPr>
              <w:jc w:val="right"/>
              <w:ind w:right="12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22,408</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31,846</w:t>
            </w:r>
          </w:p>
        </w:tc>
      </w:tr>
      <w:tr>
        <w:trPr>
          <w:trHeight w:val="21"/>
        </w:trPr>
        <w:tc>
          <w:tcPr>
            <w:tcW w:w="6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Nature of business and future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continues to protect and defend its intellectual property, which is the subject of its ongoing lawsuits against Moderna Therapeutics, Inc. (Moderna) and against Pfizer Inc. and BioNTech SE (collectively, Pfizer/BioNTech) for their use of the Company’s patented lipid nanoparticle (LNP) technology in their COVID-19 messenger ribonucleic acid interference (mRNA)-LNP vaccines. With respect to the Moderna lawsuit in the United States, fact discovery, expert discovery and summary judgment briefing have been completed and a trial date has been set for March 2026. In March 2025, the Company, along with Genevant Sciences GmbH and/or its affiliates (collectively, Genevant), filed five international lawsuits against Moderna in connection with the use of the Company’s LNP technology in Moderna’s COVID-19 mRNA-LNP vaccines and, in the Unified Patent Court, also other Moderna products that use the same LNP technology, including Moderna’s respiratory syncytial virus (RSV) vaccines. Public oral hearings for the two cases in the Unified Patent Court are scheduled for May 2026, and the trial in the Canadian case is set to begin in September 2027. With respect to the Pfizer/BioNTech lawsuit, the court issued a claim construction ruling in September 2025, which construed the disputed claim terms in a manner the Company generally considers to be favorable.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1"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At September 30, 2025, the Company had an aggregate of $93.7 million in cash, cash equivalents and investments in marketable securities. The Company had no outstanding debt as of September 30, 2025. The Company believes it has sufficient cash resources to fund its operations for at least the next 12 months.</w:t>
      </w:r>
    </w:p>
    <w:p>
      <w:pPr>
        <w:spacing w:after="0" w:line="1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2024 included in the Company’s Annual Report on Form 10-K for the year ended December 31, 2024.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September 30, 2025 and December 31, 2024, the Company’s results of operations for the three and nine months ended September 30, 2025 and 2024, and the Company’s cash flows for the nine months ended September 30, 2025 and 2024. Such adjustments are of a normal recurring nature. The results of operations for the three and nine months ended September 30, 2025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2024, except as described below under the section entitled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loss per share is calculated based on the weighted average number of common shares outstanding. Diluted net loss per share does not differ from basic net loss per share for the three and nine months ended September 30, 2025 and 2024 since the effect of including potential common shares would be anti-dilutive as the Company was in a net loss position. For the nine months ended September 30, 2025, potential common shares of 14.9 million pertaining to outstanding stock options and unvested restricted stock units were excluded from the calculation of net loss per share. A total of approximately 18.7 million outstanding stock options and unvested restricted stock units were excluded from the calculation for the nine months ended September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Accounting Standards Codification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some aspects, including for the delivery of a good or service (i.e., a unit of account).</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6"/>
          <w:szCs w:val="16"/>
          <w:i w:val="1"/>
          <w:iCs w:val="1"/>
          <w:color w:val="auto"/>
        </w:rPr>
        <w:t>Balance Sheet - Offsetting</w:t>
      </w:r>
      <w:r>
        <w:rPr>
          <w:rFonts w:ascii="Times New Roman" w:cs="Times New Roman" w:eastAsia="Times New Roman" w:hAnsi="Times New Roman"/>
          <w:sz w:val="16"/>
          <w:szCs w:val="16"/>
          <w:color w:val="auto"/>
        </w:rPr>
        <w:t xml:space="preserve"> (ASC 210-</w:t>
      </w:r>
    </w:p>
    <w:p>
      <w:pPr>
        <w:ind w:left="280" w:hanging="275"/>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revenue was offset by a contract asset as further discussed in Note 9.</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yet determined the impact ASU 2023-09 may have on the Company’s financial statement disclosures.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35" w:lineRule="exact"/>
        <w:rPr>
          <w:sz w:val="20"/>
          <w:szCs w:val="20"/>
          <w:color w:val="auto"/>
        </w:rPr>
      </w:pPr>
    </w:p>
    <w:p>
      <w:pPr>
        <w:ind w:left="940" w:hanging="46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161" w:lineRule="exact"/>
        <w:rPr>
          <w:rFonts w:ascii="Times New Roman" w:cs="Times New Roman" w:eastAsia="Times New Roman" w:hAnsi="Times New Roman"/>
          <w:sz w:val="18"/>
          <w:szCs w:val="18"/>
          <w:color w:val="auto"/>
        </w:rPr>
      </w:pPr>
    </w:p>
    <w:p>
      <w:pPr>
        <w:jc w:val="both"/>
        <w:ind w:left="960" w:hanging="482"/>
        <w:spacing w:after="0" w:line="25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26"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$11.1 million as of September 30, 2025 and the increase of $0.8 million from December 31, 2024 has been recorded as a component of total operating expenses in the condensed consolidated statements of operations and comprehensive income (loss) for the nine months ended September 30, 2025. The assumptions used in the discounted cash flow model are level 3 inputs as defined above. There were no changes in the assumptions as of September 30, 2025 compared to December 31, 2024. The Company assessed the sensitivity of the fair value measurement to changes in these unobservable inputs, and determined that changes within a reasonable range would not result in a materially different assessment of fair value.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0" w:name="page11"/>
    <w:bookmarkEnd w:id="10"/>
    <w:p>
      <w:pPr>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20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gridSpan w:val="5"/>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37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5"/>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20" w:type="dxa"/>
            <w:vAlign w:val="bottom"/>
          </w:tcPr>
          <w:p>
            <w:pPr>
              <w:spacing w:after="0"/>
              <w:rPr>
                <w:sz w:val="16"/>
                <w:szCs w:val="16"/>
                <w:color w:val="auto"/>
              </w:rPr>
            </w:pPr>
          </w:p>
        </w:tc>
        <w:tc>
          <w:tcPr>
            <w:tcW w:w="21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 in fair value of liability</w:t>
            </w:r>
          </w:p>
        </w:tc>
        <w:tc>
          <w:tcPr>
            <w:tcW w:w="260" w:type="dxa"/>
            <w:vAlign w:val="bottom"/>
          </w:tcPr>
          <w:p>
            <w:pPr>
              <w:spacing w:after="0"/>
              <w:rPr>
                <w:sz w:val="16"/>
                <w:szCs w:val="16"/>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4"/>
        </w:trPr>
        <w:tc>
          <w:tcPr>
            <w:tcW w:w="4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Investments in marketable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40" w:type="dxa"/>
            <w:vAlign w:val="bottom"/>
            <w:gridSpan w:val="3"/>
          </w:tcPr>
          <w:p>
            <w:pPr>
              <w:jc w:val="right"/>
              <w:ind w:right="436"/>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30,221</w:t>
            </w:r>
          </w:p>
        </w:tc>
      </w:tr>
      <w:tr>
        <w:trPr>
          <w:trHeight w:val="221"/>
        </w:trPr>
        <w:tc>
          <w:tcPr>
            <w:tcW w:w="20" w:type="dxa"/>
            <w:vAlign w:val="bottom"/>
          </w:tcPr>
          <w:p>
            <w:pPr>
              <w:spacing w:after="0"/>
              <w:rPr>
                <w:sz w:val="19"/>
                <w:szCs w:val="19"/>
                <w:color w:val="auto"/>
              </w:rPr>
            </w:pPr>
          </w:p>
        </w:tc>
        <w:tc>
          <w:tcPr>
            <w:tcW w:w="4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r>
    </w:tbl>
    <w:p>
      <w:pPr>
        <w:spacing w:after="0" w:line="264" w:lineRule="exact"/>
        <w:rPr>
          <w:sz w:val="20"/>
          <w:szCs w:val="20"/>
          <w:color w:val="auto"/>
        </w:rPr>
      </w:pPr>
    </w:p>
    <w:p>
      <w:pPr>
        <w:ind w:left="480" w:hanging="159"/>
        <w:spacing w:after="0"/>
        <w:tabs>
          <w:tab w:leader="none" w:pos="48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20" w:type="dxa"/>
            <w:vAlign w:val="bottom"/>
            <w:gridSpan w:val="5"/>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0" w:type="dxa"/>
            <w:vAlign w:val="bottom"/>
          </w:tcPr>
          <w:p>
            <w:pPr>
              <w:spacing w:after="0"/>
              <w:rPr>
                <w:sz w:val="1"/>
                <w:szCs w:val="1"/>
                <w:color w:val="auto"/>
              </w:rPr>
            </w:pPr>
          </w:p>
        </w:tc>
      </w:tr>
      <w:tr>
        <w:trPr>
          <w:trHeight w:val="19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480" w:hanging="159"/>
        <w:spacing w:after="0"/>
        <w:tabs>
          <w:tab w:leader="none" w:pos="4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income (loss).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contractual term to maturity of the $71.3 million of short-term marketable securities held by the Company as of September 30, 2025 is less than one year. As of September 30, 2025, the Company held no long-term marketable securities. As of December 31, 2024, the Company’s $86.3 million of short-term marketable securities had contractual maturities of less than one year, while the Company held no long-term marketable securities.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At September 30, 2025 and December 31, 2024, the Company had 8 and 6, respectively, available-for-sale investment debt securities in an unrealized loss position without an allowance for credit losses. Unrealized losses on the Company’s investments in debt securities have not been recognized into income as the issuers’ securities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securities. The fair value is expected to recover as the securities approach maturity.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in marketable securities of $0.3 million at September 30, 2025 and December 31, 2024 is included in prepaid expenses and other current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realized gains of less than $0.1 million during both the three and nine months ended September 30, 2025 and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Investment in Genevant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Sciences Ltd., a company focused on a broad range of ribonucleic acid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0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Notwithstanding the preceding, in March 2025, Genevant and the Company agreed that the Company be entitled to any award of damages in (or any proceeds of settlement of) certain pending patent litigation against Moderna and certain affiliates that is specifically allocated to Moderna’s vaccine for RSV known as mRESVIA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that, in the event there is no such specific allocation to mRESVIA in such award or settlement, the parties will discuss an appropriate allocation in good faith.</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September 30, 2025, the carrying value of the Company’s investment in Genevant was zero and the Company owned approximately 16% of the common equity of Genevant.</w:t>
      </w:r>
    </w:p>
    <w:p>
      <w:pPr>
        <w:spacing w:after="0" w:line="2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Accounts payable and accrued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March 2025, the Company’s Board of Directors (the Board) took action to reduce the Company’s workforce by 57%. The Board also decided to exit the Company’s corporate headquarters in Warminster, Pennsylvania and to discontinue in-house scientific research. As a result, the Company recorded a one-time restructuring charge of $12.4 million in the first quarter of 2025, of which there was $0.5 million in severance and benefit costs and $0.3 million of lease-related operation expenses accrued as of September 30, 2025.</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Sale of future royalties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Pharmaceuticals, Inc. (Alnylam).</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ONPATTRO utilizes the Company’s LNP technology, which was licensed to Alnylam pursuant to the Cross-License Agreement, dated November 12, 2012, by and between the Company and Alnylam (the LNP License Agreement). Under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3" w:name="page14"/>
    <w:bookmarkEnd w:id="13"/>
    <w:p>
      <w:pPr>
        <w:jc w:val="both"/>
        <w:spacing w:after="0" w:line="249" w:lineRule="auto"/>
        <w:rPr>
          <w:sz w:val="20"/>
          <w:szCs w:val="20"/>
          <w:color w:val="auto"/>
        </w:rPr>
      </w:pPr>
      <w:r>
        <w:rPr>
          <w:rFonts w:ascii="Times New Roman" w:cs="Times New Roman" w:eastAsia="Times New Roman" w:hAnsi="Times New Roman"/>
          <w:sz w:val="18"/>
          <w:szCs w:val="18"/>
          <w:color w:val="auto"/>
        </w:rPr>
        <w:t>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it fails to collect any such future royalties.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September 30, 2025, the Company estimated an effective annual interest rate of approximately 2.3%.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September 30, 2025, the Company has recorded an aggregate of $26.3 million of non-cash royalty revenue for royalties earned by OMERS. There are a number of factors that could materially affect the amount and timing of royalty payments from Alnylam, none of which are within the Company’s control.</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non-cash royalty revenue of $1.2 million and related non-cash interest expense of less than $0.1 million. During the nine months ended September 30, 2024, the Company recognized non-cash royalty revenue of $1.7 million and related non-cash interest expense of less than $0.1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nine months ended September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r>
    </w:tbl>
    <w:p>
      <w:pPr>
        <w:spacing w:after="0" w:line="29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Contingencies and commitments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2014, Arbutus Biopharma,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condensed consolidated statements of operations and comprehensive income (loss) (see Note 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$11.1 million as of September 30, 2025.</w:t>
      </w: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Collaborations, contracts and licensing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December 2021, the Company entered into a technology transfer and license agreement (the Qilu License Agreement) with Qilu Pharmaceutical Co., Ltd. (Qilu), pursuant to which the Company granted Qilu a sublicensable, royalty-bearing license, under certain intellectual property owned by the Company,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net of withholding taxes, on January 5, 2022, and agreed to pay the Company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were payable on a product-by-product and region-by-region basis, subject to certain limitations.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the Company and Qilu to coordinate and review the development, manufacturing and commercialization plans. Both parties also entered into a supply agreement and related quality agreement pursuant to which the Company would manufacture and supply Qilu with all quantities of imdusiran necessary for Qilu to develop and commercialize in Greater China and Taiwan until the Company completed its manufacturing technology transfer to Qilu and Qilu received all approvals required for it or its designated contract manufacturing organization to manufacture imdusiran in Greater China and Taiwan.</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and Qilu mutually agreed to conclude the strategic partnership and terminated the Qilu License Agreement and related agreements, and the Company now once again holds global rights for imdusiran. As no obligations remain under the Qilu License Agreement, the Company recognized all previously deferred revenue in the second quarter of 2025.</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period of time the Qilu License Agreement was effective, it fell under the scope of ASC 808 as both parties were active participants in the arrangement and were exposed to significant risks and rewards. While this arrangement was in the scope of ASC 808, the Company analogized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Qilu License Agreement) (the Qilu License) and (ii) drug supply obligations and manufacturing technology transfer (the Manufacturing Obligations). The Company determined that these two commitments were not distinct performance obligations for purposes of recognizing revenue as the manufacturing process is highly specialized and Qilu would not be able to benefit from the Qilu License Agreement without the Company’s involvement in the manufacturing activities until the transfer of the manufacturing know-how was complete. As such, the Company combined these commitments into one performance obligation to which the transaction price was allocated and recognized this transaction price associated with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bundled performance obligation over time using an inputs method based on labor hours expended by the Company on its Manufacturing Obligations.</w:t>
      </w:r>
    </w:p>
    <w:p>
      <w:pPr>
        <w:spacing w:after="0" w:line="2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determined the initial transaction price of the combined performance obligation to be $50.4 million, which included the $40.0 million upfront fee, $4.4 million of withholding taxes paid by Qilu on behalf of the Company, and the premium paid for the Share Transaction of $4.1 million. The Company determined the milestone payments to be variable consideration subject to constraint at inception. At the end of each subsequent reporting period, the Company reevaluated the probability of achievement of the future development, regulatory, and sales milestones subject to constraint and, if necessary, adjusted its estimate of the overall transaction price. Any such adjustments were recorded on a cumulative catch-up basis, which affect revenues and earnings in the period of adjustment.</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conclusion of the strategic partnership with Qilu, the Company recognized the remainder of the $9.6 million of deferred revenue during the nine months ended September 30, 2025. The Company also recognized $0.5 million of revenue based on labor hours expended by the Company on its Manufacturing Obligations during the nine months ended September 30, 2025. The Company recognized $0.1 million and $0.9 million during the three and nine months ended September 30, 2024, respectively, related to labor hours expended.</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incurred $0.6 million of incremental costs in obtaining the Qilu License Agreement, which was capitalized in other current assets and other assets and amortized as a component of general and administrative expense commensurate with the recognition of the combined performance obligation. The Company recognized the remainder of the amortization expense at the conclusion of the strategic partnership, recognizing a total of $0.2 million of amortization expense during the nine months ended September 30, 2025. The Company recognized amortization expense of less than $0.1 million for both the three and nine months ended September 30,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conclusion of the strategic partnership with Qilu, the Company reevaluated the transaction price and the total estimated labor hours expected to be incurred to satisfy the performance obligations and adjusted the deferred revenue at the end of each reporting period, which resulted in changes to the amount of collaboration revenue recognized and deferred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Barinthus Biotherapeutics plc</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Barinthus Biotherapeutics plc (Barinthus), formerly Vaccitech plc, to evaluate imdusiran followed by Barinthus’ VTP-300, an HBV immunotherapy, and ongoing nucleos(t)ide analogue therapy in patients with cHBV. This clinical trial was amended to include a treatment arm with the addition of an approved PD-1 monoclonal antibody inhibitor,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Company was responsible for managing this Phase 2a proof-of-concept clinical trial, subject to oversight by a joint development committee comprised of representatives from the Company and Barinthus. The Company and Barinthus retain full rights to their respective product candidates and split all costs associated with the clinical trial. The Company incurred $0.4 million and $0.9 million of expenses, net of Barinthus’s 50% share, during the three and nine months ended September 30, 2025, respectively, and $0.5 million and $1.7 million during the three and nine months ended September 30, 2024, respectively, and reflected those costs in research and development in the condensed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6"/>
          <w:szCs w:val="16"/>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it fails to collect any such future royalties. If this royalty entitlement reverts to the Company, it has the potential to provide an active royalty stream or to be otherwise monetized again in full or in part.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royalty sale through September 30, 2025, an aggregate of $26.3 million of royalties have been earned by OMERS.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ectPr>
          <w:pgSz w:w="11900" w:h="16838" w:orient="portrait"/>
          <w:cols w:equalWidth="0" w:num="1">
            <w:col w:w="11240"/>
          </w:cols>
          <w:pgMar w:left="320" w:top="1002" w:right="339" w:bottom="1440" w:gutter="0" w:footer="0" w:header="0"/>
        </w:sectPr>
      </w:pPr>
    </w:p>
    <w:p>
      <w:pPr>
        <w:spacing w:after="0" w:line="37"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37465</wp:posOffset>
            </wp:positionV>
            <wp:extent cx="20701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0100" cy="8255"/>
                    </a:xfrm>
                    <a:prstGeom prst="rect">
                      <a:avLst/>
                    </a:prstGeom>
                    <a:noFill/>
                  </pic:spPr>
                </pic:pic>
              </a:graphicData>
            </a:graphic>
          </wp:anchor>
        </w:drawing>
      </w:r>
    </w:p>
    <w:p>
      <w:pPr>
        <w:spacing w:after="0" w:line="41" w:lineRule="exact"/>
        <w:rPr>
          <w:sz w:val="20"/>
          <w:szCs w:val="20"/>
          <w:color w:val="auto"/>
        </w:rPr>
      </w:pPr>
    </w:p>
    <w:p>
      <w:pPr>
        <w:ind w:left="5220"/>
        <w:spacing w:after="0"/>
        <w:tabs>
          <w:tab w:leader="none" w:pos="68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30480</wp:posOffset>
            </wp:positionV>
            <wp:extent cx="2070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7010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37465</wp:posOffset>
            </wp:positionV>
            <wp:extent cx="2111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30480</wp:posOffset>
            </wp:positionV>
            <wp:extent cx="2111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sectPr>
          <w:pgSz w:w="11900" w:h="16838" w:orient="portrait"/>
          <w:cols w:equalWidth="0" w:num="2">
            <w:col w:w="7820" w:space="720"/>
            <w:col w:w="2700"/>
          </w:cols>
          <w:pgMar w:left="320" w:top="100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2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6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1"/>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6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r>
    </w:tbl>
    <w:p>
      <w:pPr>
        <w:spacing w:after="0" w:line="3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1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Effective March 26, 2025, the Company terminated its Open Market Sale Agreement with Jefferies LLC (Jefferies) dated December 20, 2018, as amended (the Sale Agreement), under which the Company could offer and sell common shares, from time to time.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the termination of the Sale Agreement, the Company did not issue any common shares pursuant to the Sale Agreement during the nine months ended September 30, 2025. The Company did not issue any common shares pursuant to the Sale Agreement during the three months ended September 30, 2024. During the nine months ended September 30, 2024, the Company issued 16,499,999 common shares pursuant to the Sale Agreement, resulting in net proceeds of $44.1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stock-based compensation for the three and nine months ended September 30, 2025 and 2024 and the expense recognized in the condensed consolidated statements of operations: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 during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4,163,000</w:t>
            </w: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units granted during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1,316,200</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date fair value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21"/>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r>
    </w:tbl>
    <w:p>
      <w:pPr>
        <w:spacing w:after="0" w:line="2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Segment Reporting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loss that also is reported on the condensed and consolidated statements of operations and comprehensive income (loss) as consolidated net loss. The chief operating decision maker uses net loss to monitor budget versus actual results and to evaluate the overall cash burn of the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46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r>
      <w:tr>
        <w:trPr>
          <w:trHeight w:val="197"/>
        </w:trPr>
        <w:tc>
          <w:tcPr>
            <w:tcW w:w="5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Research and development employee expense, lab supplies and overhead</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Imdusiran IM-PROVE I, II &amp; III clinical trials expense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AB-101-001 Phase 1a/1b clinical trial expense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research and development programs expense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23"/>
        </w:trPr>
        <w:tc>
          <w:tcPr>
            <w:tcW w:w="54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Other segment expense </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(7,742)</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(57,388)</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8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(7,742)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(57,388)</w:t>
            </w:r>
          </w:p>
        </w:tc>
      </w:tr>
    </w:tbl>
    <w:p>
      <w:pPr>
        <w:spacing w:after="0" w:line="306" w:lineRule="exact"/>
        <w:rPr>
          <w:sz w:val="20"/>
          <w:szCs w:val="20"/>
          <w:color w:val="auto"/>
        </w:rPr>
      </w:pPr>
    </w:p>
    <w:p>
      <w:pPr>
        <w:ind w:left="640" w:hanging="319"/>
        <w:spacing w:after="0" w:line="268" w:lineRule="auto"/>
        <w:tabs>
          <w:tab w:leader="none" w:pos="5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includes the change in the fair value of contingent consideration, non-cash interest expenses and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8" w:name="page19"/>
    <w:bookmarkEnd w:id="18"/>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March 2025, the Board took action to reduce the Company’s workforce by 57%. The Board also decided to exit the Company’s corporate headquarters in Warminster, Pennsylvania and to discontinue in-house scientific research. In connection with these actions, the Company incurred a one-time restructuring charge in the first quarter of 2025 of $12.4 million and $12.6 million for the nine months ended September 30, 2025, which included approximately $6.1 million of cash severance and continued benefits paid, $2.4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the Company’s corporate headquarters and a $0.4 million accrual of lease-related operating expenses.</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September 30, 2025, there was $0.5 million of accrued restructuring costs for severance payments and a $0.3 million accrual of lease-related operating expenses included in accounts payable and accrued liabilities.</w:t>
      </w:r>
    </w:p>
    <w:p>
      <w:pPr>
        <w:spacing w:after="0" w:line="200" w:lineRule="exact"/>
        <w:rPr>
          <w:sz w:val="20"/>
          <w:szCs w:val="20"/>
          <w:color w:val="auto"/>
        </w:rPr>
      </w:pP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Related Party Transaction</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August 5, 2025, the Company entered into an agreement with Keith Manchester, M.D. for consulting services regarding the Company’s development strategy and its hepatitis B programs. Dr. Manchester served as a member of the Board until February 24, 2025 and is considered a related person due to his service on the Board during the current fiscal year. In connection with this agreement, the Company granted an option to purchase 400,000 common shares to Dr. Manchester, with 5/48ths vesting immediately and the remainder vesting monthly. Vesting of all unvested shares may be accelerated if certain performance conditions are achieved, at the discretion of the Board.</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grant date fair value of the award was calculated using the Black-Scholes option valuation model, and expense will be recognized over the expected service period. The Company will accelerate recognition of any unrecognized expense if and when it becomes probable that the performance conditions will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2024 and our unaudited condensed consolidated financial statements for the three and nine months ended September 30, 2025. Our consolidated financial statements have been prepared in accordance with United States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Throughout this Quarterly Report on Form 10-Q (Form 10-Q), the “Company,” “Arbutus,” “we,” “us,” and “our,” except where the context requires otherwise, refer to Arbutus Biopharma Corporation and its consolidated subsidiary.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14"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studies, clinical trials, and prospects;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plans and expectations regarding our patent infringement lawsuits against Moderna and Pfizer/BioNTech;</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our clinical collaborations with third parties;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a therapy for chronic hepatitis B infection, a disease of the liver caused by the hepatitis B virus;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 to prevent complications of disease progression, to decrease hepatitis B virus burden by minimizing patient stigma and to address the need for finite and more efficacious hepatitis B virus treatments that further improve long-term outcomes and reduce associated healthcare costs;</w:t>
      </w:r>
    </w:p>
    <w:p>
      <w:pPr>
        <w:spacing w:after="0" w:line="1"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product candidates to improve upon the standard of care to treat hepatitis B infection and provide clinical benefits to hepatitis B patients;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3" w:lineRule="exact"/>
        <w:rPr>
          <w:rFonts w:ascii="Times New Roman" w:cs="Times New Roman" w:eastAsia="Times New Roman" w:hAnsi="Times New Roman"/>
          <w:sz w:val="18"/>
          <w:szCs w:val="18"/>
          <w:color w:val="auto"/>
        </w:rPr>
      </w:pPr>
    </w:p>
    <w:p>
      <w:pPr>
        <w:ind w:left="640" w:hanging="319"/>
        <w:spacing w:after="0" w:line="24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returns and benefits from strategic alliances, licensing agreements, and development collaborations with third parties, and the timing thereof;</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3" w:lineRule="exact"/>
        <w:rPr>
          <w:rFonts w:ascii="Times New Roman" w:cs="Times New Roman" w:eastAsia="Times New Roman" w:hAnsi="Times New Roman"/>
          <w:sz w:val="18"/>
          <w:szCs w:val="18"/>
          <w:color w:val="auto"/>
        </w:rPr>
      </w:pPr>
    </w:p>
    <w:p>
      <w:pPr>
        <w:ind w:left="640" w:hanging="319"/>
        <w:spacing w:after="0" w:line="23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net cash burn; and</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our expectation for how long we can fund our operations with our existing cash resources,</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2024 (the Form 10-K), and in particular the risks and uncertainties discussed under “Item 1A-Risk Factors” of this Form 10-Q and the Form 10-K. As a result, you should not place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9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continue to protect and defend our intellectual property, which is the subject of our ongoing lawsuits against Moderna Therapeutics, Inc. (Moderna) and against Pfizer Inc. and BioNTech SE (collectively, Pfizer/BioNTech) for their use of our patented lipid nanoparticle (LNP) technology in their COVID-19 messenger ribonucleic acid interference (mRNA)-LNP vaccines. With respect to the Moderna lawsuit in the United States, fact discovery, expert discovery and summary judgment briefing have been completed, and a trial date has been set for March 2026. In March 2025, we, along with Genevant Sciences GmbH and/or its affiliates (collectively, Genevant), filed five international lawsuits against Moderna in connection with the use of our LNP technology in Moderna’s COVID-19 mRNA-LNP vaccines and, in the Unified Patent Court, also other Moderna products that use the same LNP technology, including Moderna’s respiratory syncytial virus (RSV) vaccines. Public oral hearings for the two cases in the Unified Patent Court are scheduled for May 2026, and the trial in the Canadian case is set to begin in September 2027. With respect to the Pfizer/BioNTech lawsuit, the court issued a claim construction ruling in September 2025, which construed the disputed claim terms in a manner we generally consider to be favorable.</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2024, we streamlined the organization to focus our efforts on advancing the clinical development of imdusiran and AB-101, and therefore ceased all discovery efforts, halted preparations for a potential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Our Board also decided to exit our corporate headquarters in Warminster, Pennsylvania and to discontinue in-house scientific research. In connection with these actions, we incurred a one-time restructuring charge in the first quarter of 2025 of $12.4 million. With these organizational changes and our ongoing cost management efforts, we expect to significantly reduce our net cash burn in 2025 when compared to 2024.</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June 2025, we launched a new Scientific Advisory Board (SAB) consisting of globally-recognized leaders in the treatment of cHBV with extensive experience in late-stage clinical trials. SAB members are advising us on the strategic evaluation of our cHBV pipeline.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2025, we announced changes to our Board. Effective August 4, 2025, Anuj Hasija resigned from our Board due to his transition to a full-time executive role at another company that precludes his participation on our Board and other boards of directors. Dr. Roger Sawhney was appointed to the vacant seat on our Board, effective August 4, 2025. Dr. Sawhney was also appointed as a member of our Board’s Audit Committee and Corporate Governance and Nominating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strategy is focused on maximizing opportunities for our cHBV development programs and, through our exclusive license with Genevant, our in-house developed LNP technology.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LNP technology</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2022 and April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technology, which has been licensed for various applications to many different third parties. Our and Genevant’s LNP technology relies on microscopic particles built from four carefully selected types of fat-like molecules to shelter and protect nucleic acid molecules, including ribonucleic acid (RNA) molecules like the messenger RNA (mRNA) utilized in COVID-19 mRNA-LNP vaccines. This technology enables the mRNA to travel through the human body to a target cell and through the target cell’s membrane, where it releases the mRNA. Without this crucial technology, the mRNA would quickly degrade in the body and be ineffective. We remain committed to taking all legal actions necessary to defend and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2" w:name="page23"/>
    <w:bookmarkEnd w:id="22"/>
    <w:p>
      <w:pPr>
        <w:jc w:val="both"/>
        <w:spacing w:after="0" w:line="233" w:lineRule="auto"/>
        <w:rPr>
          <w:sz w:val="20"/>
          <w:szCs w:val="20"/>
          <w:color w:val="auto"/>
        </w:rPr>
      </w:pPr>
      <w:r>
        <w:rPr>
          <w:rFonts w:ascii="Times New Roman" w:cs="Times New Roman" w:eastAsia="Times New Roman" w:hAnsi="Times New Roman"/>
          <w:sz w:val="18"/>
          <w:szCs w:val="18"/>
          <w:color w:val="auto"/>
        </w:rPr>
        <w:t>With respect to the Moderna lawsuit in the United States, the court provided its claim construction ruling in April 2024 in which it construed the disputed claim terms and agreed with our position on most of the disputed claim terms. Fact discovery, expert discovery and summary judgment briefing have been completed, and a trial date has been set for March 2026. In March 2025, we, along with Genevant, filed five international lawsuits against Moderna in connection with Moderna’s use of our LNP technology in Moderna’s COVID-19 mRNA-LNP vaccines and, in the Unified Patent Court, also other Moderna products that use the same LNP technology, including Moderna’s RSV vaccines. Public oral hearings for the two cases in the Unified Patent Court are scheduled for May 2026, and the trial in the Canadian case is set to begin in September 2027. With respect to the Pfizer/BioNTech lawsuit, the court issued a claim construction ruling in September 2025, which construed the disputed claim terms in a manner we generally consider to be favorable.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cHBV programs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HBV strategy has been to develop a functional cure for patients with cHBV infection with imdusiran as a potential cornerstone in a combination therapy. Development to date has emphasized a combination of compounds that can suppress hepatitis B virus deoxyribonucleic acid (HBV DNA) replication, hepatitis B virus RNA (HBV RNA) replication, and hepatitis B surface antigen (HBsAg) expression, as well as boost patients’ HBV-specific immune response, which together could address the most important elements to achieving a functional cure. Functional cure is defined as sustained HBsAg seroclearance and HBV DNA less than the lower limit of quantification (&lt;LLOQ) after 24 weeks off treatment, with or without anti-hepatitis B surface antibodies (anti-HBs). A functional cure for patients with cHBV could prevent complications of disease progression, decrease HBV burden by minimizing patient stigma and address the need for finite and more efficacious HBV treatments that further improve long-term outcomes and reduce associated healthcare costs. Our current ongoing evaluation of our HBV strategy also includes analysis of imdusiran’s potential to suppress HBV DNA and HBV RNA replication and HBsAg expression, without any immunotherapeutics.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HBV product pipeline includes the following:</w:t>
      </w:r>
    </w:p>
    <w:p>
      <w:pPr>
        <w:spacing w:after="0" w:line="240" w:lineRule="exact"/>
        <w:rPr>
          <w:sz w:val="20"/>
          <w:szCs w:val="20"/>
          <w:color w:val="auto"/>
        </w:rPr>
      </w:pPr>
    </w:p>
    <w:p>
      <w:pPr>
        <w:jc w:val="both"/>
        <w:ind w:left="640" w:hanging="319"/>
        <w:spacing w:after="0" w:line="280" w:lineRule="auto"/>
        <w:tabs>
          <w:tab w:leader="none" w:pos="63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Imdusiran (AB-729) is our proprietary, GalNAc-conjugated, subcutaneously-delivered RNAi therapeutic product candidate that suppresses all HBV antigens, including HBsAg, which is thought to be a key prerequisite to enable reawakening of a patient’s immune system to respond to HBV. Over 250 patients with cHBV infection have been dosed with imdusiran in Phase 1 and Phase 2a clinical trials. Clinical data generated thus far has shown imdusiran provides meaningful reductions in HBsAg, HBV DNA and HBV RNA, and leads to functional cure in some patients, while being generally safe and well-tolerated. Benefits were observed in patients across all evaluated HBV genotypes (A to E). To date, eight patients achieved functional cure, off all treatment, in combination therapy that includes imdusiran, including two patients who did not receive any pegylated interferon alfa-2a (IFN) as part of the combination therapy. An additional 40 patients across our Phase 2a clinical trials were able to remain off NA therapy for at least 48 weeks after discontinuing NA therapy following treatment with imdusiran (46% (48/105) of all Phase 2a patients achieved functional cure or remained off NA therapy after discontinuing NA therapy following treatment with imdusiran). Of the 18 patients who consented to long-term follow-up, which includes all functionally cured patients and 10 patients who discontinued and remained off NA therapy for 48 weeks, 94% continue to remain off NA therapy for between 58 and 109 weeks. One functionally cured patient seroreverted but remains virally suppressed and off NA therapy.</w:t>
      </w:r>
    </w:p>
    <w:p>
      <w:pPr>
        <w:spacing w:after="0" w:line="188" w:lineRule="exact"/>
        <w:rPr>
          <w:rFonts w:ascii="Times New Roman" w:cs="Times New Roman" w:eastAsia="Times New Roman" w:hAnsi="Times New Roman"/>
          <w:sz w:val="16"/>
          <w:szCs w:val="16"/>
          <w:color w:val="auto"/>
        </w:rPr>
      </w:pPr>
    </w:p>
    <w:p>
      <w:pPr>
        <w:jc w:val="both"/>
        <w:ind w:left="640" w:hanging="319"/>
        <w:spacing w:after="0" w:line="293" w:lineRule="auto"/>
        <w:tabs>
          <w:tab w:leader="none" w:pos="636" w:val="left"/>
        </w:tabs>
        <w:numPr>
          <w:ilvl w:val="0"/>
          <w:numId w:val="10"/>
        </w:numPr>
        <w:rPr>
          <w:rFonts w:ascii="Arial" w:cs="Arial" w:eastAsia="Arial" w:hAnsi="Arial"/>
          <w:sz w:val="16"/>
          <w:szCs w:val="16"/>
          <w:color w:val="auto"/>
        </w:rPr>
      </w:pPr>
      <w:r>
        <w:rPr>
          <w:rFonts w:ascii="Times New Roman" w:cs="Times New Roman" w:eastAsia="Times New Roman" w:hAnsi="Times New Roman"/>
          <w:sz w:val="16"/>
          <w:szCs w:val="16"/>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to date in Part 3 of this clinical trial have showed that AB-101 was generally well-tolerated with evidence of high receptor occupancy.</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Our belief in these trials was that if we can lower HBsAg and promote immunity, we may achieve sustained HBsAg seroclearance and HBV DNA &lt;LLOQ, potentially leading to a functional cure in many patients with cHBV. Currently, patients with cHBV have limited treatment options - either NA therapy, which requires lifelong treatment, or a finite duration of IFN, which is poorly tolerated and has serious complications and side effects. We believe patients can see significant benefits even without functional cure if they are well enough to be able to discontinue NA therapy and maintain viral suppression.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18"/>
          <w:szCs w:val="18"/>
          <w:color w:val="auto"/>
        </w:rPr>
        <w:t>To date, a total of eight patients with cHBV achieved functional cure following treatment with imdusiran and NA therapy in combination with either IFN or with low dose nivolumab plus an immunotherapeutic, with seven of the eight patients continuing to sustain functional cure for periods ranging between 58 to 109 weeks. Seven of the eight total patients who achieved functional cure at the 60mg dose of imdusiran had HBsAg less than 1000 IU/mL at baseline. According to the literature, patients with HBsAg levels &lt;1000 IU/mL represent a significant portion of the cHBV population. In addition to the patients who achieved functional cure, 40 more patients were able to remain off NA therapy for at least 48 weeks after discontinuing NA therapy following treatment with imdusiran. In total, 46% (48/105) of all Phase 2a patients either achieved functional cure or remained off NA therapy after discontinuing NA therapy following treatment with imdusiran. Of the 10 patients who were able to discontinue and remain off NA therapy for at least 48 weeks that are being followed in our rollover study, nine have continued to remain off NA therapy for periods ranging between 83 to 108 weeks. All eight patients who achieved functional cure are participating in a rollover study and have maintained HBV DNA &lt;LLOQ for between 58 to 109 weeks. These results suggest that imdusiran has lasting durability in helping patients maintain viral suppression.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imdusiran development program includes the following two Phase 2a clinical trials:</w:t>
      </w:r>
    </w:p>
    <w:p>
      <w:pPr>
        <w:spacing w:after="0" w:line="108" w:lineRule="exact"/>
        <w:rPr>
          <w:sz w:val="20"/>
          <w:szCs w:val="20"/>
          <w:color w:val="auto"/>
        </w:rPr>
      </w:pPr>
    </w:p>
    <w:p>
      <w:pPr>
        <w:jc w:val="both"/>
        <w:ind w:left="640" w:hanging="319"/>
        <w:spacing w:after="0"/>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in combination with IFN, a standard-of-care immunomodulator, and ongoing standard-of-care NA therapy in patients with cHBV infection (IM-PROVE I). At the American Association for the Study of Liver Diseases (AASLD) – The Liver Meeting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November 2024, we presented new data from our IM-PROVE I Phase 2a clinical trial showing that six doses of imdusiran and 24 weeks of IFN added to ongoing NA therapy led to a functional cure rate of 50% (3/6) in hepatitis B e antigen (HBeAg) negative patients with baseline HBsAg levels less than 1000 IU/mL, and an overall functional cure rate of 25% (3/12). Additionally, three cHBV patients from other cohorts in the IM-PROVE I clinical trial achieved functional cure. Those patients who achieved a functional cure also seroconverted. Furthermore, an additional 10 patients who did not achieve functional cure were able to remain off NA therapy for at least 48 weeks after discontinuing NA therapy following treatment with imdusiran. At the AASLD – The Liver Meeting in November 2025, we presented new analysis from our IM-PROVE I Phase 2a clinical trial showing beneficial clinical outcomes were observed across all evaluated HBV genotypes (A to E). These data from the IM-PROVE I trial suggest that the combination of imdusiran, 24 weeks of IFN and NA therapy was generally safe and well-tolerated with beneficial clinical outcomes.</w:t>
      </w:r>
    </w:p>
    <w:p>
      <w:pPr>
        <w:spacing w:after="0" w:line="92" w:lineRule="exact"/>
        <w:rPr>
          <w:rFonts w:ascii="Times New Roman" w:cs="Times New Roman" w:eastAsia="Times New Roman" w:hAnsi="Times New Roman"/>
          <w:sz w:val="18"/>
          <w:szCs w:val="18"/>
          <w:color w:val="auto"/>
        </w:rPr>
      </w:pPr>
    </w:p>
    <w:p>
      <w:pPr>
        <w:jc w:val="both"/>
        <w:ind w:left="640" w:hanging="319"/>
        <w:spacing w:after="0" w:line="254"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Imdusiran in combination with VTP-300, Barinthus Biotherapeutics plc’s (Barinthus) HBV immunotherapeutic, and ongoing NA therapy in patients with cHBV infection, including a cohort with the addition of low dose nivolumab (Opdivo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achieved functional cure. Furthermore, an additional 30 patients (including some HBeAg positive patients) who did not achieve functional cure were able to remain off NA therapy for at least 48 weeks after discontinuing NA therapy following treatment with imdusiran. These data from the IM-PROVE II trial suggest that the combination of imdusiran, VTP-300, NA therapy and low dose nivolumab was generally safe and well-tolerated with beneficial clinical outcomes.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pipeline consists of two product candidates that are designed to suppress HBV DNA and HBV RNA, reduce HBsAg and other viral antigens and/or boost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HBV-specific immune responses, to allow cHBV patients to become and remain treatment-free,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5708650" cy="257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8650" cy="257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explore pipeline opportunities in the form of potential strategic alliances, in order to accelerate the development of these programs.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(imdusiran, AB-729)</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effectively silence genes by eliminating the disease-causing proteins that they code for. We are developing an RNAi therapeutic, imdusiran, that is designed to reduce HBV DNA, HBV RNA, HBsAg and other HBV antigen expression in people with cHBV infection. Reducing HBsAg and HBV DNA are widely believed to be key prerequisites to enable a patient’s immune system to reawaken and respond against the virus.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Imdusiran has the following advantages over other RNAi therapeutics in development for cHBV infection:</w:t>
      </w:r>
    </w:p>
    <w:p>
      <w:pPr>
        <w:spacing w:after="0" w:line="87" w:lineRule="exact"/>
        <w:rPr>
          <w:sz w:val="20"/>
          <w:szCs w:val="20"/>
          <w:color w:val="auto"/>
        </w:rPr>
      </w:pPr>
    </w:p>
    <w:p>
      <w:pPr>
        <w:ind w:left="640" w:hanging="315"/>
        <w:spacing w:after="0" w:line="251"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Targeted to hepatocytes using our proprietary covalently conjugated GalNAc delivery technology which provides highly efficient liver-targeted uptake</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and enables subcutaneous dosing.</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Unique nucleotide sequence that is single trigger and targets all HBV transcripts including HBx from cccDNA and integrated HBV DNA.</w:t>
      </w:r>
    </w:p>
    <w:p>
      <w:pPr>
        <w:spacing w:after="0" w:line="73" w:lineRule="exact"/>
        <w:rPr>
          <w:sz w:val="20"/>
          <w:szCs w:val="20"/>
          <w:color w:val="auto"/>
        </w:rPr>
      </w:pPr>
    </w:p>
    <w:p>
      <w:pPr>
        <w:ind w:left="640" w:hanging="315"/>
        <w:spacing w:after="0" w:line="25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Specific chemical modifications and unique asymmetric RNA structure that reduces off-target effects while maintaining/enhancing potency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providing durable liver exposure and in vivo efficacy.</w:t>
      </w:r>
    </w:p>
    <w:p>
      <w:pPr>
        <w:spacing w:after="0" w:line="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Delivered at a lower dose and less frequently (4, 8 or 12 week intervals).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Immune activation properties with HBV-specific T-cell immune restoration and a decrease in exhausted T-cells in responder patients.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 Phase 2a proof-of-concept clinical trial evaluating imdusiran in combination with IFN</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completed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Our primary intent for this trial was to initially lower HBsAg, HBV DNA and HBV RNA levels with imdusiran and then administer IFN as an immunomodulator to promote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5" w:name="page26"/>
    <w:bookmarkEnd w:id="25"/>
    <w:p>
      <w:pPr>
        <w:jc w:val="both"/>
        <w:spacing w:after="0" w:line="247" w:lineRule="auto"/>
        <w:rPr>
          <w:sz w:val="20"/>
          <w:szCs w:val="20"/>
          <w:color w:val="auto"/>
        </w:rPr>
      </w:pPr>
      <w:r>
        <w:rPr>
          <w:rFonts w:ascii="Times New Roman" w:cs="Times New Roman" w:eastAsia="Times New Roman" w:hAnsi="Times New Roman"/>
          <w:sz w:val="18"/>
          <w:szCs w:val="18"/>
          <w:color w:val="auto"/>
        </w:rPr>
        <w:t>anti-HBV immune reawakening. Our belief in this trial was that if we can lower HBsAg and HBV DNA levels and promote immune reawakening, we may achieve sustained HBsAg seroclearance and HBV DNA &lt;LLOQ, potentially leading to a functional cure. After patients received 24-weeks of dosing with imdusiran (60mg every 8 weeks, 4 doses) plus ongoing NA therapy, patients were randomized into one of four cohorts to receive a short course of IFN plus ongoing NA therapy for either 12 or 24 weeks, with or without up to two additional doses of imdusiran across an additional 16 week period. After completion of the assigned IFN treatment period, all patients remained on NA therapy for the initial 24-week follow-up period, and then discontinued NA treatment, provided they met protocol-defined NA therapy discontinuation criteria. Patients who discontinued NA therapy entered an intensive follow-up period for 48 weeks.</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Select key data from 12 patients in Cohort A1 of this Phase 2a clinical trial who received 6 doses of imdusiran, 24 weeks of IFN and ongoing NA therapy, as presented at the AASLD – The Liver Meeting in November 2024, include:</w:t>
      </w:r>
    </w:p>
    <w:p>
      <w:pPr>
        <w:spacing w:after="0" w:line="195" w:lineRule="exact"/>
        <w:rPr>
          <w:sz w:val="20"/>
          <w:szCs w:val="20"/>
          <w:color w:val="auto"/>
        </w:rPr>
      </w:pPr>
    </w:p>
    <w:p>
      <w:pPr>
        <w:ind w:left="560" w:hanging="239"/>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(3/6) of patients with baseline HBsAg &lt;1000 IU/mL achieved a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25% (3/12) of patients achieved a functional cure.</w:t>
      </w:r>
    </w:p>
    <w:p>
      <w:pPr>
        <w:spacing w:after="0" w:line="55"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patients that achieved a functional cure also seroconverted with anti-HBs levels increasing as patients lost HBsAg.</w:t>
      </w:r>
    </w:p>
    <w:p>
      <w:pPr>
        <w:spacing w:after="0" w:line="2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seroclearance that was associated with transient HBV RNA elevations that were preceded by or coincided with increases in immunological markers. At the AASLD – The Liver Meeting in November 2025, we presented new analysis from our IM-PROVE I Phase 2a clinical trial showing beneficial clinical outcomes were observed across all evaluated HBV genotypes (A to E).</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a total of 10 patients in IM-PROVE I who did not achieve functional cure were still able to remain off NA therapy for at least 48 weeks after discontinuing NA therapy following treatment with imdusiran. Across all cohorts and all baseline HBsAg levels, 37% (16/43) of patients either achieved functional cure or remained off NA therapy for at least 48 weeks after discontinuing NA therapy following treatment with imdusiran at 60mg.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These data from the IM-PROVE I trial suggest that the combination of imdusiran and IFN was generally safe and well-tolerated. There were no serious adverse events related to imdusiran, IFN or NA therapy, and no adverse events leading to discontinuation. The most common imdusiran-related treatment emergent adverse events (TEAEs) were injection site bruising and transient alanine aminotransferase elevations, which occurred in association with decreasing HBsAg levels and/or markers of immune activation, and which returned to baseline values in all instances. The IFN-related TEAEs were consistent with the known safety profile of IFN.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II Phase 2a proof-of-concept clinical trial evaluating imdusiran in combination with Barinthus’ VTP-300</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Through a clinical collaboration agreement with Barinthus that we entered into in July 2021, we completed IM-PROVE II, a Phase 2a proof-of-concept clinical trial evaluating the safety, antiviral activity and immunogenicity of a combination treatment with Barinthus’ VTP-300, an HBV immunotherapy, administered after imdusiran in patients with cHBV infection. The initial trial design enrolled 40 NA-suppressed, HBeAg negative or positive, non-cirrhotic cHBV infected patients. Our primary intent for this trial was to initially lower HBsAg, HBV DNA and HBV RNA levels with imdusiran and then administer VTP-300 as an immunomodulator to promote anti-HBV immune reawakening.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were followed for an additional 24 to 48 weeks. Subsequently, we amended the IM-PROVE II clinical trial protocol to include another cohort that received imdusiran, VTP-300, NA therapy and low dose nivolumab, an approved PD-1 inhibitor in oncology.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were followed for an additional 24 to 48 weeks.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cohort that included low dose nivolumab was the best performing cohort in the IM-PROVE II clinical trial. At the AASLD – The Liver Meeting in November 2024, we presented data from this clinical trial showing that the addition of low dose nivolumab increased rates of HBsAg seroclearance in cHBV patients and that 23% (3/13) of patients who received the treatment regimen with low dose nivolumab achieved HBsAg seroclearance by week 48. At the EASL Congress in May 2025,</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6" w:name="page27"/>
    <w:bookmarkEnd w:id="26"/>
    <w:p>
      <w:pPr>
        <w:spacing w:after="0" w:line="268" w:lineRule="auto"/>
        <w:rPr>
          <w:sz w:val="20"/>
          <w:szCs w:val="20"/>
          <w:color w:val="auto"/>
        </w:rPr>
      </w:pPr>
      <w:r>
        <w:rPr>
          <w:rFonts w:ascii="Times New Roman" w:cs="Times New Roman" w:eastAsia="Times New Roman" w:hAnsi="Times New Roman"/>
          <w:sz w:val="18"/>
          <w:szCs w:val="18"/>
          <w:color w:val="auto"/>
        </w:rPr>
        <w:t>we presented data showing that 25% (2/8) of patients with low dose nivolumab added to the treatment regimen and with baseline HBsAg&lt;1000 IU/mL achieved functional cure.</w:t>
      </w:r>
    </w:p>
    <w:p>
      <w:pPr>
        <w:spacing w:after="0" w:line="19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Additionally, a total of 30 patients in IM-PROVE II who did not achieve functional cure were still able to remain off NA therapy for at least 48 weeks after discontinuing NA therapy following treatment with imdusiran at 60mg. A total of 52% (32/62) of patients either achieved functional cure or remained off NA therapy for at least 48 weeks after discontinuing NA therapy following treatment with imdusiran at 60mg, across all cohorts and all baseline HBsAg levels, and both HBeAg negative and positive patients. Treatment with imdusiran, VTP-300, NA therapy and low dose nivolumab in this clinical trial was generally safe and well-tolerated. There were no serious adverse events, Grade 3 or 4 adverse events, immune-related adverse events, or discontinuations due to adverse events.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IM-PROVE II clinical trial was managed by us, subject to oversight by a joint development committee comprised of representatives from both companies. We and Barinthus retain full rights to our respective product candidates and split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after its ongoing VTP-300 clinical trials have concluded. The parties do not intend to undertake a larger Phase 2b with this combination treatment regimen.</w:t>
      </w:r>
    </w:p>
    <w:p>
      <w:pPr>
        <w:spacing w:after="0" w:line="214"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At the AASLD - The Liver Meeting in November 2025, we presented cumulative data across all of our imdusiran clinical trials demonstrating that imdusiran was safe and well-tolerated, and that beneficial clinical outcomes in our Phase 2a clinical studies were potentially linked to immune reawakening in patients.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Imdusiran Treatment Without Immunotherapeutic</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our single and multiple ascending dose Phase 1b clinical trial for imdusiran, we enrolled HBeAg negative and positive patients, as well as HBV DNA positive patients not on NA therapy. Across all arms, 71% (44/62) of patients achieved HBsAg levels below 100 IU/mL, including 5% (3/62) of patients achieving HBsAg seroclearance. Additionally, 56% (5/9) of patients who elected to discontinue NA therapy remained off NA therapy for at least three years after discontinuation. Furthermore, all patients in all imdusiran clinical studies showed significant early decreases in HBsAg levels, often observed after the first or second dose of imdusiran. In Group B of IM-PROVE II, after just 24 weeks of imdusiran dosing at just 60mg with only background NA therapy and no other combination agent, 30% (6/20) of patients were able to remain off NA therapy for at least 48 weeks after discontinuing NA therapy, including one patient who achieved HBsAg seroclearance. Based on the effect imdusiran alone appears to have on reducing HBsAg levels and suppressing HBV DNA and HBV RNA replication, we are also evaluating imdusiran as a treatment without any immunotherapeutic.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 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clinical trial to evaluate safety, tolerability and PK/PD of AB-101 (AB-101-001)</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7" w:name="page28"/>
    <w:bookmarkEnd w:id="27"/>
    <w:p>
      <w:pPr>
        <w:jc w:val="both"/>
        <w:spacing w:after="0" w:line="285" w:lineRule="auto"/>
        <w:rPr>
          <w:sz w:val="20"/>
          <w:szCs w:val="20"/>
          <w:color w:val="auto"/>
        </w:rPr>
      </w:pPr>
      <w:r>
        <w:rPr>
          <w:rFonts w:ascii="Times New Roman" w:cs="Times New Roman" w:eastAsia="Times New Roman" w:hAnsi="Times New Roman"/>
          <w:sz w:val="16"/>
          <w:szCs w:val="16"/>
          <w:color w:val="auto"/>
        </w:rPr>
        <w:t>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have moved into Part 3 of this clinical trial which evaluates repeat doses of AB-101 for 28 days in patients with cHBV. At the EASL Congress in May 2025, we presented data showing that a single dose of 10mg of AB-101 for 28 days in cHBV patients was well tolerated with PD-L1 receptor occupancy similar to that seen in healthy subjects at this dose. At the AASLD - The Liver Meeting in November 2025, we presented a Poster of Distinction highlighting maximal PD-L1 receptor occupancy between 68-100% at the 30mg daily dose. Treatment with AB-101 in Part 3 of this clinical trial has been generally safe and well-tolerated. There have been no serious adverse events or early discontinuations due to AB-101 and no evidence of liver dysfunction to date.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we and Qilu mutually agreed to conclude our strategic partnership and terminate the Qilu License Agreement and related agreements, and we now once again hold global rights for imdusiran. As no obligations remain under the Qilu License Agreement, we recognized all previously deferred revenue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We have two royalty entitlements to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September 30, 2025, an aggregate of $26.3 million of royalties have been earned by OMERS.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are receiving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Sciences Ltd.,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Notwithstanding the preceding, in March 2025, we and Genevant agreed that we would be entitled to any award of damages in (or any proceeds of settlement of) certain pending patent litigation against Moderna and certain affiliates that is specifically allocated to Moderna’s vaccine for RSV known as mRESVIA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that, in the event there is no such specific allocation to mRESVIA in such award or settlement, the parties will discuss an appropriate allocation in good faith.</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we owned approximately 16% of the common equity of Genevant and the carrying value of our investment in Genevant was zero.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entitlement to receive future royalties or sublicensing revenue from Genevant was not impacted by the recapitalization.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2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In the lawsuit, we seek fair compensation for Moderna’s use of our patented technology that was developed with great effort and at great expense, without which Moderna’s COVID-19 vaccine would not have been successful. In May 2022, Moderna filed a partial motion to dismiss the claims “relating to Moderna’s sale and provision of COVID-19 vaccine doses to the U.S. Government” and argued that U.S. taxpayers, not Moderna, are financially liable for any infringement by Moderna of our patents. In November 2022, the court issued an Order denying Moderna’s motion. In February 2023, the U.S. Department of Justice filed a Statement of Interest in the action, and in March 2023, the court reaffirmed its denial of Moderna’s motion to dismiss. The claim construction hearing was held in February 2024, and in April 2024, the court issued its claim construction order.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expert discovery and summary judgment briefing have been completed, and a jury trial is scheduled for March 2026. Additionally, in July 2025, the case was reassigned to a different judge in the same court.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w:t>
      </w:r>
    </w:p>
    <w:p>
      <w:pPr>
        <w:spacing w:after="0" w:line="2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Canada, Denmark, Estonia, Finland, France, Germany, Greece, Hungary, Iceland, Ireland, Italy, Japan, Latvia, Lithuania, Luxembourg, Malta, Monaco, Netherlands, Norway, Poland, Portugal, Romania, Slovenia, Spain, Sweden, Switzerland/Liechtenstein, and Turkey. We and Genevant are seeking monetary relief and injunctions against the continued manufacture and sale of Moderna’s COVID-19 vaccine and, in the Unified Patent Court, additional Moderna products which Moderna has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use the same lipid nanoparticle technology as the COVID-19 vaccine, including its RSV vaccine. The five international lawsuits are as follows:</w:t>
      </w:r>
    </w:p>
    <w:p>
      <w:pPr>
        <w:spacing w:after="0" w:line="82" w:lineRule="exact"/>
        <w:rPr>
          <w:sz w:val="20"/>
          <w:szCs w:val="20"/>
          <w:color w:val="auto"/>
        </w:rPr>
      </w:pPr>
    </w:p>
    <w:p>
      <w:pPr>
        <w:ind w:left="800" w:hanging="243"/>
        <w:spacing w:after="0" w:line="268" w:lineRule="auto"/>
        <w:tabs>
          <w:tab w:leader="none" w:pos="7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Federal Court of Canada File No. T-704-25, seeking a permanent injunction and damages or, if Genevant so elects, an accounting of Moderna’s profits, attributable to infringement of Canadian Patent No. 2,721,333.</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Tokyo District Court Case No. 2025 (Wa) 70079, seeking a permanent injunction and reasonable royalty for infringement of Japanese Patent No. 5,475,753.</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a case seeking a permanent injunction and monetary relief, which upon later choice of Genevant and Arbutus can include surrender of profits, damages or a reasonable royalty, for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4 241 767.</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Where permitted to do so in the initial pleadings, we and Genevant submitted evidence from testing of commercial Moderna product samples sourced from the U.S. and European Union indicating the samples contain lipid nanoparticles falling under the protective scope of the claims of our lipid composition patents. In October 2025, where permitted to do so, we submitted additional testing evidence from the U.S. case that indicates samples produced by Moderna in the U.S. proceedings also contain lipid nanoparticles falling under the protective scope of the claims of our lipid composition patents. Public oral hearings for the Unified Patent Court cases are scheduled for May 2026, and the trial in the Canadian case is set to begin in September 2027.</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our European patent EP 2279254 (the ’254 Patent) with the European Patent Office (EPO), requesting that the ’254 Patent be revoked in its entirety for all contracting states. We filed a response to Moderna and Merck’s oppositions in September 2018 and a hearing was conducted before the Opposition Division of the EPO in October 2019. At the conclusion of the hearing, the EPO upheld an auxiliary request adopting the amendment, as put forth by us, of certain claims of the ’254 Patent. In February 2020, Moderna and Merck filed Notices of Appeal challenging the EPO’s grant of the auxiliary request. We filed our responses to the appeals in September 2020. In March 2022, Moderna filed further written submissions to which we and Genevant responded in August 2022. In April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In October 2023, the Opposition Division issued a summons for oral proceedings and provided its preliminary and non-binding opinion on the subject matter to be discussed at the hearing. In November 2023, we responded to the summons and in January 2024, Moderna and Merck filed their reply to the written opinion of the Opposition Division, as well as to our written submission from November 2023. We responded to Moderna and Merck’s reply in April 2024. Oral proceedings were held in June 2024, and the Opposition Division upheld the ’254 Patent but declined our and Genevant’s request to broaden certain claims in the ’254 Patent. Both parties appealed the Opposition Division’s decision and in March 2025, the Board of Appeals scheduled oral proceedings for January 2026.</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2025, Moderna filed a revocation action on EPO patent EP 4 241 767 (the ’767 patent) with the EPO, requesting that the patent be revoked in its entirety for all contracting states. In July 2025, Merck, Arrowhouse GmbH and Keltie LLP filed three additional revocation actions against the ‘767 patent. All opponents have submitted their opposition briefs and we are currently preparing our response.</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1" w:name="page32"/>
    <w:bookmarkEnd w:id="3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1-Financial Statements (Unaudited)” of this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408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2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66,983</w:t>
            </w:r>
          </w:p>
        </w:tc>
      </w:tr>
      <w:tr>
        <w:trPr>
          <w:trHeight w:val="217"/>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(62,386)</w:t>
            </w:r>
          </w:p>
        </w:tc>
      </w:tr>
      <w:tr>
        <w:trPr>
          <w:trHeight w:val="22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17"/>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(19,717)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6"/>
                <w:szCs w:val="16"/>
                <w:color w:val="auto"/>
              </w:rPr>
            </w:pPr>
          </w:p>
        </w:tc>
      </w:tr>
      <w:tr>
        <w:trPr>
          <w:trHeight w:val="190"/>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collaborations and licenses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tcPr>
          <w:p>
            <w:pPr>
              <w:spacing w:after="0"/>
              <w:rPr>
                <w:sz w:val="19"/>
                <w:szCs w:val="19"/>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19"/>
                <w:szCs w:val="19"/>
                <w:color w:val="auto"/>
              </w:rPr>
            </w:pPr>
          </w:p>
        </w:tc>
      </w:tr>
      <w:tr>
        <w:trPr>
          <w:trHeight w:val="221"/>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9"/>
                <w:szCs w:val="19"/>
                <w:color w:val="auto"/>
              </w:rPr>
            </w:pPr>
          </w:p>
        </w:tc>
      </w:tr>
      <w:tr>
        <w:trPr>
          <w:trHeight w:val="603"/>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5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collaborations and licenses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3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2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221"/>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revenue decreased $0.8 million for the three months ended September 30, 2025 compared to the same period in 2024, due primarily to a decrease in license royalty revenue from Alnylam and Acuitas due to lower sales of ONPATTRO in the 2025 period compared to the 2024 period.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$8.4 million for the nine months ended September 30, 2025, compared to the same period in 2024, due primarily to recognizing the remaining $9.6 million of previously deferred revenue upon the conclusion of our strategic partnership with Qilu in June 2025, partially offset by a decrease in license royalty revenue from Alnylam and Acuitas due to lower sales of ONPATTRO in the 2025 period compared to the 2024 period.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19"/>
                <w:szCs w:val="19"/>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r>
      <w:tr>
        <w:trPr>
          <w:trHeight w:val="217"/>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r>
      <w:tr>
        <w:trPr>
          <w:trHeight w:val="541"/>
        </w:trPr>
        <w:tc>
          <w:tcPr>
            <w:tcW w:w="5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8"/>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20,235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45,227</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12,204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17,396</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12,636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7"/>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45,902</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third-party expenses to support our clinical and preclinical activities, as well as a portion of stock-based compensation and general overhead costs.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decreased $8.5 million and $25.0 million for the three and nine months ended September 30, 2025, respectively, compared to the same periods in 2024. The decrease was due primarily to our decision in the third quarter of 2024 to cease all discovery efforts, halt preparations for a potential IM-PROVE III clinical trial and implement a 40% reduction in our workforce to streamline the organization to focus our efforts on advancing the clinical development of imdusiran and AB-101.</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General and administrative expenses decreased $1.5 million and $5.2 million for the three and nine months ended September 30, 2025, respectively, as compared to the same periods in 2024, due primarily to a decrease in employee compensation-related expenses and a decrease in litigation-related legal fees.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gets closer to triggering contingent payments based on certain sales milestones of our first commercial product for cHBV. As imdusiran continues to progress through clinical trials, we will adjust our assumptions regarding probability of success commensurate with the progression of the program, which will increase the fair value of the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March 2025, our Board took action to reduce our workforce by 57%. The Board also decided to exit our corporate headquarters in Warminster, Pennsylvania and to discontinue in-house scientific research. In connection with these actions, we incurred a one-time restructuring charge in the first quarter of 2025 of $12.4 million, which includes approximately $6.0 million of cash severance and continued benefits paid, $2.4 million of non-cash expense related to the modification of equity awards, non-cash impairment charges for leasehold improvements and laboratory equipment of $1.9 million and $0.9 million, respectively, $0.9 million related to impairment of the right-of-use asset associated with the lease of our corporate headquarters and a $0.4 million accrual of lease-related operating expenses.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three months ended September 30, 2025, we recorded an additional $0.2 million of restructuring costs related to severance and benefits. As of September 30, 2025, there was $0.5 million of accrued restructuring costs for severance payments and a $0.3 million accrual of lease-related operating expenses included in accounts payable and accrued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other income (loss) are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4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(23)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1"/>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260" w:type="dxa"/>
            <w:vAlign w:val="bottom"/>
          </w:tcPr>
          <w:p>
            <w:pPr>
              <w:jc w:val="right"/>
              <w:ind w:right="10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decrease in interest income for the three and nine months ended September 30, 2025 compared to the same periods in 2024 was due primarily to less interest earned on our cash and investment balances due to a lower average balance and a general decrease in market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2025 and 2024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126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0"/>
        </w:trPr>
        <w:tc>
          <w:tcPr>
            <w:tcW w:w="6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0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license revenue</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other operating items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(54,535)</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the Open Market Sale Agreement</w:t>
            </w:r>
          </w:p>
        </w:tc>
        <w:tc>
          <w:tcPr>
            <w:tcW w:w="1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other financing activities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50,575</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 Increase in cash and cash equivalents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26,285</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r>
    </w:tbl>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$35.0 million of cash was used in operating activities compared to $54.5 million used in operating activities for the nine months ended September 30, 2024, a decrease of $19.6 million. The decrease was due primarily to our decisions to cease all discovery efforts, halt preparations for a potential IM-PROVE III clinical trial, and decrease our workforce to further streamline the organization to focus our efforts on advancing the clinical development of imdusiran and AB-101.</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investing activities was $16.9 million, resulting primarily from maturities of investments in marketable securities of $131.4 million, partially offset by additional investments in marketable securities of $114.5 million. For the nine months ended September 30, 2024, net cash provided by investing activities was $9.5 million, which resulted primarily from maturities of investments in marketable securities of $108.0 million, partially offset by additional investments in marketable securities of $98.3 million.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$4.1 million, which was primarily related to $3.9 million in proceeds from the issuance of common shares pursuant to the exercise of stock options. For the nine months ended September 30, 2024, net cash provided by financing activities was $50.6 million, which included $44.1 million in proceeds from sales of common shares pursuant to the Sale Agreement (as defined below) and $6.1 million in proceeds from the issuance of common shares pursuant to the exercise of stock options.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September 30, 2025, we had cash, cash equivalents and investments in marketable securities of $93.7 million. We had no outstanding debt as of September 30, 2025.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Effective March 26, 2025, we terminated our Open Market Sale Agreement with Jefferies dated December 20, 2018, as amended (the Sale Agreement), under which we could offer and sell common shares, from time to time.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termination of the Sale Agreement, we did not issue any common shares pursuant to the Sale Agreement during the nine months ended September 30, 2025. For the nine months ended September 30, 2024, we issued 16,499,999 common shares pursuant to the Sale Agreement, resulting in net proceeds of approximately $44.1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September 30, 2025, we have recorded an aggregate of $26.3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exclusive license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 In June 2025, we and Qilu mutually agreed to conclude our strategic partnership, and we now once again hold global rights for imdusiran.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organizational changes announced during the first quarter of 2025, and our ongoing cost management efforts, we expect to significantly reduce our net cash burn in 2025 when compared to 2024. In the future, substantial additional funds would be required to continue with the active development of our pipeline products and technologies. In particular, our funding needs may vary depending on a number of factors including:</w:t>
      </w:r>
    </w:p>
    <w:p>
      <w:pPr>
        <w:spacing w:after="0" w:line="258" w:lineRule="exact"/>
        <w:rPr>
          <w:sz w:val="20"/>
          <w:szCs w:val="20"/>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our ongoing patent infringement matters against Moderna and Pfizer/BioNTech;</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38"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preclinical and clinical findings;</w:t>
      </w:r>
    </w:p>
    <w:p>
      <w:pPr>
        <w:spacing w:after="0" w:line="55"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55"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0" w:lineRule="exact"/>
        <w:rPr>
          <w:rFonts w:ascii="Times New Roman" w:cs="Times New Roman" w:eastAsia="Times New Roman" w:hAnsi="Times New Roman"/>
          <w:sz w:val="18"/>
          <w:szCs w:val="18"/>
          <w:color w:val="auto"/>
        </w:rPr>
      </w:pPr>
    </w:p>
    <w:p>
      <w:pPr>
        <w:ind w:left="640" w:hanging="241"/>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10"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8"/>
          <w:szCs w:val="18"/>
          <w:color w:val="auto"/>
        </w:rPr>
        <w:t>candidates; and</w:t>
      </w:r>
    </w:p>
    <w:p>
      <w:pPr>
        <w:spacing w:after="0" w:line="56" w:lineRule="exact"/>
        <w:rPr>
          <w:sz w:val="20"/>
          <w:szCs w:val="20"/>
          <w:color w:val="auto"/>
        </w:rPr>
      </w:pPr>
    </w:p>
    <w:p>
      <w:pPr>
        <w:ind w:left="400"/>
        <w:spacing w:after="0"/>
        <w:tabs>
          <w:tab w:leader="none" w:pos="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competing products, product candidates and technological and market developments.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this item is not required to be provided by smaller reporting companies.</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2025, our principal executive officer and principal financial officer concluded that, as of such date, our disclosure controls and procedures were effective at the reasonable assurance level.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2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In the lawsuit, we seek fair compensation for Moderna’s use of our patented technology that was developed with great effort and at great expense, without which Moderna’s COVID-19 vaccine would not have been successful. In May 2022, Moderna filed a partial motion to dismiss the claims “relating to Moderna’s sale and provision of COVID-19 vaccine doses to the U.S. Government” and argued that U.S. taxpayers, not Moderna, are financially liable for any infringement by Moderna of our patents. In November 2022, the court issued an Order denying Moderna’s motion. In February 2023, the U.S. Department of Justice filed a Statement of Interest in the action, and in March 2023, the court reaffirmed its denial of Moderna’s motion to dismiss. The claim construction hearing was held in February 2024, and in April 2024, the court issued its claim construction order.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expert discovery and summary judgment briefing have been completed, and a jury trial is scheduled for March 2026. Additionally, in July 2025, the case was reassigned to a different judge in the same court.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w:t>
      </w:r>
    </w:p>
    <w:p>
      <w:pPr>
        <w:spacing w:after="0" w:line="2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Canada, Denmark, Estonia, Finland, France, Germany, Greece, Hungary, Iceland, Ireland, Italy, Japan, Latvia, Lithuania, Luxembourg, Malta, Monaco, Netherlands, Norway, Poland, Portugal, Romania, Slovenia, Spain, Sweden, Switzerland/Liechtenstein, and Turkey. We and Genevant are seeking monetary relief and injunctions against the continued manufacture and sale of Moderna’s COVID-19 vaccine and, in the Unified Patent Court, additional Moderna products which Moderna has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use the same lipid nanoparticle technology as the COVID-19 vaccine, including its RSV vaccine. The five international lawsuits are as follows:</w:t>
      </w:r>
    </w:p>
    <w:p>
      <w:pPr>
        <w:spacing w:after="0" w:line="95" w:lineRule="exact"/>
        <w:rPr>
          <w:sz w:val="20"/>
          <w:szCs w:val="20"/>
          <w:color w:val="auto"/>
        </w:rPr>
      </w:pPr>
    </w:p>
    <w:p>
      <w:pPr>
        <w:ind w:left="800" w:hanging="243"/>
        <w:spacing w:after="0" w:line="268" w:lineRule="auto"/>
        <w:tabs>
          <w:tab w:leader="none" w:pos="7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Federal Court of Canada File No. T-704-25, seeking a permanent injunction and damages or, if Genevant so elects, an accounting of Moderna’s profits, attributable to infringement of Canadian Patent No. 2,721,333.</w:t>
      </w:r>
    </w:p>
    <w:p>
      <w:pPr>
        <w:spacing w:after="0" w:line="37"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Tokyo District Court Case No. 2025 (Wa) 70079, seeking a permanent injunction and reasonable royalty for infringement of Japanese Patent No. 5,475,753.</w:t>
      </w:r>
    </w:p>
    <w:p>
      <w:pPr>
        <w:spacing w:after="0" w:line="50" w:lineRule="exact"/>
        <w:rPr>
          <w:rFonts w:ascii="Times New Roman" w:cs="Times New Roman" w:eastAsia="Times New Roman" w:hAnsi="Times New Roman"/>
          <w:sz w:val="18"/>
          <w:szCs w:val="18"/>
          <w:color w:val="auto"/>
        </w:rPr>
      </w:pPr>
    </w:p>
    <w:p>
      <w:pPr>
        <w:ind w:left="800" w:hanging="243"/>
        <w:spacing w:after="0" w:line="283" w:lineRule="auto"/>
        <w:tabs>
          <w:tab w:leader="none" w:pos="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a case seeking a permanent injunction and monetary relief, which upon later choice of Genevant and Arbutus can include surrender of profits, damages or a reasonable royalty, for infringement of EP 2 279 254.</w:t>
      </w:r>
    </w:p>
    <w:p>
      <w:pPr>
        <w:spacing w:after="0" w:line="37"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2 279 254.</w:t>
      </w:r>
    </w:p>
    <w:p>
      <w:pPr>
        <w:spacing w:after="0" w:line="50" w:lineRule="exact"/>
        <w:rPr>
          <w:rFonts w:ascii="Times New Roman" w:cs="Times New Roman" w:eastAsia="Times New Roman" w:hAnsi="Times New Roman"/>
          <w:sz w:val="18"/>
          <w:szCs w:val="18"/>
          <w:color w:val="auto"/>
        </w:rPr>
      </w:pPr>
    </w:p>
    <w:p>
      <w:pPr>
        <w:ind w:left="800" w:hanging="243"/>
        <w:spacing w:after="0" w:line="268" w:lineRule="auto"/>
        <w:tabs>
          <w:tab w:leader="none" w:pos="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Patent Court: Case 10280/2025, seeking permanent and provisional injunctions, as well as monetary damages, which can include recovery of Moderna’s unfair profits, from infringement of EP 4 241 767.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jc w:val="both"/>
        <w:spacing w:after="0" w:line="235" w:lineRule="auto"/>
        <w:rPr>
          <w:sz w:val="20"/>
          <w:szCs w:val="20"/>
          <w:color w:val="auto"/>
        </w:rPr>
      </w:pPr>
      <w:r>
        <w:rPr>
          <w:rFonts w:ascii="Times New Roman" w:cs="Times New Roman" w:eastAsia="Times New Roman" w:hAnsi="Times New Roman"/>
          <w:sz w:val="18"/>
          <w:szCs w:val="18"/>
          <w:color w:val="auto"/>
        </w:rPr>
        <w:t>Where permitted to do so in the initial pleadings, we and Genevant submitted evidence from testing of commercial Moderna product samples sourced from the U.S. and European Union indicating the samples contain lipid nanoparticles falling under the protective scope of the claims of our lipid composition patents. In October 2025, where permitted to do so, we submitted additional testing evidence from the U.S. case that indicates samples produced by Moderna in the U.S. proceedings also contain lipid nanoparticles falling under the protective scope of the claims of our lipid composition patents. Public oral hearings for the Unified Patent Court cases are scheduled for May 2026, and the trial in the Canadian case is set to begin in September 2027.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our European patent EP 2279254 (the ’254 Patent) with the European Patent Office (EPO), requesting that the ’254 Patent be revoked in its entirety for all contracting states. We filed a response to Moderna and Merck’s oppositions in September 2018 and a hearing was conducted before the Opposition Division of the EPO in October 2019. At the conclusion of the hearing, the EPO upheld an auxiliary request adopting the amendment, as put forth by us, of certain claims of the ’254 Patent. In February 2020, Moderna and Merck filed Notices of Appeal challenging the EPO’s grant of the auxiliary request. We filed our responses to the appeals in September 2020. In March 2022, Moderna filed further written submissions to which we and Genevant responded in August 2022. In April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In October 2023, the Opposition Division issued a summons for oral proceedings and provided its preliminary and non-binding opinion on the subject matter to be discussed at the hearing. In November 2023, we responded to the summons and in January 2024, Moderna and Merck filed their reply to the written opinion of the Opposition Division, as well as to our written submission from November 2023. We responded to Moderna and Merck’s reply in April 2024. Oral proceedings were held in June 2024, and the Opposition Division upheld the ’254 Patent but declined our and Genevant’s request to broaden certain claims in the ’254 Patent. Both parties appealed the Opposition Division’s decision and in March 2025, the Board of Appeals scheduled oral proceedings for January 2026.</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2025, Moderna filed a revocation action on EPO patent EP 4 241 767 (the ’767 patent) with the EPO, requesting that the patent be revoked in its entirety for all contracting states. In July 2025, Merck, Arrowhouse GmbH and Keltie LLP filed three additional revocation actions against the ‘767 patent. All opponents have submitted their opposition briefs and we are currently preparing our response.</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are the patent owner, the ’254 Patent, the ’767 Patent, and the other patents in our LNP portfolio have been licensed to Genevant under the Genevant License.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0" w:name="page41"/>
    <w:bookmarkEnd w:id="40"/>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risk factors from those disclosed in our Annual Report on Form 10-K for the fiscal year ended December 31, 2024.</w:t>
      </w:r>
    </w:p>
    <w:p>
      <w:pPr>
        <w:spacing w:after="0" w:line="26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4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8"/>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11"/>
          </w:tcPr>
          <w:p>
            <w:pPr>
              <w:spacing w:after="0" w:line="177"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55">
              <w:r>
                <w:rPr>
                  <w:rFonts w:ascii="Times New Roman" w:cs="Times New Roman" w:eastAsia="Times New Roman" w:hAnsi="Times New Roman"/>
                  <w:sz w:val="18"/>
                  <w:szCs w:val="18"/>
                  <w:color w:val="0000FF"/>
                  <w:w w:val="96"/>
                </w:rPr>
                <w:t>on Form 10-K for the year ended December 31, 2017, filed with the SEC on March 16, 2018).</w:t>
              </w:r>
            </w:hyperlink>
          </w:p>
        </w:tc>
        <w:tc>
          <w:tcPr>
            <w:tcW w:w="36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11"/>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8"/>
          </w:tcPr>
          <w:p>
            <w:pPr>
              <w:spacing w:after="0" w:line="164"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quarter ended September 30, 2018, filed with the SEC on November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7"/>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9"/>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3"/>
              </w:rPr>
              <w:t>of 2002.</w:t>
            </w:r>
          </w:p>
        </w:tc>
        <w:tc>
          <w:tcPr>
            <w:tcW w:w="9600" w:type="dxa"/>
            <w:vAlign w:val="bottom"/>
            <w:tcBorders>
              <w:top w:val="single" w:sz="8" w:color="0000FF"/>
            </w:tcBorders>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tcBorders>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4" w:lineRule="exact"/>
        <w:rPr>
          <w:sz w:val="20"/>
          <w:szCs w:val="20"/>
          <w:color w:val="auto"/>
        </w:rPr>
      </w:pPr>
    </w:p>
    <w:p>
      <w:pPr>
        <w:jc w:val="both"/>
        <w:ind w:left="1040" w:right="20" w:hanging="713"/>
        <w:spacing w:after="0" w:line="217"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Arbutus Biopharma Corporation’s Quarterly Report on Form 10-Q for the quarter ended September 30, 2025, formatted in inline XBRL (eXtensible Business Reporting Language):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w:t>
      </w:r>
    </w:p>
    <w:p>
      <w:pPr>
        <w:spacing w:after="0" w:line="50" w:lineRule="exact"/>
        <w:rPr>
          <w:sz w:val="20"/>
          <w:szCs w:val="20"/>
          <w:color w:val="auto"/>
        </w:rPr>
      </w:pPr>
    </w:p>
    <w:p>
      <w:pPr>
        <w:ind w:right="2660" w:firstLine="327"/>
        <w:spacing w:after="0" w:line="579" w:lineRule="auto"/>
        <w:tabs>
          <w:tab w:leader="none" w:pos="102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ind w:left="360" w:hanging="355"/>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42" w:name="page43"/>
    <w:bookmarkEnd w:id="42"/>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100" w:firstLine="63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13, 2025.</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71" w:lineRule="exact"/>
        <w:rPr>
          <w:sz w:val="20"/>
          <w:szCs w:val="20"/>
          <w:color w:val="auto"/>
        </w:rPr>
      </w:pPr>
    </w:p>
    <w:tbl>
      <w:tblPr>
        <w:tblLayout w:type="fixed"/>
        <w:tblInd w:w="5540" w:type="dxa"/>
        <w:tblCellMar>
          <w:top w:w="0" w:type="dxa"/>
          <w:left w:w="0" w:type="dxa"/>
          <w:bottom w:w="0" w:type="dxa"/>
          <w:right w:w="0" w:type="dxa"/>
        </w:tblCellMar>
      </w:tblPr>
      <w:tr>
        <w:trPr>
          <w:trHeight w:val="22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Lindsay Androski</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Lindsay Androski</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Tuan Nguyen</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Tuan Nguyen</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41</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Lindsay Androski, certify that:</w:t>
      </w:r>
    </w:p>
    <w:p>
      <w:pPr>
        <w:spacing w:after="0" w:line="95" w:lineRule="exact"/>
        <w:rPr>
          <w:sz w:val="20"/>
          <w:szCs w:val="20"/>
          <w:color w:val="auto"/>
        </w:rPr>
      </w:pPr>
    </w:p>
    <w:p>
      <w:pPr>
        <w:ind w:left="1180" w:hanging="386"/>
        <w:spacing w:after="0"/>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Tuan Nguyen, certify that:</w:t>
      </w:r>
    </w:p>
    <w:p>
      <w:pPr>
        <w:spacing w:after="0" w:line="95" w:lineRule="exact"/>
        <w:rPr>
          <w:sz w:val="20"/>
          <w:szCs w:val="20"/>
          <w:color w:val="auto"/>
        </w:rPr>
      </w:pPr>
    </w:p>
    <w:p>
      <w:pPr>
        <w:ind w:left="1180" w:hanging="386"/>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on Form 10-Q of Arbutus Biopharma Corporation (the “Company”) for the quarter ended September 30, 2025, as filed with the Securities and Exchange Commission on the date hereof (the “Report”), I, Lindsay Androski, President and Chief Executive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1580" w:hanging="392"/>
        <w:spacing w:after="0"/>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Lindsay Androski</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9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2025, as filed with the Securities and Exchange Commission on the date hereof (the “Report”), I, Tuan Nguyen, Chief Financial Officer of the Company, certify, pursuant to 18 U.S.C. Section 1350, as adopted pursuant to Section 906 of the Sarbanes-Oxley Act of 2002, that to the best of my knowledge:</w:t>
      </w:r>
    </w:p>
    <w:p>
      <w:pPr>
        <w:spacing w:after="0" w:line="231" w:lineRule="exact"/>
        <w:rPr>
          <w:sz w:val="20"/>
          <w:szCs w:val="20"/>
          <w:color w:val="auto"/>
        </w:rPr>
      </w:pPr>
    </w:p>
    <w:p>
      <w:pPr>
        <w:ind w:left="1580" w:hanging="392"/>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Tuan Nguyen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20"/>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endash "/>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5" Type="http://schemas.openxmlformats.org/officeDocument/2006/relationships/hyperlink" Target="https://www.sec.gov/Archives/edgar/data/1447028/000162828018003276/exhibit31_articlesandartic.htm" TargetMode="External"/><Relationship Id="rId56" Type="http://schemas.openxmlformats.org/officeDocument/2006/relationships/hyperlink" Target="https://www.sec.gov/Archives/edgar/data/1447028/000162828018013909/exhibit31amendmenttoartic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2025-11-13T06:46:18Z</dcterms:created>
  <dcterms:modified xsi:type="dcterms:W3CDTF">2025-11-13T06:46:18Z</dcterms:modified>
</cp:coreProperties>
</file>