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3" w:lineRule="exact"/>
        <w:rPr>
          <w:sz w:val="24"/>
          <w:szCs w:val="24"/>
          <w:color w:val="auto"/>
        </w:rPr>
      </w:pPr>
    </w:p>
    <w:p>
      <w:pPr>
        <w:ind w:left="4040" w:right="2360" w:hanging="4035"/>
        <w:spacing w:after="0" w:line="381" w:lineRule="auto"/>
        <w:tabs>
          <w:tab w:leader="none" w:pos="4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2025</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4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8" w:lineRule="exact"/>
        <w:rPr>
          <w:sz w:val="24"/>
          <w:szCs w:val="24"/>
          <w:color w:val="auto"/>
        </w:rPr>
      </w:pPr>
    </w:p>
    <w:p>
      <w:pPr>
        <w:ind w:left="40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6"/>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6"/>
              </w:rPr>
              <w:t>(State or Other Jurisdiction of</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701 Veterans Circle, Warminster, PA 18974</w:t>
            </w:r>
          </w:p>
        </w:tc>
        <w:tc>
          <w:tcPr>
            <w:tcW w:w="2720" w:type="dxa"/>
            <w:vAlign w:val="bottom"/>
            <w:gridSpan w:val="3"/>
          </w:tcPr>
          <w:p>
            <w:pPr>
              <w:spacing w:after="0"/>
              <w:rPr>
                <w:sz w:val="24"/>
                <w:szCs w:val="24"/>
                <w:color w:val="auto"/>
              </w:rPr>
            </w:pPr>
          </w:p>
        </w:tc>
      </w:tr>
      <w:tr>
        <w:trPr>
          <w:trHeight w:val="35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7"/>
              </w:rPr>
              <w:t>(Address of Principal Executive Offices and Zip Code)</w:t>
            </w:r>
          </w:p>
        </w:tc>
      </w:tr>
      <w:tr>
        <w:trPr>
          <w:trHeight w:val="191"/>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6"/>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5"/>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384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w w:val="9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5"/>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1"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07" w:right="339" w:bottom="1440" w:gutter="0" w:footer="0" w:header="0"/>
        </w:sectPr>
      </w:pPr>
    </w:p>
    <w:p>
      <w:pPr>
        <w:spacing w:after="0" w:line="1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3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07" w:right="339" w:bottom="1440" w:gutter="0" w:footer="0" w:header="0"/>
          <w:type w:val="continuous"/>
        </w:sectPr>
      </w:pPr>
    </w:p>
    <w:p>
      <w:pPr>
        <w:spacing w:after="0" w:line="14" w:lineRule="exact"/>
        <w:rPr>
          <w:sz w:val="24"/>
          <w:szCs w:val="24"/>
          <w:color w:val="auto"/>
        </w:r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68"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07" w:right="339" w:bottom="1440" w:gutter="0" w:footer="0" w:header="0"/>
          <w:type w:val="continuous"/>
        </w:sectPr>
      </w:pPr>
    </w:p>
    <w:p>
      <w:pPr>
        <w:ind w:right="28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9" w:lineRule="exact"/>
        <w:rPr>
          <w:sz w:val="24"/>
          <w:szCs w:val="24"/>
          <w:color w:val="auto"/>
        </w:rPr>
      </w:pPr>
    </w:p>
    <w:p>
      <w:pPr>
        <w:spacing w:after="0" w:line="207" w:lineRule="exact"/>
        <w:tabs>
          <w:tab w:leader="none" w:pos="7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2025, the registrant had 191,698,695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418465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20" w:type="dxa"/>
            <w:vAlign w:val="bottom"/>
            <w:gridSpan w:val="2"/>
            <w:shd w:val="clear" w:color="auto" w:fill="CCEEFF"/>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0" w:type="dxa"/>
            <w:vAlign w:val="bottom"/>
            <w:gridSpan w:val="2"/>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360" w:type="dxa"/>
            <w:vAlign w:val="bottom"/>
            <w:gridSpan w:val="3"/>
            <w:shd w:val="clear" w:color="auto" w:fill="CCEEFF"/>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18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8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7560" w:type="dxa"/>
            <w:vAlign w:val="bottom"/>
            <w:tcBorders>
              <w:top w:val="single" w:sz="8" w:color="0000FF"/>
            </w:tcBorders>
            <w:gridSpan w:val="1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rPr>
              <w:t>OPERATIONS</w:t>
            </w:r>
          </w:p>
        </w:tc>
        <w:tc>
          <w:tcPr>
            <w:tcW w:w="1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left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3.</w:t>
            </w:r>
          </w:p>
        </w:tc>
        <w:tc>
          <w:tcPr>
            <w:tcW w:w="598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0000FF"/>
                <w:w w:val="95"/>
              </w:rPr>
              <w:t>QUANTITATIVE AND QUALITATIVE DISCLOSURES ABOUT MARKET RISK</w:t>
            </w:r>
          </w:p>
        </w:tc>
        <w:tc>
          <w:tcPr>
            <w:tcW w:w="28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35</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4.</w:t>
            </w:r>
          </w:p>
        </w:tc>
        <w:tc>
          <w:tcPr>
            <w:tcW w:w="5980" w:type="dxa"/>
            <w:vAlign w:val="bottom"/>
            <w:gridSpan w:val="1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284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35</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II. OTHER INFORMATION</w:t>
            </w:r>
          </w:p>
        </w:tc>
        <w:tc>
          <w:tcPr>
            <w:tcW w:w="360" w:type="dxa"/>
            <w:vAlign w:val="bottom"/>
            <w:gridSpan w:val="3"/>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36</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1A.</w:t>
            </w:r>
          </w:p>
        </w:tc>
        <w:tc>
          <w:tcPr>
            <w:tcW w:w="12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4"/>
              </w:rPr>
              <w:t>RISK FACTORS</w:t>
            </w:r>
          </w:p>
        </w:tc>
        <w:tc>
          <w:tcPr>
            <w:tcW w:w="600" w:type="dxa"/>
            <w:vAlign w:val="bottom"/>
            <w:shd w:val="clear" w:color="auto" w:fill="CCEEFF"/>
          </w:tcPr>
          <w:p>
            <w:pPr>
              <w:spacing w:after="0"/>
              <w:rPr>
                <w:sz w:val="16"/>
                <w:szCs w:val="16"/>
                <w:color w:val="auto"/>
              </w:rPr>
            </w:pPr>
          </w:p>
        </w:tc>
        <w:tc>
          <w:tcPr>
            <w:tcW w:w="7000" w:type="dxa"/>
            <w:vAlign w:val="bottom"/>
            <w:tcBorders>
              <w:left w:val="single" w:sz="8" w:color="CCEEFF"/>
            </w:tcBorders>
            <w:gridSpan w:val="8"/>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37</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3.</w:t>
            </w:r>
          </w:p>
        </w:tc>
        <w:tc>
          <w:tcPr>
            <w:tcW w:w="310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5"/>
              </w:rPr>
              <w:t>DEFAULTS UPON SENIOR SECURITIES</w:t>
            </w:r>
          </w:p>
        </w:tc>
        <w:tc>
          <w:tcPr>
            <w:tcW w:w="2800" w:type="dxa"/>
            <w:vAlign w:val="bottom"/>
            <w:gridSpan w:val="2"/>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4.</w:t>
            </w:r>
          </w:p>
        </w:tc>
        <w:tc>
          <w:tcPr>
            <w:tcW w:w="238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720" w:type="dxa"/>
            <w:vAlign w:val="bottom"/>
            <w:gridSpan w:val="2"/>
          </w:tcPr>
          <w:p>
            <w:pPr>
              <w:spacing w:after="0"/>
              <w:rPr>
                <w:sz w:val="16"/>
                <w:szCs w:val="16"/>
                <w:color w:val="auto"/>
              </w:rPr>
            </w:pPr>
          </w:p>
        </w:tc>
        <w:tc>
          <w:tcPr>
            <w:tcW w:w="572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18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560" w:type="dxa"/>
            <w:vAlign w:val="bottom"/>
            <w:tcBorders>
              <w:left w:val="single" w:sz="8" w:color="CCEEFF"/>
            </w:tcBorders>
            <w:shd w:val="clear" w:color="auto" w:fill="CCEEFF"/>
          </w:tcPr>
          <w:p>
            <w:pPr>
              <w:spacing w:after="0"/>
              <w:rPr>
                <w:sz w:val="16"/>
                <w:szCs w:val="16"/>
                <w:color w:val="auto"/>
              </w:rPr>
            </w:pPr>
          </w:p>
        </w:tc>
        <w:tc>
          <w:tcPr>
            <w:tcW w:w="6440" w:type="dxa"/>
            <w:vAlign w:val="bottom"/>
            <w:gridSpan w:val="7"/>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6.</w:t>
            </w:r>
          </w:p>
        </w:tc>
        <w:tc>
          <w:tcPr>
            <w:tcW w:w="18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127,316</w:t>
            </w:r>
          </w:p>
        </w:tc>
        <w:tc>
          <w:tcPr>
            <w:tcW w:w="0" w:type="dxa"/>
            <w:vAlign w:val="bottom"/>
          </w:tcPr>
          <w:p>
            <w:pPr>
              <w:spacing w:after="0"/>
              <w:rPr>
                <w:sz w:val="1"/>
                <w:szCs w:val="1"/>
                <w:color w:val="auto"/>
              </w:rPr>
            </w:pPr>
          </w:p>
        </w:tc>
      </w:tr>
      <w:tr>
        <w:trPr>
          <w:trHeight w:val="171"/>
        </w:trPr>
        <w:tc>
          <w:tcPr>
            <w:tcW w:w="6640" w:type="dxa"/>
            <w:vAlign w:val="bottom"/>
          </w:tcPr>
          <w:p>
            <w:pPr>
              <w:ind w:left="40"/>
              <w:spacing w:after="0" w:line="171"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impairment of $13,315</w:t>
            </w:r>
          </w:p>
        </w:tc>
        <w:tc>
          <w:tcPr>
            <w:tcW w:w="4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144"/>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(December 31, 2024: $12,996)</w:t>
            </w:r>
          </w:p>
        </w:tc>
        <w:tc>
          <w:tcPr>
            <w:tcW w:w="4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4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2"/>
        </w:trPr>
        <w:tc>
          <w:tcPr>
            <w:tcW w:w="6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license revenue, current</w:t>
            </w:r>
          </w:p>
        </w:tc>
        <w:tc>
          <w:tcPr>
            <w:tcW w:w="4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liability, current</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license revenue, non-current</w:t>
            </w:r>
          </w:p>
        </w:tc>
        <w:tc>
          <w:tcPr>
            <w:tcW w:w="4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7"/>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unlimited number without par value</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4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Issued and outstanding: 191,641,511</w:t>
            </w: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189,963,492)</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1,410,025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Deficit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(1,346,572)</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w:t>
            </w: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 (Loss)</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Collaborations and licenses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44,204</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Gain (loss) from 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(40,946)</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42"/>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191,551,282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188,041,489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191,130,631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181,842,519</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192,399,733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188,041,489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191,130,631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181,842,519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29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Additional Paid-</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3"/>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4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189,963,492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1,410,025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82,048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3,564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892,857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191,481,474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1,416,332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82,089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(1,371,098)</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79,157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31"/>
        </w:trPr>
        <w:tc>
          <w:tcPr>
            <w:tcW w:w="32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191,641,511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1,417,110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82,628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(1,368,575)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67945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122" w:right="4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9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169,867,414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(48,421)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Borders>
              <w:top w:val="single" w:sz="8" w:color="CCEEFF"/>
            </w:tcBorders>
            <w:vMerge w:val="continue"/>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0" w:type="dxa"/>
            <w:vAlign w:val="bottom"/>
          </w:tcPr>
          <w:p>
            <w:pPr>
              <w:spacing w:after="0"/>
              <w:rPr>
                <w:sz w:val="1"/>
                <w:szCs w:val="1"/>
                <w:color w:val="auto"/>
              </w:rPr>
            </w:pPr>
          </w:p>
        </w:tc>
      </w:tr>
      <w:tr>
        <w:trPr>
          <w:trHeight w:val="139"/>
        </w:trPr>
        <w:tc>
          <w:tcPr>
            <w:tcW w:w="31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8,666,077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21,765</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1,126,691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0" w:type="dxa"/>
            <w:vAlign w:val="bottom"/>
          </w:tcPr>
          <w:p>
            <w:pPr>
              <w:spacing w:after="0"/>
              <w:rPr>
                <w:sz w:val="1"/>
                <w:szCs w:val="1"/>
                <w:color w:val="auto"/>
              </w:rPr>
            </w:pPr>
          </w:p>
        </w:tc>
      </w:tr>
      <w:tr>
        <w:trPr>
          <w:trHeight w:val="222"/>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180,192,227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(48,371)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Borders>
              <w:top w:val="single" w:sz="8" w:color="CCEEFF"/>
            </w:tcBorders>
            <w:vMerge w:val="continue"/>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139"/>
        </w:trPr>
        <w:tc>
          <w:tcPr>
            <w:tcW w:w="31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7,833,922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712,895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0" w:type="dxa"/>
            <w:vAlign w:val="bottom"/>
          </w:tcPr>
          <w:p>
            <w:pPr>
              <w:spacing w:after="0"/>
              <w:rPr>
                <w:sz w:val="1"/>
                <w:szCs w:val="1"/>
                <w:color w:val="auto"/>
              </w:rPr>
            </w:pPr>
          </w:p>
        </w:tc>
      </w:tr>
      <w:tr>
        <w:trPr>
          <w:trHeight w:val="222"/>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188,739,044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(48,308)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122,454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40" w:top="1017" w:right="439" w:bottom="1440" w:gutter="0" w:footer="0" w:header="0"/>
        </w:sectPr>
      </w:pPr>
    </w:p>
    <w:bookmarkStart w:id="6" w:name="page7"/>
    <w:bookmarkEnd w:id="6"/>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tcPr>
          <w:p>
            <w:pPr>
              <w:spacing w:after="0"/>
              <w:rPr>
                <w:sz w:val="16"/>
                <w:szCs w:val="16"/>
                <w:color w:val="auto"/>
              </w:rPr>
            </w:pPr>
          </w:p>
        </w:tc>
      </w:tr>
      <w:tr>
        <w:trPr>
          <w:trHeight w:val="24"/>
        </w:trPr>
        <w:tc>
          <w:tcPr>
            <w:tcW w:w="6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6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tcPr>
          <w:p>
            <w:pPr>
              <w:jc w:val="right"/>
              <w:ind w:right="11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(22,003)</w:t>
            </w:r>
          </w:p>
        </w:tc>
        <w:tc>
          <w:tcPr>
            <w:tcW w:w="8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(37,671)</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impairment of leasehold improvements and lab equipment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4,428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royalty revenue</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accretion and amortization of investments in marketable securities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operating items: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deferred license revenue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r>
      <w:tr>
        <w:trPr>
          <w:trHeight w:val="208"/>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(33,799)</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investments in marketable securities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(57,982)</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Disposition of investments in marketable securities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90,165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79,601</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5"/>
        </w:trPr>
        <w:tc>
          <w:tcPr>
            <w:tcW w:w="66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26,960</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21,523</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the Open Market Sale Agreement</w:t>
            </w:r>
          </w:p>
        </w:tc>
        <w:tc>
          <w:tcPr>
            <w:tcW w:w="1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44,124</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exercise of stock options</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3,106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r>
      <w:tr>
        <w:trPr>
          <w:trHeight w:val="212"/>
        </w:trPr>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ESPP</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3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3,237</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48,800</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w:t>
            </w:r>
          </w:p>
        </w:tc>
        <w:tc>
          <w:tcPr>
            <w:tcW w:w="13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1,082</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36,503</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36,330</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26,285</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360" w:type="dxa"/>
            <w:vAlign w:val="bottom"/>
            <w:tcBorders>
              <w:bottom w:val="single" w:sz="8" w:color="auto"/>
            </w:tcBorders>
          </w:tcPr>
          <w:p>
            <w:pPr>
              <w:jc w:val="right"/>
              <w:ind w:right="11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37,412</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62,788</w:t>
            </w:r>
          </w:p>
        </w:tc>
      </w:tr>
      <w:tr>
        <w:trPr>
          <w:trHeight w:val="21"/>
        </w:trPr>
        <w:tc>
          <w:tcPr>
            <w:tcW w:w="6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Nature of business and future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Arbutus Biopharma Corporation (“Arbutus” or the “Company”) is a clinical-stage biopharmaceutical company focused on infectious disease. The Company is currently developing imdusiran (AB-729), its proprietary, GalNAc-conjugated, subcutaneously-delivered ribonucleic acid interference (RNAi) therapeutic, and AB-101, its proprietary oral PD-L1 inhibitor, for the treatment of chronic hepatitis B (cHBV).</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 continues to protect and defend its intellectual property, which is the subject of its ongoing lawsuits against Moderna Therapeutics, Inc. (Moderna) and against Pfizer Inc. and BioNTech SE (collectively, Pfizer/BioNTech) for their use of the Company’s patented lipid nanoparticle (LNP) delivery technology in their COVID-19 messenger ribonucleic acid interference (mRNA)-LNP vaccines. With respect to the Moderna lawsuit in the United States, the summary judgment phase of the case began in July 2025 and a trial date has been set for March 2026. In March 2025, the Company, along with Genevant Sciences GmbH and/or its affiliates (collectively, Genevant), filed five international lawsuits against Moderna in connection with the use of the Company’s LNP technology in Moderna’s COVID-19 mRNA-LNP vaccines and, in the Unified Patent Court, also other Moderna products that use the same LNP technology, including Moderna’s respiratory syncytial virus (RSV) vaccines. The first major hearings in the international lawsuits are expected in the first half of calendar year 2026. With respect to the Pfizer/BioNTech lawsuit, the claim construction hearing occurred in December 2024, and fact discovery is ongoing. The court has not provided guidance for the timing of its ruling in the claim construction hearing, which could potentially come in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At June 30, 2025, the Company had an aggregate of $98.1 million in cash, cash equivalents and investments in marketable securities. The Company had no outstanding debt as of June 30, 2025. The Company believes it has sufficient cash resources to fund its operations for at least the next 12 months.</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2024 included in the Company’s Annual Report on Form 10-K for the year ended December 31, 2024.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June 30, 2025 and December 31, 2024, the Company’s results of operations for the three and six months ended June 30, 2025 and 2024, and the Company’s cash flows for the six months ended June 30, 2025 and 2024. Such adjustments are of a normal recurring nature. The results of operations for the three and six months ended June 30, 2025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2024, except as described below under the section entitled “Recent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(loss) per share is calculated based on the weighted average number of common shares outstanding. Diluted net income (loss) per share is calculated using the treasury stock method and reflects the effect of all potentially dilutive securities (outstanding stock options and restricted stock units). The number of weighted average shares used in the calculation of net income per share for the three months ended June 30, 2025 was as follows:</w:t>
      </w:r>
    </w:p>
    <w:tbl>
      <w:tblPr>
        <w:tblLayout w:type="fixed"/>
        <w:tblInd w:w="0" w:type="dxa"/>
        <w:tblCellMar>
          <w:top w:w="0" w:type="dxa"/>
          <w:left w:w="0" w:type="dxa"/>
          <w:bottom w:w="0" w:type="dxa"/>
          <w:right w:w="0" w:type="dxa"/>
        </w:tblCellMar>
      </w:tblPr>
      <w:tr>
        <w:trPr>
          <w:trHeight w:val="146"/>
        </w:trPr>
        <w:tc>
          <w:tcPr>
            <w:tcW w:w="9260" w:type="dxa"/>
            <w:vAlign w:val="bottom"/>
          </w:tcPr>
          <w:p>
            <w:pPr>
              <w:spacing w:after="0"/>
              <w:rPr>
                <w:sz w:val="12"/>
                <w:szCs w:val="12"/>
                <w:color w:val="auto"/>
              </w:rPr>
            </w:pPr>
          </w:p>
        </w:tc>
        <w:tc>
          <w:tcPr>
            <w:tcW w:w="19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90"/>
        </w:trPr>
        <w:tc>
          <w:tcPr>
            <w:tcW w:w="926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980" w:type="dxa"/>
            <w:vAlign w:val="bottom"/>
            <w:shd w:val="clear" w:color="auto" w:fill="CCEEFF"/>
          </w:tcPr>
          <w:p>
            <w:pPr>
              <w:spacing w:after="0"/>
              <w:rPr>
                <w:sz w:val="18"/>
                <w:szCs w:val="18"/>
                <w:color w:val="auto"/>
              </w:rPr>
            </w:pP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191,551,282</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shares from equity-based compensation plans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848,451</w:t>
            </w:r>
          </w:p>
        </w:tc>
      </w:tr>
      <w:tr>
        <w:trPr>
          <w:trHeight w:val="22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192,399,733</w:t>
            </w: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net loss per share does not differ from basic net loss per share for the six months ended June 30, 2025 or the three and six months ended June 30, 2024 since the effect of including potential common shares would be anti-dilutive as the Company was in a net loss position. Total antidilutive securities that were excluded from the computation of diluted weighted-average shares outstanding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3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20" w:type="dxa"/>
            <w:vAlign w:val="bottom"/>
            <w:gridSpan w:val="2"/>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7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47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14,348,427</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21,539,688</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16,086,902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20,446,983</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collaborations and licenses</w:t>
      </w:r>
    </w:p>
    <w:p>
      <w:pPr>
        <w:spacing w:after="0" w:line="2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Company’s collaboration agreements fall under the scope of Accounting Standards Codification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some aspects, including for the delivery of a good or service (i.e., a unit of account).</w:t>
      </w:r>
    </w:p>
    <w:p>
      <w:pPr>
        <w:spacing w:after="0" w:line="21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9" w:name="page10"/>
    <w:bookmarkEnd w:id="9"/>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 w:cs="Times New Roman" w:eastAsia="Times New Roman" w:hAnsi="Times New Roman"/>
          <w:sz w:val="18"/>
          <w:szCs w:val="18"/>
          <w:i w:val="1"/>
          <w:iCs w:val="1"/>
          <w:color w:val="auto"/>
        </w:rPr>
        <w:t>Balance Sheet - Offsetting</w:t>
      </w:r>
      <w:r>
        <w:rPr>
          <w:rFonts w:ascii="Times New Roman" w:cs="Times New Roman" w:eastAsia="Times New Roman" w:hAnsi="Times New Roman"/>
          <w:sz w:val="18"/>
          <w:szCs w:val="18"/>
          <w:color w:val="auto"/>
        </w:rPr>
        <w:t xml:space="preserve"> (ASC 210-20) the Company’s deferred revenue is offset by a contract asset as further discussed in Note 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yet determined the impact ASU 2023-09 may have on the Company’s financial statement disclosures.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has reviewed all other recently issued standards and has determined that such standards will not have a material impact on the Company’s financial statements or do not otherwise apply to the Company’s operations.</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35" w:lineRule="exact"/>
        <w:rPr>
          <w:sz w:val="20"/>
          <w:szCs w:val="20"/>
          <w:color w:val="auto"/>
        </w:rPr>
      </w:pPr>
    </w:p>
    <w:p>
      <w:pPr>
        <w:ind w:left="940" w:hanging="46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161" w:lineRule="exact"/>
        <w:rPr>
          <w:rFonts w:ascii="Times New Roman" w:cs="Times New Roman" w:eastAsia="Times New Roman" w:hAnsi="Times New Roman"/>
          <w:sz w:val="18"/>
          <w:szCs w:val="18"/>
          <w:color w:val="auto"/>
        </w:rPr>
      </w:pPr>
    </w:p>
    <w:p>
      <w:pPr>
        <w:jc w:val="both"/>
        <w:ind w:left="960" w:hanging="482"/>
        <w:spacing w:after="0" w:line="25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26"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$10.8 million as of June 30, 2025 and the increase of $0.6 million from December 31, 2024 has been recorded as a component of total operating expenses in the condensed consolidated statements of operations and comprehensive income (loss) for the six months ended June 30, 2025. The assumptions used in the discounted cash flow model are level 3 inputs as defined above. There were no changes in the assumptions as of June 30, 2025 compared to December 31, 2024. The Company assessed the sensitivity of the fair value measurement to changes in these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unobservable inputs, and determined that changes within a reasonable range would not result in a materially different assessment of fair value.</w:t>
      </w:r>
    </w:p>
    <w:p>
      <w:pPr>
        <w:spacing w:after="0" w:line="24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20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gridSpan w:val="5"/>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1500" w:type="dxa"/>
            <w:vAlign w:val="bottom"/>
            <w:gridSpan w:val="3"/>
          </w:tcPr>
          <w:p>
            <w:pPr>
              <w:spacing w:after="0"/>
              <w:rPr>
                <w:sz w:val="2"/>
                <w:szCs w:val="2"/>
                <w:color w:val="auto"/>
              </w:rPr>
            </w:pPr>
          </w:p>
        </w:tc>
        <w:tc>
          <w:tcPr>
            <w:tcW w:w="3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gridSpan w:val="5"/>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1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5"/>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Liability at beginning of the period</w:t>
            </w:r>
          </w:p>
        </w:tc>
        <w:tc>
          <w:tcPr>
            <w:tcW w:w="220" w:type="dxa"/>
            <w:vAlign w:val="bottom"/>
          </w:tcPr>
          <w:p>
            <w:pPr>
              <w:spacing w:after="0"/>
              <w:rPr>
                <w:sz w:val="16"/>
                <w:szCs w:val="16"/>
                <w:color w:val="auto"/>
              </w:rPr>
            </w:pPr>
          </w:p>
        </w:tc>
        <w:tc>
          <w:tcPr>
            <w:tcW w:w="21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Change in fair value of liability</w:t>
            </w:r>
          </w:p>
        </w:tc>
        <w:tc>
          <w:tcPr>
            <w:tcW w:w="260" w:type="dxa"/>
            <w:vAlign w:val="bottom"/>
          </w:tcPr>
          <w:p>
            <w:pPr>
              <w:spacing w:after="0"/>
              <w:rPr>
                <w:sz w:val="16"/>
                <w:szCs w:val="16"/>
                <w:color w:val="auto"/>
              </w:rPr>
            </w:pPr>
          </w:p>
        </w:tc>
        <w:tc>
          <w:tcPr>
            <w:tcW w:w="20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Liability at end of the period</w:t>
            </w:r>
          </w:p>
        </w:tc>
      </w:tr>
      <w:tr>
        <w:trPr>
          <w:trHeight w:val="50"/>
        </w:trPr>
        <w:tc>
          <w:tcPr>
            <w:tcW w:w="43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84"/>
        </w:trPr>
        <w:tc>
          <w:tcPr>
            <w:tcW w:w="4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information regarding the fair value of the Company’s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Investments in marketable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38"/>
        </w:trPr>
        <w:tc>
          <w:tcPr>
            <w:tcW w:w="43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3"/>
          </w:tcPr>
          <w:p>
            <w:pPr>
              <w:jc w:val="right"/>
              <w:ind w:right="396"/>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w:t>
            </w: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47,118</w:t>
            </w: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21"/>
        </w:trPr>
        <w:tc>
          <w:tcPr>
            <w:tcW w:w="20" w:type="dxa"/>
            <w:vAlign w:val="bottom"/>
          </w:tcPr>
          <w:p>
            <w:pPr>
              <w:spacing w:after="0"/>
              <w:rPr>
                <w:sz w:val="19"/>
                <w:szCs w:val="19"/>
                <w:color w:val="auto"/>
              </w:rPr>
            </w:pPr>
          </w:p>
        </w:tc>
        <w:tc>
          <w:tcPr>
            <w:tcW w:w="4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60,678</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60,676</w:t>
            </w:r>
          </w:p>
        </w:tc>
      </w:tr>
    </w:tbl>
    <w:p>
      <w:pPr>
        <w:spacing w:after="0" w:line="264" w:lineRule="exact"/>
        <w:rPr>
          <w:sz w:val="20"/>
          <w:szCs w:val="20"/>
          <w:color w:val="auto"/>
        </w:rPr>
      </w:pPr>
    </w:p>
    <w:p>
      <w:pPr>
        <w:ind w:left="480" w:hanging="159"/>
        <w:spacing w:after="0"/>
        <w:tabs>
          <w:tab w:leader="none" w:pos="48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income (loss).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3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20" w:type="dxa"/>
            <w:vAlign w:val="bottom"/>
            <w:gridSpan w:val="5"/>
          </w:tcPr>
          <w:p>
            <w:pPr>
              <w:ind w:left="58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0" w:type="dxa"/>
            <w:vAlign w:val="bottom"/>
          </w:tcPr>
          <w:p>
            <w:pPr>
              <w:spacing w:after="0"/>
              <w:rPr>
                <w:sz w:val="1"/>
                <w:szCs w:val="1"/>
                <w:color w:val="auto"/>
              </w:rPr>
            </w:pPr>
          </w:p>
        </w:tc>
      </w:tr>
      <w:tr>
        <w:trPr>
          <w:trHeight w:val="19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55,496</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86,243</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480" w:hanging="159"/>
        <w:spacing w:after="0"/>
        <w:tabs>
          <w:tab w:leader="none" w:pos="48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income (loss).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contractual term to maturity of the $60.7 million of short-term marketable securities held by the Company as of June 30, 2025 is less than one year. As of June 30, 2025, the Company held no long-term marketable securities. As of December 31, 2024, the Company’s $86.3 million of short-term marketable securities had contractual maturities of less than one year, while the Company held no long-term marketable securities.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At June 30, 2025 and December 31, 2024, the Company had 20 and 6,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Accrued interest receivable on investments in marketable securities of $0.1 million and $0.3 million at June 30, 2025 and December 31, 2024, respectively, is included in prepaid expenses and other current assets.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had zero realized gains for the three and six months ended June 30, 2025 and less than $0.1 million realized gains for both the three and six months ended June 30,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regarding the fair value of the Company’s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Investment in Genevant</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April 2018, the Company entered into an agreement with Roivant Sciences Ltd. (Roivant), its largest shareholder, to launch Genevant Sciences Ltd., a company focused on a broad range of ribonucleic acid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20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Under the Genevant License, as amended, if a third-party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 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Notwithstanding the preceding, in March 2025, Genevant and the Company agreed that the Company be entitled to any award of damages in (or any proceeds of settlement of) certain pending patent litigation against Moderna and certain affiliates that specifically accuses Moderna of infringement related to Moderna’s vaccine for RSV known as mRESVIA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that, in the event there is no such specific allocation to mRESVIA in such award or settlement, the parties will discuss an appropriate allocation in good faith.</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June 30, 2025, the carrying value of the Company’s investment in Genevant was zero and the Company owned approximately 16% of the common equity of Genevant.</w:t>
      </w:r>
    </w:p>
    <w:p>
      <w:pPr>
        <w:spacing w:after="0" w:line="21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Accounts payable and accrued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7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460" w:type="dxa"/>
            <w:vAlign w:val="bottom"/>
            <w:shd w:val="clear" w:color="auto" w:fill="CCEEFF"/>
          </w:tcPr>
          <w:p>
            <w:pPr>
              <w:jc w:val="right"/>
              <w:ind w:right="12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1460" w:type="dxa"/>
            <w:vAlign w:val="bottom"/>
            <w:tcBorders>
              <w:bottom w:val="single" w:sz="8" w:color="auto"/>
            </w:tcBorders>
          </w:tcPr>
          <w:p>
            <w:pPr>
              <w:jc w:val="right"/>
              <w:ind w:right="12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0"/>
        </w:trPr>
        <w:tc>
          <w:tcPr>
            <w:tcW w:w="7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March 2025, the Company’s Board of Directors (the Board) took action to reduce the Company’s workforce by 57%. The Board also decided to exit the Company’s corporate headquarters in Warminster, Pennsylvania and to discontinue in-house scientific research. As a result, the Company recorded a one-time restructuring charge of $12.4 million in the first quarter of 2025, of which there was $0.4 million in severance and benefit costs and $0.3 million of lease-related operation expenses accrued as of June 30, 2025.</w:t>
      </w: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Sale of future royalties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 Pharmaceuticals, Inc. (Alnylam).</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ONPATTRO utilizes the Company’s LNP technology, which was licensed to Alnylam pursuant to the Cross-License Agreement, dated November 12, 2012, by and between the Company and Alnylam (the LNP License Agreement). Under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3" w:name="page14"/>
    <w:bookmarkEnd w:id="13"/>
    <w:p>
      <w:pPr>
        <w:jc w:val="both"/>
        <w:spacing w:after="0" w:line="249" w:lineRule="auto"/>
        <w:rPr>
          <w:sz w:val="20"/>
          <w:szCs w:val="20"/>
          <w:color w:val="auto"/>
        </w:rPr>
      </w:pPr>
      <w:r>
        <w:rPr>
          <w:rFonts w:ascii="Times New Roman" w:cs="Times New Roman" w:eastAsia="Times New Roman" w:hAnsi="Times New Roman"/>
          <w:sz w:val="18"/>
          <w:szCs w:val="18"/>
          <w:color w:val="auto"/>
        </w:rPr>
        <w:t>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it fails to collect any such future royalties.</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June 30, 2025, the Company estimated an effective annual interest rate of approximately 2.5%.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June 30, 2025, the Company has recorded an aggregate of $25.9 million of non-cash royalty revenue for royalties earned by OMERS. There are a number of factors that could materially affect the amount and timing of royalty payments from Alnylam, none of which are within the Company’s control.</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2025, the Company recognized non-cash royalty revenue of $1.0 million and related non-cash interest expense of less than $0.1 million. During the six months ended June 30, 2024, the Company recognized non-cash royalty revenue of $1.2 million and related non-cash interest expense of less than $0.1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activity related to the net liability for the six months ended June 30,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4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3"/>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beginning balance</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ending balance</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r>
    </w:tbl>
    <w:p>
      <w:pPr>
        <w:spacing w:after="0" w:line="29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1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Contingencies and commitments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Enantigen</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2014, Arbutus Biopharma,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contingent consideration is a financial liability and is measured at its fair value at each reporting period, with any changes in fair value from the previous reporting period recorded in the condensed consolidated statements of operations and comprehensive income (loss) (see Note 3).</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fair value of the contingent consideration was $10.8 million as of June 30, 2025.</w:t>
      </w:r>
    </w:p>
    <w:p>
      <w:pPr>
        <w:spacing w:after="0" w:line="2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Collaborations, contracts and licensing agreements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Qilu Pharmaceutical Co., Ltd.</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December 2021, the Company entered into a technology transfer and licensing agreement (the Qilu License Agreement) with Qilu Pharmaceutical Co., Ltd. (Qilu), pursuant to which the Company granted Qilu a sublicensable, royalty-bearing license, under certain intellectual property owned by the Company, which was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partial consideration for the rights granted by the Company, Qilu paid the Company a one-time upfront cash payment of $40.0 million, net of withholding taxes, on January 5, 2022, and agreed to pay the Company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Greater China and Taiwan. The royalties were payable on a product-by-product and region-by-region basis, subject to certain limitations.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Qilu was responsible for all costs related to developing, obtaining regulatory approval for, and commercializing imdusiran for the treatment or prevention of hepatitis B in Greater China and Taiwan. Qilu was required to use commercially reasonable efforts to develop, seek regulatory approval for, and commercialize at least one imdusiran product candidate in Greater China and Taiwan. A joint development committee was established between the Company and Qilu to coordinate and review the development, manufacturing and commercialization plans. Both parties also entered into a supply agreement and related quality agreement pursuant to which the Company would manufacture and supply Qilu with all quantities of imdusiran necessary for Qilu to develop and commercialize in Greater China and Taiwan until the Company completed its manufacturing technology transfer to Qilu and Qilu received all approvals required for it or its designated contract manufacturing organization to manufacture imdusiran in Greater China and Taiwan.</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Qilu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Company and Qilu mutually agreed to conclude the strategic partnership and terminated the Qilu License Agreement and related agreements, and the Company now once again holds global rights for imdusiran. As no obligations remain under the Qilu License Agreement, the Company recognized all previously deferred revenue of $9.6 million in the second quarter of 2025.</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period of time the Qilu License Agreement was effective, it fell under the scope of ASC 808 as both parties were active participants in the arrangement and were exposed to significant risks and rewards. While this arrangement was in the scope of ASC 808, the Company analogized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Qilu License Agreement) (the Qilu License) and (ii) drug supply obligations and manufacturing technology transfer (the Manufacturing Obligations). The Company determined that these two commitments were not distinct performance obligations for purposes of recognizing revenue as the manufacturing process is highly specialized and Qilu would not be able to benefit from the Qilu License Agreement without the Company’s involvement in the manufacturing activities until the transfer of the manufacturing know-how was complete. As such, the Company combined these commitments into one performance obligation to which the transaction price was allocated and recognized this transaction price associated with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bundled performance obligation over time using an inputs method based on labor hours expended by the Company on its Manufacturing Obligations.</w:t>
      </w:r>
    </w:p>
    <w:p>
      <w:pPr>
        <w:spacing w:after="0" w:line="2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determined the initial transaction price of the combined performance obligation to be $50.4 million, which included the $40.0 million upfront fee, $4.4 million of withholding taxes paid by Qilu on behalf of the Company, and the premium paid for the Share Transaction of $4.1 million. The Company determined the milestone payments to be variable consideration subject to constraint at inception. At the end of each subsequent reporting period, the Company reevaluated the probability of achievement of the future development, regulatory, and sales milestones subject to constraint and, if necessary, adjusted its estimate of the overall transaction price. Any such adjustments were recorded on a cumulative catch-up basis, which affect revenues and earnings in the period of adjustment.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transaction price and the changes to the related liability balance: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Transaction Price</w:t>
            </w:r>
          </w:p>
        </w:tc>
        <w:tc>
          <w:tcPr>
            <w:tcW w:w="200" w:type="dxa"/>
            <w:vAlign w:val="bottom"/>
          </w:tcPr>
          <w:p>
            <w:pPr>
              <w:spacing w:after="0"/>
              <w:rPr>
                <w:sz w:val="13"/>
                <w:szCs w:val="13"/>
                <w:color w:val="auto"/>
              </w:rPr>
            </w:pPr>
          </w:p>
        </w:tc>
        <w:tc>
          <w:tcPr>
            <w:tcW w:w="180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Cumulative Collaboration</w:t>
            </w:r>
          </w:p>
        </w:tc>
        <w:tc>
          <w:tcPr>
            <w:tcW w:w="140" w:type="dxa"/>
            <w:vAlign w:val="bottom"/>
          </w:tcPr>
          <w:p>
            <w:pPr>
              <w:spacing w:after="0"/>
              <w:rPr>
                <w:sz w:val="13"/>
                <w:szCs w:val="13"/>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License Revenue</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8"/>
              </w:rPr>
              <w:t>Revenue Recognized</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performance obligation</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50,445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50,445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contract asset</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license revenue</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Due to the conclusion of the strategic partnership with Qilu, the Company recognized the remainder of the $9.6 million of deferred revenue during the three months ended June 30, 2025. The Company also recognized $0.5 million of revenue based on labor hours expended by the Company on its Manufacturing Obligations during the six months ended June 30, 2025. The Company recognized $0.5 million and $0.8 million during the three and six months ended June 30, 2024, respectively, related to labor hours expended.</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incurred $0.6 million of incremental costs in obtaining the Qilu License Agreement, which was capitalized in other current assets and other assets and amortized as a component of general and administrative expense commensurate with the recognition of the combined performance obligation. During the three months ended June 30, 2025, the Company recognized the $0.1 million remaining amortization expense, for a total amortization expense for the six months ended June 30, 2025 of $0.2 million. The Company recognized amortization expense of less than $0.1 million for both the three and six months ended June 30, 2024.</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the conclusion of the strategic partnership with Qilu, the Company reevaluated the transaction price and the total estimated labor hours expected to be incurred to satisfy the performance obligations and adjusted the deferred revenue at the end of each reporting period, which resulted in changes to the amount of collaboration revenue recognized and deferred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Barinthus Biotherapeutics plc</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 clinical collaboration agreement with Barinthus Biotherapeutics plc (Barinthus), formerly Vaccitech plc, to evaluate imdusiran followed by Barinthus’ VTP-300, an HBV immunotherapy, and ongoing nucleos(t)ide analogue therapy in patients with cHBV. This clinical trial was amended to include a treatment arm with the addition of an approved PD-1 monoclonal antibody inhibitor, nivolumab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is responsible for managing this Phase 2a proof-of-concept clinical trial, subject to oversight by a joint development committee comprised of representatives from the Company and Barinthus. The Company and Barinthus retain full rights to their respective product candidates and will split all costs associated with the clinical trial. The Company incurred $0.3 million and $0.6 million of expenses, net of Barinthus’s 50% share, during the three and six months ended June 30, 2025, respectively, and $0.5 million and $1.0 million during the three and six months ended June 30, 2024, respectively, and reflected those costs in research and development in the condensed consolidated statements of operations and comprehensive income (loss).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Entitlements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and Acuitas Therapeutics,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Alnylam’s global net sales of ONPATTRO.</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it fails to collect any such future royalties. If this royalty entitlement reverts to the Company, it has the potential to provide an active royalty stream or to be otherwise monetized again in full or in part. From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inception of the royalty sale through June 30, 2025, an aggregate of $25.9 million of royalties have been earned by OMERS.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70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45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4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Acuitas Therapeutics, Inc.</w:t>
            </w:r>
          </w:p>
        </w:tc>
        <w:tc>
          <w:tcPr>
            <w:tcW w:w="98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2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1"/>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8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tcPr>
          <w:p>
            <w:pPr>
              <w:spacing w:after="0"/>
              <w:rPr>
                <w:sz w:val="19"/>
                <w:szCs w:val="19"/>
                <w:color w:val="auto"/>
              </w:rPr>
            </w:pP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6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bl>
    <w:p>
      <w:pPr>
        <w:spacing w:after="0" w:line="3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Shareholders’ equity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1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Effective March 26, 2025, the Company terminated its Open Market Sale Agreement with Jefferies LLC (Jefferies) dated December 20, 2018, as amended (the Sale Agreement), under which the Company could offer and sell common shares, from time to time.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termination of the Sale Agreement, the Company did not issue any common shares pursuant to the Sale Agreement during the six months ended June 30, 2025. During the three and six months ended June 30, 2024, the Company issued 7,833,922 and 16,499,999 common shares pursuant to the Sale Agreement, respectively, resulting in net proceeds of $22.4 million and $44.1 million,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table below summarizes information about the Company’s stock-based compensation for the three and six months ended June 30, 2025 and 2024 and the expense recognized in the condensed consolidated statements of operations: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 during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4,163,000</w:t>
            </w: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units granted during period</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1,316,200</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date fair value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 compensation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21"/>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r>
    </w:tbl>
    <w:p>
      <w:pPr>
        <w:spacing w:after="0" w:line="2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Segment Reporting</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has one reportable segment. The Company’s chief operating decision maker is the Chief Executive Officer and President. The accounting policies of the single segment are the same as those described in the summary of significant accounting policies. The chief operating decision maker assesses performance for the single segment and decides how to allocate resources based on net loss that also is reported on the condensed and consolidated statements of operations and comprehensive income (loss) as consolidated net loss. The chief operating decision maker uses net loss to monitor budget versus actual results and to evaluate the overall cash burn of the business.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shd w:val="clear" w:color="auto" w:fill="CCEEFF"/>
          </w:tcPr>
          <w:p>
            <w:pPr>
              <w:spacing w:after="0"/>
              <w:rPr>
                <w:sz w:val="17"/>
                <w:szCs w:val="17"/>
                <w:color w:val="auto"/>
              </w:rPr>
            </w:pPr>
          </w:p>
        </w:tc>
        <w:tc>
          <w:tcPr>
            <w:tcW w:w="2960" w:type="dxa"/>
            <w:vAlign w:val="bottom"/>
            <w:gridSpan w:val="6"/>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shd w:val="clear" w:color="auto" w:fill="CCEEFF"/>
          </w:tcPr>
          <w:p>
            <w:pPr>
              <w:spacing w:after="0"/>
              <w:rPr>
                <w:sz w:val="17"/>
                <w:szCs w:val="17"/>
                <w:color w:val="auto"/>
              </w:rPr>
            </w:pPr>
          </w:p>
        </w:tc>
        <w:tc>
          <w:tcPr>
            <w:tcW w:w="2380" w:type="dxa"/>
            <w:vAlign w:val="bottom"/>
            <w:gridSpan w:val="4"/>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1"/>
        </w:trPr>
        <w:tc>
          <w:tcPr>
            <w:tcW w:w="54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10,739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Research and development employee expense, lab supplies and overhead</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Imdusiran IM-PROVE I, II &amp; III clinical trials expense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AB-101-001 Phase 1a/1b clinical trial expense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early research and development programs expense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expense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Other segment expense </w:t>
            </w:r>
            <w:r>
              <w:rPr>
                <w:rFonts w:ascii="Times New Roman" w:cs="Times New Roman" w:eastAsia="Times New Roman" w:hAnsi="Times New Roman"/>
                <w:sz w:val="22"/>
                <w:szCs w:val="22"/>
                <w:color w:val="auto"/>
                <w:vertAlign w:val="superscript"/>
              </w:rPr>
              <w:t>(1)</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8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84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r>
    </w:tbl>
    <w:p>
      <w:pPr>
        <w:spacing w:after="0" w:line="310" w:lineRule="exact"/>
        <w:rPr>
          <w:sz w:val="20"/>
          <w:szCs w:val="20"/>
          <w:color w:val="auto"/>
        </w:rPr>
      </w:pPr>
    </w:p>
    <w:p>
      <w:pPr>
        <w:ind w:left="640" w:hanging="319"/>
        <w:spacing w:after="0" w:line="268" w:lineRule="auto"/>
        <w:tabs>
          <w:tab w:leader="none" w:pos="5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includes the change in the fair value of contingent consideration, non-cash interest expenses and foreign currency exchange gains and losses.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8" w:name="page19"/>
    <w:bookmarkEnd w:id="18"/>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Restructuring</w:t>
      </w:r>
    </w:p>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March 2025, the Board took action to reduce the Company’s workforce by 57%. The Board also decided to exit the Company’s corporate headquarters in Warminster, Pennsylvania and to discontinue in-house scientific research. In connection with these actions, the Company incurred a one-time restructuring charge in the first quarter of 2025 of $12.4 million and $0.2 million in the second quarter of 2025, which includes approximately $6.1 million of cash severance and continued benefits paid, $2.3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the Company’s corporate headquarters and a $0.4 million accrual of lease-related operating expenses.</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June 30, 2025, there was $0.4 million of accrued restructuring costs for severance payments and a $0.3 million accrual of lease-related operating expenses included in accounts payable and accrued liabilities.</w:t>
      </w:r>
    </w:p>
    <w:p>
      <w:pPr>
        <w:spacing w:after="0" w:line="200" w:lineRule="exact"/>
        <w:rPr>
          <w:sz w:val="20"/>
          <w:szCs w:val="20"/>
          <w:color w:val="auto"/>
        </w:rPr>
      </w:pP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Related Party Transaction</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August 5, 2025, the Company entered into an agreement with Keith Manchester, M.D. for consulting services regarding the Company’s development strategy and its hepatitis B programs. Dr. Manchester served as a member of the Board until February 24, 2025 and is considered a related person due to his service on the Board during the current fiscal year. In connection with this agreement, the Company granted an option to purchase 400,000 common shares to Dr. Manchester, with 5/48ths vesting immediately and the remainder vesting monthly. Vesting of all unvested shares may be accelerated if certain performance conditions are achieved, at the discretion of the Board.</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grant date fair value of the award was calculated using the Black-Scholes option valuation model, and expense will be recognized over the expected service period. The Company will accelerate recognition of any unrecognized expense if and when it becomes probable that the performance conditions will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2024 and our unaudited condensed consolidated financial statements for the three and six months ended June 30, 2025. Our consolidated financial statements have been prepared in accordance with United States generally accepted accounting principles and are presented in U.S. dollars.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ARBUTUS BIOPHARMA CORPORATION</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Throughout this Quarterly Report on Form 10-Q (Form 10-Q), the “Company,” “Arbutus,” “we,” “us,” and “our,” except where the context requires otherwise, refer to Arbutus Biopharma Corporation and its consolidated subsidiary.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14"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studies, clinical trials, and prospects;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plans and expectations regarding our patent infringement lawsuits against Moderna and Pfizer/BioNTech;</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achieve their desired or anticipated outcomes;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timing and results of our clinical development plans and clinical trials, including our clinical collaborations with third parties;</w:t>
      </w:r>
    </w:p>
    <w:p>
      <w:pPr>
        <w:spacing w:after="0" w:line="3"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a curative combination regimen for chronic hepatitis B infection, a disease of the liver caused by the hepatitis B virus;</w:t>
      </w:r>
    </w:p>
    <w:p>
      <w:pPr>
        <w:spacing w:after="0" w:line="1"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 to prevent complications of disease progression, to decrease hepatitis B virus burden by minimizing patient stigma and to address the need for finite and more efficacious hepatitis B virus treatments that further improve long-term outcomes and reduce associated healthcare costs;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of our product candidates to improve upon the standard of care and contribute to a functional curative combination treatment regimen;</w:t>
      </w:r>
    </w:p>
    <w:p>
      <w:pPr>
        <w:spacing w:after="0" w:line="26"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3"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returns and benefits from strategic alliances, licensing agreements, and development collaborations with third parties, and the timing thereof;</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technology licensed to third parties, and the timing thereof;</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 and expense fluctuation and guidance;</w:t>
      </w:r>
    </w:p>
    <w:p>
      <w:pPr>
        <w:spacing w:after="0" w:line="3" w:lineRule="exact"/>
        <w:rPr>
          <w:rFonts w:ascii="Times New Roman" w:cs="Times New Roman" w:eastAsia="Times New Roman" w:hAnsi="Times New Roman"/>
          <w:sz w:val="18"/>
          <w:szCs w:val="18"/>
          <w:color w:val="auto"/>
        </w:rPr>
      </w:pPr>
    </w:p>
    <w:p>
      <w:pPr>
        <w:ind w:left="640" w:hanging="319"/>
        <w:spacing w:after="0" w:line="231"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announcing data from our ongoing clinical trials;</w:t>
      </w: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net cash burn; and</w:t>
      </w:r>
    </w:p>
    <w:p>
      <w:pPr>
        <w:spacing w:after="0" w:line="1"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our expectation for how long we can fund our operations with our existing cash resources,</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2024 (the Form 10-K), and in particular the risks and uncertainties discussed under “Item 1A-Risk Factors” of this Form 10-Q and the Form 10-K. As a result, you should not place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 (the SEC).</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clinical-stage biopharmaceutical company focused on infectious disease. We are currently developing imdusiran (AB-729), our proprietary, GalNAc-conjugated, subcutaneously-delivered ribonucleic acid interference (RNAi) therapeutic, and AB-101, our proprietary oral PD-L1 inhibitor, for the treatment of chronic hepatitis B (cHBV).  </w:t>
      </w:r>
    </w:p>
    <w:p>
      <w:pPr>
        <w:spacing w:after="0" w:line="19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continue to protect and defend our intellectual property, which is the subject of our ongoing lawsuits against Moderna Therapeutics, Inc. (Moderna) and against Pfizer Inc. and BioNTech SE (collectively, Pfizer/BioNTech) for their use of our patented lipid nanoparticle (LNP) delivery technology in their COVID-19 messenger ribonucleic acid interference (mRNA)-LNP vaccines. With respect to the Moderna lawsuit in the United States, the summary judgment phase of the case began in July 2025 and a trial date has been set for March 2026. In March 2025, we, along with Genevant Sciences GmbH and/or its affiliates (collectively, Genevant), filed five international lawsuits against Moderna in connection with the use of our LNP technology in Moderna’s COVID-19 mRNA-LNP vaccines and, in the Unified Patent Court, also other Moderna products that use the same LNP technology, including Moderna’s respiratory syncytial virus (RSV) vaccines. The first major hearings in the international lawsuits are expected in the first half of calendar year 2026. With respect to the Pfizer/BioNTech lawsuit, the claim construction hearing occurred in December 2024, and fact discovery is ongoing. The court has not provided guidance for the timing of its ruling in the claim construction hearing, which could potentially come in 2025.</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2024, we streamlined the organization to focus our efforts on advancing the clinical development of imdusiran and AB-101, and therefore ceased all discovery efforts, discontinued our IM-PROVE III clinical trial and reduced our workforce by 40%. In the first quarter of 2025, we announced the appointment of five new members of our Board of Directors (our Board) to replace all of the former directors, as well as the appointment of a new President, Chief Executive Officer and Chairperson of our Board and a new Chief Financial Officer. Additionally, our Board took action to reduce our workforce by an additional 57%. Our Board also decided to exit our corporate headquarters in Warminster, Pennsylvania and to discontinue in-house scientific research. In connection with these actions, we incurred a one-time restructuring charge in the first quarter of 2025 of $12.4 million. With these organizational changes and our ongoing cost management efforts, we expect to significantly reduce our net cash burn in 2025 when compared to 2024.</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June 2025, we launched a new Scientific Advisory Board (SAB) consisting of globally-recognized leaders in the treatment of cHBV with extensive experience in late-stage clinical trials. SAB members will advise us on the strategic evaluation of our cHBV pipeline.</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2025, we announced changes to our Board. Effective August 4, 2025, Anuj Hasija resigned from our Board due to his transition to a full-time executive role that precludes his participation on our Board and other boards of directors. Dr. Roger Sawhney was appointed to the vacant seat on our Board, effective August 4, 2025. Dr. Sawhney was also appointed as a member of our Board’s Audit Committee and Corporate Governance and Nominating Committee.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is focused on maximizing opportunities for our cHBV development programs and our in-house developed LNP delivery technology.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LNP delivery technology</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February 2022 and April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delivery technology, which has been licensed for various applications to many different third parties. Our and Genevant’s LNP technology relies on microscopic particles built from four carefully selected types of fat-like molecules to shelter and protect ribonucleic acid (RNA) molecules. With this technology, the RNA can travel through the human body to a target cell and through the target cell’s membrane before releasing the RNA. Without this crucial delivery technology, the RNA would quickly degrade in the body and be ineffective. We remain committed to taking all legal actions necessary to defend and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2" w:name="page23"/>
    <w:bookmarkEnd w:id="22"/>
    <w:p>
      <w:pPr>
        <w:jc w:val="both"/>
        <w:spacing w:after="0" w:line="233" w:lineRule="auto"/>
        <w:rPr>
          <w:sz w:val="20"/>
          <w:szCs w:val="20"/>
          <w:color w:val="auto"/>
        </w:rPr>
      </w:pPr>
      <w:r>
        <w:rPr>
          <w:rFonts w:ascii="Times New Roman" w:cs="Times New Roman" w:eastAsia="Times New Roman" w:hAnsi="Times New Roman"/>
          <w:sz w:val="18"/>
          <w:szCs w:val="18"/>
          <w:color w:val="auto"/>
        </w:rPr>
        <w:t>With respect to the Moderna lawsuit in the United States, the court provided its claim construction ruling in April 2024 in which it construed the disputed claim terms and agreed with our position on most of the disputed claim terms. The summary judgment phase of the case began in July 2025 and a trial date has been set for March 2026. In March 2025, we, along with Genevant, filed five international lawsuits against Moderna in connection with Moderna’s use of our LNP technology in Moderna’s COVID-19 mRNA-LNP vaccines and, in the Unified Patent Court, also other Moderna products that use the same LNP technology, including Moderna’s RSV vaccines. The first major hearings in the international lawsuits are expected in the first half of calendar year 2026. With respect to the Pfizer/BioNTech lawsuit, the claim construction hearing occurred in December 2024, and fact discovery is ongoing. The court has not provided guidance for the timing of its ruling in the claim construction hearing, which could potentially come in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cHBV programs</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current HBV strategy is to develop a functional cure for patients with cHBV infection with imdusiran as a potential cornerstone in a combination therapy. We believe that a combination of compounds that can suppress hepatitis B virus deoxyribonucleic acid (HBV DNA) replication and hepatitis B surface antigen (HBsAg) expression, as well as boost patients’ HBV-specific immune response, could address the most important elements to achieving a functional cure. Functional cure is defined as sustained HBsAg loss and HBV DNA less than the lower limit of quantification (&lt;LLOQ) after 24 weeks off treatment, with or without anti-hepatitis B surface antibodies (anti-HBs). By providing a functional cure for patients with cHBV, we aim to prevent complications of disease progression, to decrease HBV burden by minimizing patient stigma and to address the need for finite and more efficacious HBV treatments that further improve long-term outcomes and reduce associated healthcare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HBV product pipeline includes the following:</w:t>
      </w:r>
    </w:p>
    <w:p>
      <w:pPr>
        <w:spacing w:after="0" w:line="240" w:lineRule="exact"/>
        <w:rPr>
          <w:sz w:val="20"/>
          <w:szCs w:val="20"/>
          <w:color w:val="auto"/>
        </w:rPr>
      </w:pPr>
    </w:p>
    <w:p>
      <w:pPr>
        <w:jc w:val="both"/>
        <w:ind w:left="640" w:hanging="319"/>
        <w:spacing w:after="0" w:line="24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Imdusiran (AB-729) is our proprietary, GalNAc-conjugated, subcutaneously-delivered RNAi therapeutic product candidate that suppresses all HBV antigens, including HBsAg, which is thought to be a key prerequisite to enable reawakening of a patient’s immune system to respond to HBV. Over 250 patients with cHBV infection have been dosed with imdusiran in our Phase 1 and Phase 2a clinical trials. Clinical data generated thus far has shown imdusiran provides meaningful reductions in HBsAg and HBV DNA and leads to functional cure in some patients, while being generally safe and well-tolerated. To date, eight patients have achieved functional cure, off all treatment, in combination therapy that includes imdusiran, including two patients who did not receive any pegylated interferon alfa-2a (IFN) as part of the combination therapy.</w:t>
      </w:r>
    </w:p>
    <w:p>
      <w:pPr>
        <w:spacing w:after="0" w:line="215" w:lineRule="exact"/>
        <w:rPr>
          <w:rFonts w:ascii="Times New Roman" w:cs="Times New Roman" w:eastAsia="Times New Roman" w:hAnsi="Times New Roman"/>
          <w:sz w:val="18"/>
          <w:szCs w:val="18"/>
          <w:color w:val="auto"/>
        </w:rPr>
      </w:pPr>
    </w:p>
    <w:p>
      <w:pPr>
        <w:jc w:val="both"/>
        <w:ind w:left="640" w:hanging="319"/>
        <w:spacing w:after="0" w:line="293" w:lineRule="auto"/>
        <w:tabs>
          <w:tab w:leader="none" w:pos="636" w:val="left"/>
        </w:tabs>
        <w:numPr>
          <w:ilvl w:val="0"/>
          <w:numId w:val="9"/>
        </w:numPr>
        <w:rPr>
          <w:rFonts w:ascii="Arial" w:cs="Arial" w:eastAsia="Arial" w:hAnsi="Arial"/>
          <w:sz w:val="16"/>
          <w:szCs w:val="16"/>
          <w:color w:val="auto"/>
        </w:rPr>
      </w:pPr>
      <w:r>
        <w:rPr>
          <w:rFonts w:ascii="Times New Roman" w:cs="Times New Roman" w:eastAsia="Times New Roman" w:hAnsi="Times New Roman"/>
          <w:sz w:val="16"/>
          <w:szCs w:val="16"/>
          <w:color w:val="auto"/>
        </w:rPr>
        <w:t>AB-101 is our proprietary oral PD-L1 inhibitor that has the potential to reawaken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The data from healthy subjects in Parts 1 and 2 and cHBV patients to date in Part 3 of this clinical trial have showed that AB-101 was generally well-tolerated with evidence of high receptor occupancy.</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To help position imdusiran as a potential cornerstone in a combination therapy, we fully enrolled two Phase 2a clinical trials that combined imdusiran with other agents. The intent of these trials was to initially lower HBsAg levels with imdusiran and then administer a complementary agent, an immune modulator or a therapeutic vaccine, to further lower HBsAg levels and promote anti-HBV immunity. We believe that if we can lower HBsAg and promote immunity, we may achieve sustained HBsAg loss and HBV DNA &lt;LLOQ, potentially leading to a functional cure in many patients with cHBV.</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To date, we have reported a total of eight patients with cHBV who have been functionally cured following treatment with imdusiran and ongoing nucleos(t)ide analogue (NA) therapy in combination with either IFN or with low dose nivolumab plus an immunotherapeutic. Two of the patients who achieved functional cure did not receive any IFN as part of the combination therapy. Seven of the eight patients who achieved functional cure had HBsAg less than 1000 IU/mL at baseline. According to the literature, patients with HBsAg levels &lt;1000 IU/mL represent a significant portion of the cHBV population.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imdusiran development program includes the following two Phase 2a clinical trials:</w:t>
      </w:r>
    </w:p>
    <w:p>
      <w:pPr>
        <w:spacing w:after="0" w:line="108" w:lineRule="exact"/>
        <w:rPr>
          <w:sz w:val="20"/>
          <w:szCs w:val="20"/>
          <w:color w:val="auto"/>
        </w:rPr>
      </w:pPr>
    </w:p>
    <w:p>
      <w:pPr>
        <w:jc w:val="both"/>
        <w:ind w:left="640" w:hanging="319"/>
        <w:spacing w:after="0" w:line="251"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Imdusiran in combination with IFN, a standard-of-care immunomodulator, and ongoing standard-of-care NA therapy in patients with cHBV infection (IM-PROVE I). At the American Association for the Study of Liver Diseases (AASLD) – The Liver Meeting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 November 2024, we presented new data from our IM-PROVE I Phase 2a clinical trial showing that six doses of imdusiran and 24 weeks of IFN added to ongoing NA therapy led to a functional cure rate of 50% (3/6) in hepatitis B e antigen (HBeAg) negative patients with baseline HBsAg levels less than 1000 IU/</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23" w:name="page24"/>
    <w:bookmarkEnd w:id="23"/>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mL, and an overall functional cure rate of 25% (3/12). Additionally, three cHBV patients from other cohorts in the IM-PROVE I clinical trial achieved functional cure. Those patients who achieved a functional cure also seroconverted. These data from the IM-PROVE I trial suggest that the combination of imdusiran, 24 weeks of IFN and NA therapy was generally safe and well-tolerated.</w:t>
      </w:r>
    </w:p>
    <w:p>
      <w:pPr>
        <w:spacing w:after="0" w:line="74" w:lineRule="exact"/>
        <w:rPr>
          <w:sz w:val="20"/>
          <w:szCs w:val="20"/>
          <w:color w:val="auto"/>
        </w:rPr>
      </w:pPr>
    </w:p>
    <w:p>
      <w:pPr>
        <w:jc w:val="both"/>
        <w:ind w:left="640" w:hanging="319"/>
        <w:spacing w:after="0" w:line="253"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Imdusiran in combination with VTP-300, Barinthus Biotherapeutics plc’s (Barinthus) HBV immunotherapy, ongoing NA therapy in patients with cHBV infection, including a cohort with the addition of low dose nivolumab (Opdivo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(IM-PROVE II). At the European Association for the Study of the Liver (EASL) Congress in May 2025, we presented data from this clinical trial showing that 25% (2/8) of the patients with low dose nivolumab added to the treatment regimen and with baseline HBsAg levels less than 1000 IU/mL achieved functional cure. These data from the IM-PROVE II trial suggest that the combination of imdusiran, VTP-300, NA therapy and low dose nivolumab was generally safe and well-tolerated.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pipeline consists of two product candidates that are designed to suppress HBV DNA, reduce HBsAg and/or boost HBV-specific immune responses,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5708650" cy="257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8650" cy="257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explore pipeline opportunities in the form of potential strategic alliances.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RNAi therapeutic (imdusiran, AB-729)</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RNAi therapeutics represent a significant advancement in drug development. RNAi therapeutics utilize a natural pathway within cells to effectively silence genes by eliminating the disease-causing proteins that they code for. We are developing an RNAi therapeutic, imdusiran, that is designed to reduce HBsAg and other HBV antigen expression in people with cHBV infection. Reducing HBsAg is widely believed to be a key prerequisite to enable a patient’s immune system to reawaken and respond against the virus.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Imdusiran has the following advantages over other RNAi therapeutics in development for cHBV infection:</w:t>
      </w:r>
    </w:p>
    <w:p>
      <w:pPr>
        <w:spacing w:after="0" w:line="87" w:lineRule="exact"/>
        <w:rPr>
          <w:sz w:val="20"/>
          <w:szCs w:val="20"/>
          <w:color w:val="auto"/>
        </w:rPr>
      </w:pPr>
    </w:p>
    <w:p>
      <w:pPr>
        <w:ind w:left="640" w:hanging="315"/>
        <w:spacing w:after="0" w:line="251" w:lineRule="auto"/>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Targeted to hepatocytes using our proprietary covalently conjugated GalNAc delivery technology which provides highly efficient liver-targeted uptake</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and enables subcutaneous dosing.</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Unique nucleotide sequence that is single trigger and targets all HBV transcripts including HBx from cccDNA and integrated HBV DNA.</w:t>
      </w:r>
    </w:p>
    <w:p>
      <w:pPr>
        <w:spacing w:after="0" w:line="73" w:lineRule="exact"/>
        <w:rPr>
          <w:sz w:val="20"/>
          <w:szCs w:val="20"/>
          <w:color w:val="auto"/>
        </w:rPr>
      </w:pPr>
    </w:p>
    <w:p>
      <w:pPr>
        <w:ind w:left="640" w:hanging="315"/>
        <w:spacing w:after="0" w:line="252"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Specific chemical modifications and unique asymmetric RNA structure that reduces off-target effects while maintaining/enhancing potency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providing durable liver exposure and in vivo efficacy.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Delivered at a lower dose and less frequently.</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Immune activation properties with HBV-specific T-cell immune restoration and a decrease in exhausted T-cells in key responder patients.</w:t>
      </w:r>
    </w:p>
    <w:p>
      <w:pPr>
        <w:spacing w:after="0" w:line="73" w:lineRule="exact"/>
        <w:rPr>
          <w:sz w:val="20"/>
          <w:szCs w:val="20"/>
          <w:color w:val="auto"/>
        </w:rPr>
      </w:pPr>
    </w:p>
    <w:p>
      <w:pPr>
        <w:ind w:left="640" w:hanging="315"/>
        <w:spacing w:after="0" w:line="252"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In combination with IFN and NA therapy, has achieved the highest functional cure rates in cHBV patients to date with a 50% (3/6) functional cure 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in patients with HBsAg&lt;1000 IU/mL at baseline.</w:t>
      </w:r>
    </w:p>
    <w:p>
      <w:pPr>
        <w:spacing w:after="0" w:line="41" w:lineRule="exact"/>
        <w:rPr>
          <w:sz w:val="20"/>
          <w:szCs w:val="20"/>
          <w:color w:val="auto"/>
        </w:rPr>
      </w:pPr>
    </w:p>
    <w:p>
      <w:pPr>
        <w:ind w:left="640" w:hanging="315"/>
        <w:spacing w:after="0" w:line="267" w:lineRule="auto"/>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Achieved a 25% (2/8) functional cure rate in patients with HBsAg&lt;1000 IU/mL at baseline in an IFN-free treatment regimen consisting of imdusiran,</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VTP-300, ongoing NA therapy and low dose nivolumab.</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 Phase 2a proof-of-concept clinical trial evaluating imdusiran in combination with IFN</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completed enrollment in IM-PROVE I, a randomized, open label, multicenter Phase 2a proof-of-concept clinical trial investigating the safety and antiviral activity of imdusiran in combination with a short course of IFN and ongoing NA therapy in 43 stably NA-suppressed, HBeAg negative, non-cirrhotic patients with cHBV infection. The primary objective of this trial was to initially lower HBsAg levels with imdusiran and then administer IFN as an immunomodulator to promote anti-HBV immune reawakening. We believe that if we can lower HBsAg and promote immune reawakening, we may achieve sustained HBsAg loss and HBV DNA &lt;LLOQ, potentially leading to a functional cure. After 24-weeks of dosing with imdusiran (60mg every 8 weeks, 4 doses) plus ongoing NA therapy, patients were randomized into one of four cohorts to receive a short course of IFN plus ongoing NA therapy for either 12 or 24 weeks, with or without up to two additional doses of imdusiran. After completion of the assigned IFN treatment period, all patients remained on NA therapy for the initial 24-week follow-up period, and then discontinued NA treatment, provided they met protocol-defined stopping criteria. Patients who stopped NA therapy entered an intensive follow-up period for 48 weeks.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Select key data from 12 patients in Cohort A1 of this Phase 2a clinical trial who received 6 doses of imdusiran, 24 weeks of IFN and ongoing NA therapy, as presented at the AASLD – The Liver Meeting in November 2024, include:</w:t>
      </w:r>
    </w:p>
    <w:p>
      <w:pPr>
        <w:spacing w:after="0" w:line="195" w:lineRule="exact"/>
        <w:rPr>
          <w:sz w:val="20"/>
          <w:szCs w:val="20"/>
          <w:color w:val="auto"/>
        </w:rPr>
      </w:pPr>
    </w:p>
    <w:p>
      <w:pPr>
        <w:ind w:left="560" w:hanging="23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(3/6) of patients with baseline HBsAg &lt;1000 IU/mL achieved a functional cure.</w:t>
      </w:r>
    </w:p>
    <w:p>
      <w:pPr>
        <w:spacing w:after="0" w:line="55"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25% (3/12) of patients achieved a functional cure.</w:t>
      </w:r>
    </w:p>
    <w:p>
      <w:pPr>
        <w:spacing w:after="0" w:line="55"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patients that achieved a functional cure also seroconverted with anti-HBs levels increasing as patients lost HBsAg.</w:t>
      </w:r>
    </w:p>
    <w:p>
      <w:pPr>
        <w:spacing w:after="0" w:line="22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At the EASL Congress in May 2025, we presented a poster characterizing the demographics and virological markers of the six cHBV patients across dosing cohorts in the IM-PROVE I Phase 2a clinical trial who achieved functional cure. The data showed that HBsAg at baseline was the only apparent marker in common associated with functional cure. In a second poster, we reported that patients who achieved functional cure in the 24-week IFN treatment cohorts experienced HBsAg loss that was associated with transient HBV RNA elevations that were preceded by or coincided with increases in immunological markers.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data from the IM-PROVE I trial suggest that the combination of imdusiran and 24 weeks of IFN was generally safe and well-tolerated. There were no serious adverse events related to imdusiran, IFN or NA therapy, and no adverse events leading to discontinuation. The most common imdusiran-related treatment emergent adverse events (TEAEs) were transient alanine aminotransferase elevations and injection site bruising. The IFN-related TEAEs were consistent with the known safety profile of IFN.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II Phase 2a proof-of-concept clinical trial evaluating imdusiran in combination with Barinthus’ VTP-300</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Through a clinical collaboration agreement with Barinthus that we entered into in July 2021, we have completed enrollment in IM-PROVE II, a Phase 2a proof-of-concept clinical trial evaluating the safety, antiviral activity and immunogenicity of a combination treatment with Barinthus’ VTP-300, an HBV immunotherapy, administered after imdusiran in patients with cHBV infection. The initial trial design enrolled 40 NA-suppressed, HBeAg negative or positive, non-cirrhotic cHBV infected patients. The primary objective of this trial was to initially lower HBsAg levels with imdusiran and then administer VTP-300 as an immunomodulator to promote anti-HBV immune reawakening.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are being followed for an additional 24 to 48 weeks. Subsequently, we amended the IM-PROVE II clinical trial protocol to include another cohort that received imdusiran, VTP-300, NA therapy and low dose nivolumab, an approved PD-1 inhibitor in oncology. In this additional cohort, patients received imdusiran (60mg every 8 weeks, 4 doses) plus NA therapy for 24 weeks, followed by administration of VTP-300 plus up to two low doses of nivolumab</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color w:val="auto"/>
        </w:rPr>
        <w:t>while remaining on NA therapy. At week 48, all patients were evaluated for eligibility to discontinue NA therapy, and are being followed for an additional 24 to 48 weeks.</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cohort that included low dose nivolumab was the best performing cohort in the IM-PROVE II clinical trial. At the AASLD – The Liver Meeting in November 2024, we presented data from this clinical trial showing that the addition of low dose nivolumab increased rates of HBsAg loss in cHBV patients and that 23% (3/13) of patients who received the treatment regimen with low dose nivolumab achieved HBsAg loss by week 48. At the EASL Congress in May 2025, we presented data showing that 25% (2/8) of patients with low dose nivolumab added to the treatment regimen and with baseline HBsAg&lt;1000 IU/mL achieved functional cure. Treatment with imdusiran, VTP-300, NA therapy and low dose nivolumab in this clinical trial was generally safe and well-tolerated. There were no serious adverse events, Grade 3 or 4 adverse events, immune-related adverse events, or discontinuations due to adverse events.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IM-PROVE II clinical trial is being managed by us, subject to oversight by a joint development committee comprised of representatives from both companies. We and Barinthus retain full rights to our respective product candidates and are splitting all costs associated with the clinical trial. Pursuant to the agreement, the parties could have undertaken a larger Phase 2b clinical trial depending on the results of the initial Phase 2a clinical trial. However, in January 2025, Barinthus announced a shift in its strategic business focus that included postponing further development of VTP-300 after its ongoing VTP-300 clinical trials have concluded. The parties do not intend to undertake a larger Phase 2b with this combination treatment regimen.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PD-L1 Inhibitor (AB-101)</w:t>
      </w:r>
    </w:p>
    <w:p>
      <w:pPr>
        <w:spacing w:after="0" w:line="24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number during cHBV infection. One approach to boost HBV-specific T-cells is to prevent PD-L1 proteins from binding to PD-1, which would otherwise lead to inhibition of the HBV-specific immune function of T-cells.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AB-101 is our proprietary oral small-molecule PD-L1 inhibitor candidate that we believe will allow for controlled checkpoint blockade while minimizing the systemic safety issues often seen with checkpoint inhibitor antibody therapies. AB-101 is differentiated from monoclonal antibody checkpoint inhibitors such as durvalumab (anti-PD-L1) and nivolumab (anti-PD-1) because it is liver centric, has a much shorter duration of effect in preclinical models (which may provide dosing and safety advantages), and has a novel mechanism of action as it binds to PD-L1 on the surface of cells causing dimerization, internalization and degradation of the PD-L1 protein.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1a/1b clinical trial to evaluate safety, tolerability and PK/PD of AB-101 (AB-101-001)</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AB-101-001 is a Phase 1a/1b clinical trial designed to investigate the safety, tolerability and PK/PD of single and multiple-ascending oral doses of AB-101 for up to 28 days in healthy subjects and patients with cHBV infection. The trial consists of three parts starting with single ascending doses in healthy subjects, followed by multiple ascending doses in healthy subjects and culminating with multiple doses in patients with cHBV infection. Safety and PK/PD assessments are performed prior to dose escalation in all parts of the clinical trial.</w:t>
      </w:r>
    </w:p>
    <w:p>
      <w:pPr>
        <w:spacing w:after="0" w:line="20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Part 1 of this clinical trial enrolled five sequential cohorts of eight healthy subjects each (6 active: 2 placebo) receiving a single dose of AB-101 at increasing dose levels. In Part 1, all five evaluable subjects in the 40mg cohort showed evidence of 100% receptor occupancy. Part 2 of this clinical trial enrolled three sequential cohorts of ten healthy subjects that each received 10, 25 or 40mg of AB-101 (8 active: 2 placebo) daily for seven days. In Part 2, all subjects in the 40mg cohort showed evidence of high receptor occupancy between 74-100%, with six of the eight subjects demonstrating 100% receptor occupancy during the seven-day dosing period. Across Parts 1 and 2, eleven of the thirteen evaluable healthy subjects that received either single or multiple doses of 40mg of AB-101 achieved 100% receptor occupancy. The data from Part 1 and Part 2 showed that AB-101 was well-tolerated with evidence of high receptor occupancy.</w:t>
      </w:r>
    </w:p>
    <w:p>
      <w:pPr>
        <w:spacing w:after="0" w:line="1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moved into Part 3 of this clinical trial which evaluates repeat doses of AB-101 for 28 days in patients with cHBV. At the EASL Congress in May 2025, we presented data showing that a single dose of 10mg of AB-101 for 28 days in cHBV patients was well tolerated with PD-L1 receptor occupancy similar to that seen in healthy subjects at this dose. Treatment with AB-101 in Part 3 of this clinical trial was generally safe and well-tolerated. There were no serious adverse events or early discontinuations due to AB-101 and no evidence of liver dysfunction to date. Part 3 of this clinical trial is ongoing.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Other Collaborations, Royalty Entitlements and Intellectual Property Litigation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Qilu Pharmaceutical Co., Ltd. (Qilu)</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license agreement (the Qilu License Agreement) with Qilu, pursuant to which we granted Qilu a sublicensable, royalty-bearing license, under certain intellectual property owned by us, which was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were to be payable on a product-by-product and region-by-region basis, subject to certain limitations.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Qilu was responsible for all costs related to developing, obtaining regulatory approval for, and commercializing imdusiran for the treatment or prevention of hepatitis B in Greater China and Taiwan. Qilu was required to use commercially reasonable efforts to develop, seek regulatory approval for, and commercialize at least one imdusiran product candidate in Greater China and Taiwan. A joint development committee was established between us and Qilu to coordinate and review the development, manufacturing and commercialization plans. Both parties also entered into a supply agreement and related quality agreement pursuant to which we would manufacture and supply Qilu with all quantities of imdusiran necessary for Qilu to develop and commercialize in Greater China and Taiwan until we had completed manufacturing technology transfer to Qilu and Qilu had received all approvals required for it or its designated contract manufacturing organization to manufacture imdusiran in Greater China and Taiwan.</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Qilu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we and Qilu mutually agreed to conclude our strategic partnership and terminate the Qilu License Agreement and related agreements, and we now once again hold global rights for imdusiran. As no obligations remain under the Qilu License Agreement, we recognized all previously deferred revenue in the second quarter of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(Alnylam) and Acuitas Therapeutics, Inc. (Acuitas)</w:t>
      </w:r>
    </w:p>
    <w:p>
      <w:pPr>
        <w:spacing w:after="0" w:line="2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We have two royalty entitlements to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it fails to collect any such future royalties. If this royalty entitlement reverts to us, it has the potential to provide an active royalty stream or to be otherwise monetized again in full or in part. From the inception of the royalty sale through June 30, 2025, an aggregate of $25.9 million of royalties have been earned by OMERS.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Genevant Sciences, Ltd.</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Sciences Ltd., a company focused on nucleic acid- and gene editing-based therapeutics enabled by our LNP and ligand conjugate delivery technologies. We licensed rights to our LNP and ligand conjugate delivery platforms to Genevant outside of HBV, except to the extent certain rights had already been licensed to other third parties (the Genevant License). We retained all rights to our LNP and conjugate delivery platforms for HBV.</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Notwithstanding the preceding, in March 2025, we and Genevant agreed that we would be entitled to any award of damages in (or any proceeds of settlement of) certain pending patent litigation against Moderna and certain affiliates that specifically accuses Moderna of infringement related to Moderna’s vaccine for RSV known as mRESVIA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that, in the event there is no such specific allocation to mRESVIA in such award or settlement, the parties will discuss an appropriate allocation in good faith.</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the right to have a non-voting observer attend meetings of Genevant’s Board of Directors.</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June 30, 2025,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In the lawsuit, we seek fair compensation for Moderna’s use of our patented technology that was developed with great effort and at great expense, without which Moderna’s COVID-19 vaccine would not have been successful. In May 2022, Moderna filed a partial motion to dismiss the claims “relating to Moderna’s sale and provision of COVID-19 vaccine doses to the U.S. Government” and argued that U.S. taxpayers, not Moderna, are financially liable for any infringement by Moderna of our patents. In November 2022, the court issued an Order denying Moderna’s motion. In February 2023, the U.S. Department of Justice filed a Statement of Interest in the action. Subsequently in February 2023, the court held a hearing and directed the parties and the U.S. Government to submit letters regarding the impact of the Government’s Statement of Interest on Moderna’s motion to dismiss. In March 2023, the court reaffirmed its denial of Moderna’s motion to dismiss. The claim construction hearing was held in February 2024, and in April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Fact discovery has been completed, and expert discovery is concluding. The summary judgment phase of the case began in July 2025 and a jury trial is scheduled to be held in March 2026. Additionally, in July 2025, the case was reassigned to a different judge in the same court.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w:t>
      </w:r>
    </w:p>
    <w:p>
      <w:pPr>
        <w:spacing w:after="0" w:line="2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Canada, Denmark, Estonia, Finland, France, Germany, Greece, Hungary, Iceland, Ireland, Italy, Japan, Latvia, Lithuania, Luxembourg, Malta, Monaco, Netherlands, Norway, Poland, Portugal, Romania, Slovenia, Spain, Sweden, Switzerland/Liechtenstein, and Turkey. We and Genevant are seeking monetary relief and injunctions against the continued manufacture and sale of Moderna’s COVID-19 vaccine and, in the Unified Patent Court, additional Moderna products, which Moderna has represented use the same lipid nanoparticle technology as the COVID-19 vaccine, including its RSV vaccine. Where permitted to do so at this stage, we and Genevant submitted evidence from testing of commercial Moderna product samples sourced from the U.S. and European Union indicating the samples contain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lipid nanoparticles falling under the protective scope of the claims of our lipid composition patents. The five international lawsuits are as follows:</w:t>
      </w:r>
    </w:p>
    <w:p>
      <w:pPr>
        <w:spacing w:after="0" w:line="82" w:lineRule="exact"/>
        <w:rPr>
          <w:sz w:val="20"/>
          <w:szCs w:val="20"/>
          <w:color w:val="auto"/>
        </w:rPr>
      </w:pPr>
    </w:p>
    <w:p>
      <w:pPr>
        <w:ind w:left="800" w:hanging="243"/>
        <w:spacing w:after="0" w:line="268" w:lineRule="auto"/>
        <w:tabs>
          <w:tab w:leader="none" w:pos="7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Federal Court of Canada File No. T-704-25, seeking a permanent injunction and damages or, if Genevant so elects, an accounting of Moderna’s profits, attributable to infringement of Canadian Patent No. 2,721,333.</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 Tokyo District Court Case No. 2025 (Wa) 70079, seeking a permanent injunction and reasonable royalty for infringement of Japanese Patent No. 5,475,753.</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 a case seeking a permanent injunction and monetary relief, which upon later choice of Genevant and Arbutus can include surrender of profits, damages or a reasonable royalty, for infringement of EP 2 279 254.</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2 279 254.</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4 241 767.</w:t>
      </w:r>
    </w:p>
    <w:p>
      <w:pPr>
        <w:spacing w:after="0" w:line="1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five complaints have been or are being served on Moderna pursuant to the service of process rules of the respective courts. Moderna and/or its affiliates have responded to the lawsuits in Japan, Switzerland and the Unified Patent Court, and the first major hearings are expected to occur in the first half of calendar year 2026.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fact discovery is ongoing. The court has not provided guidance for the timing of its ruling in the claim construction hearing, which could potentially come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in September 2018 and a hearing was conducted before the Opposition Division of the EPO in October 2019. At the conclusion of the hearing, the EPO upheld an auxiliary request adopting the amendment, as put forth by us, of certain claims of the ’254 Patent. In February 2020, Moderna and Merck filed Notices of Appeal challenging the EPO’s grant of the auxiliary request. We filed our responses to the appeals in September 2020. In March 2022, Moderna filed further written submissions to which we and Genevant responded in August 2022. In April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In October 2023, the Opposition Division issued a summons for oral proceedings and provided its preliminary and non-binding opinion on the subject matter to be discussed at the hearing. In November 2023, we responded to the summons and in January 2024, Moderna and Merck filed their reply to the written opinion of the Opposition Division, as well as to our written submission from November 2023. We responded to Moderna and Merck’s reply in April 2024. Oral proceedings were held in June 2024, and the Opposition Division upheld the ’254 Patent but declined our and Genevant’s request to broaden certain claims in the ’254 Patent. Both parties appealed the Opposition Division’s decision and in March 2025, the Board of Appeals scheduled oral proceedings for January 2026.</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April 29, 2025, Moderna filed a revocation action on EPO patent EP 4 241 767 (the ’767 patent) with the EPO, requesting that the patent be revoked in its entirety for all contracting states. Moderna submitted its opposition brief in July 2025 and we are currently preparing our response.</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While we are the patent owner, the ’254 Patent, the ’767 Patent, and the other patents in our LNP portfolio have been licensed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0" w:name="page31"/>
    <w:bookmarkEnd w:id="30"/>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1-Financial Statements (Unaudited)” of this Form 10-Q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8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6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0"/>
        </w:trPr>
        <w:tc>
          <w:tcPr>
            <w:tcW w:w="408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2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44,204</w:t>
            </w:r>
          </w:p>
        </w:tc>
      </w:tr>
      <w:tr>
        <w:trPr>
          <w:trHeight w:val="217"/>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operations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(40,946)</w:t>
            </w:r>
          </w:p>
        </w:tc>
      </w:tr>
      <w:tr>
        <w:trPr>
          <w:trHeight w:val="22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17"/>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184"/>
        </w:trPr>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0" w:type="dxa"/>
            <w:vAlign w:val="bottom"/>
          </w:tcPr>
          <w:p>
            <w:pPr>
              <w:spacing w:after="0"/>
              <w:rPr>
                <w:sz w:val="16"/>
                <w:szCs w:val="16"/>
                <w:color w:val="auto"/>
              </w:rPr>
            </w:pPr>
          </w:p>
        </w:tc>
      </w:tr>
      <w:tr>
        <w:trPr>
          <w:trHeight w:val="190"/>
        </w:trPr>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collaborations and licenses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40" w:type="dxa"/>
            <w:vAlign w:val="bottom"/>
          </w:tcPr>
          <w:p>
            <w:pPr>
              <w:spacing w:after="0"/>
              <w:rPr>
                <w:sz w:val="19"/>
                <w:szCs w:val="19"/>
                <w:color w:val="auto"/>
              </w:rPr>
            </w:pPr>
          </w:p>
        </w:tc>
      </w:tr>
      <w:tr>
        <w:trPr>
          <w:trHeight w:val="223"/>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0" w:type="dxa"/>
            <w:vAlign w:val="bottom"/>
          </w:tcPr>
          <w:p>
            <w:pPr>
              <w:spacing w:after="0"/>
              <w:rPr>
                <w:sz w:val="19"/>
                <w:szCs w:val="19"/>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tcPr>
          <w:p>
            <w:pPr>
              <w:spacing w:after="0"/>
              <w:rPr>
                <w:sz w:val="19"/>
                <w:szCs w:val="19"/>
                <w:color w:val="auto"/>
              </w:rPr>
            </w:pPr>
          </w:p>
        </w:tc>
      </w:tr>
      <w:tr>
        <w:trPr>
          <w:trHeight w:val="221"/>
        </w:trPr>
        <w:tc>
          <w:tcPr>
            <w:tcW w:w="5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19"/>
                <w:szCs w:val="19"/>
                <w:color w:val="auto"/>
              </w:rPr>
            </w:pPr>
          </w:p>
        </w:tc>
      </w:tr>
      <w:tr>
        <w:trPr>
          <w:trHeight w:val="603"/>
        </w:trPr>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5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84"/>
        </w:trPr>
        <w:tc>
          <w:tcPr>
            <w:tcW w:w="5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collaborations and licenses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21"/>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0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Total revenue increased $9.0 million and $9.2 million for the three and six months ended June 30, 2025, respectively, compared to the same periods in 2024, due primarily to recognizing all $9.6 million of previously deferred revenue upon the conclusion of our strategic partnership with Qilu in June 2025, partially offset by a decrease in license royalty revenue from Alnylam and Acuitas due to lower sales of ONPATTRO in the 2025 periods compared to the 2024 periods.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7"/>
        </w:trPr>
        <w:tc>
          <w:tcPr>
            <w:tcW w:w="5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r>
      <w:tr>
        <w:trPr>
          <w:trHeight w:val="541"/>
        </w:trPr>
        <w:tc>
          <w:tcPr>
            <w:tcW w:w="5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8"/>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
        </w:trPr>
        <w:tc>
          <w:tcPr>
            <w:tcW w:w="50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14,457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30,954</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12,859</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12,538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7"/>
        </w:trPr>
        <w:tc>
          <w:tcPr>
            <w:tcW w:w="5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36,714</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fees paid to clinical research organizations and contract manufacturers, consumables and materials, consulting, and other third-party expenses to support our clinical and preclinical activities, as well as a portion of stock-based compensation and general overhead costs.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decreased $10.1 million and $16.5 million for the three and six months ended June 30, 2025, respectively, compared to the same periods in 2024. The decrease was due primarily to our decision in the third quarter of 2024 to cease all discovery efforts, discontinue our IM-PROVE III clinical trial and implement a 40% reduction in our workforce to streamline the organization to focus our efforts on advancing the clinical development of imdusiran and AB-101.</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General and administrative expenses decreased $4.2 million and $3.7 million for the three and six months ended June 30, 2025, respectively, as compared to the same periods in 2024, due primarily to a decrease in employee compensation-related expenses and a decrease in litigation-related legal fees.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imdusiran continues to progress through clinical trials, we will adjust our assumptions regarding probability of success commensurate with the progression of the program, which will increase the fair value of the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March 2025, our Board took action to reduce our workforce by 57%. The Board also decided to exit our corporate headquarters in Warminster, Pennsylvania and to discontinue in-house scientific research. In connection with these actions, we incurred a one-time restructuring charge in the first quarter of 2025 of $12.4 million, which includes approximately $6.0 million of cash severance and continued benefits paid, $2.3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our corporate headquarters and a $0.4 million accrual of lease-related operating expenses.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three months ended June 30, 2025, we recorded an additional $0.2 million of restructuring costs related to severance and benefits. As of June 30, 2025, there was $0.4 million of accrued restructuring costs for severance payments and a $0.3 million accrual of lease-related operating expenses included in accounts payable and accrued liabilities.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other income (loss) are summarized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40" w:type="dxa"/>
            <w:vAlign w:val="bottom"/>
          </w:tcPr>
          <w:p>
            <w:pPr>
              <w:spacing w:after="0"/>
              <w:rPr>
                <w:sz w:val="17"/>
                <w:szCs w:val="17"/>
                <w:color w:val="auto"/>
              </w:rPr>
            </w:pPr>
          </w:p>
        </w:tc>
        <w:tc>
          <w:tcPr>
            <w:tcW w:w="296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6"/>
                <w:szCs w:val="16"/>
                <w:color w:val="auto"/>
              </w:rPr>
            </w:pPr>
          </w:p>
        </w:tc>
        <w:tc>
          <w:tcPr>
            <w:tcW w:w="12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4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1"/>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decrease in interest income for the three and six months ended June 30, 2025 compared to the same periods in 2024 was due primarily to less interest earned on our cash and investment balances due to a lower average balance and a general decrease in market interest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and six months ended June 30, 2025 and 2024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60" w:type="dxa"/>
            <w:vAlign w:val="bottom"/>
          </w:tcPr>
          <w:p>
            <w:pPr>
              <w:spacing w:after="0"/>
              <w:rPr>
                <w:sz w:val="16"/>
                <w:szCs w:val="16"/>
                <w:color w:val="auto"/>
              </w:rPr>
            </w:pPr>
          </w:p>
        </w:tc>
      </w:tr>
      <w:tr>
        <w:trPr>
          <w:trHeight w:val="37"/>
        </w:trPr>
        <w:tc>
          <w:tcPr>
            <w:tcW w:w="66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620" w:type="dxa"/>
            <w:vAlign w:val="bottom"/>
          </w:tcPr>
          <w:p>
            <w:pPr>
              <w:spacing w:after="0"/>
              <w:rPr>
                <w:sz w:val="16"/>
                <w:szCs w:val="16"/>
                <w:color w:val="auto"/>
              </w:rPr>
            </w:pPr>
          </w:p>
        </w:tc>
        <w:tc>
          <w:tcPr>
            <w:tcW w:w="13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6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8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license revenue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other operating items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the Open Market Sale Agreement</w:t>
            </w:r>
          </w:p>
        </w:tc>
        <w:tc>
          <w:tcPr>
            <w:tcW w:w="1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other financing activities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26,285</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38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62,788</w:t>
            </w:r>
          </w:p>
        </w:tc>
      </w:tr>
    </w:tbl>
    <w:p>
      <w:pPr>
        <w:spacing w:after="0" w:line="2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2025, $29.1 million of cash was used in operating activities compared to $33.8 million used in operating activities for the six months ended June 30, 2024, a decrease of $4.7 million. The decrease was due primarily to our decisions to cease all discovery efforts, discontinue our IM-PROVE III clinical trial, and decrease our workforce to further streamline the organization to focus our efforts on advancing the clinical development of imdusiran and AB-101.</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2025, net cash provided by investing activities was $27.0 million, resulting primarily from maturities of investments in marketable securities of $90.2 million, partially offset by additional investments in marketable securities of $63.2 million. For the six months ended June 30, 2024, net cash provided by investing activities was $21.5 million, which resulted primarily from maturities of investments in marketable securities of $79.6 million, partially offset by additional investments in marketable securities of $58.0 million.</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2025, net cash provided by financing activities was $3.2 million, which was primarily related to $3.1 million in proceeds from the issuance of common shares pursuant to the exercise of stock options. For the six months ended June 30, 2024, net cash provided by financing activities was $48.8 million, which included $44.1 million in proceeds from sales of common shares pursuant to the Sale Agreement (as defined below) and $4.5 million in proceeds from the issuance of common shares pursuant to the exercise of stock options.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we had cash, cash equivalents and investments in marketable securities of $98.1 million. We had no outstanding debt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Effective March 26, 2025, we terminated our Open Market Sale Agreement with Jefferies dated December 20, 2018, as amended (the Sale Agreement), under which we could offer and sell common shares, from time to time.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termination of the Sale Agreement, we did not issue any common shares pursuant to the Sale Agreement during the six months ended June 30, 2025. For the six months ended June 30, 2024, we issued 16,499,999 common shares pursuant to the Sale Agreement, resulting in net proceeds of approximately $44.1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Entitlements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it fails to collect any such future royalties. From the inception of the royalty sale through June 30, 2025, we have recorded an aggregate of $25.9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Greater China and Taiwan. In partial consideration for the rights granted by us, Qilu paid us a one-time upfront cash payment of $40 million and made an equity investment of $15.0 million, both received in January 2022, and agreed to pay us up to $245 million, net of withholding taxes, upon the achievement of certain technology transfer, development, regulatory and commercialization milestones. Qilu also agreed to pay us double digit royalties into the low twenties percent based upon annual net sales of imdusiran in Greater China and Taiwan. In June 2025, we and Qilu mutually agreed to conclude our strategic partnership, and we now once again hold global rights for imdusiran.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organizational changes announced during the first quarter of 2025, and our ongoing cost management efforts, we expect to significantly reduce our net cash burn in 2025 when compared to 2024. In the future, substantial additional funds would be required to continue with the active development of our pipeline products and technologies. In particular, our funding needs may vary depending on a number of factors including:</w:t>
      </w:r>
    </w:p>
    <w:p>
      <w:pPr>
        <w:spacing w:after="0" w:line="258" w:lineRule="exact"/>
        <w:rPr>
          <w:sz w:val="20"/>
          <w:szCs w:val="20"/>
          <w:color w:val="auto"/>
        </w:rPr>
      </w:pPr>
    </w:p>
    <w:p>
      <w:pPr>
        <w:ind w:left="640" w:hanging="241"/>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our ongoing patent infringement matters against Moderna and Pfizer/BioNTech;</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w:t>
      </w:r>
    </w:p>
    <w:p>
      <w:pPr>
        <w:spacing w:after="0" w:line="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ONPATTRO;</w:t>
      </w:r>
    </w:p>
    <w:p>
      <w:pPr>
        <w:spacing w:after="0" w:line="38"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requirement to make milestone payments related to our legacy agreements;</w:t>
      </w:r>
    </w:p>
    <w:p>
      <w:pPr>
        <w:spacing w:after="0" w:line="55"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 candidates due to preclinical and clinical findings;</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product candidates or technology for development;</w:t>
      </w:r>
    </w:p>
    <w:p>
      <w:pPr>
        <w:spacing w:after="0" w:line="55"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10"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product candidates that we manufacture fail to meet specifications resulting in clinical trial delays and investigational and remanufacturing costs;</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8"/>
          <w:szCs w:val="18"/>
          <w:color w:val="auto"/>
        </w:rPr>
        <w:t>candidates; and</w:t>
      </w:r>
    </w:p>
    <w:p>
      <w:pPr>
        <w:spacing w:after="0" w:line="56" w:lineRule="exact"/>
        <w:rPr>
          <w:sz w:val="20"/>
          <w:szCs w:val="20"/>
          <w:color w:val="auto"/>
        </w:rPr>
      </w:pPr>
    </w:p>
    <w:p>
      <w:pPr>
        <w:ind w:left="400"/>
        <w:spacing w:after="0"/>
        <w:tabs>
          <w:tab w:leader="none" w:pos="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competing products, product candidates and technological and market developments.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funding to maintain and advance our business from a variety of sources including public or private equity or debt financing, potential monetization transactions, collaborative or licensing arrangements with pharmaceutical companies and government grants and contracts. If we seek additional funding, there can be no assurance that funding will be available at all or on acceptable terms to maintain and advance our business.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we decide to seek funding and such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this item is not required to be provided by smaller reporting companies.</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evaluated the effectiveness of our disclosure controls and procedures as of June 30,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2025, our principal executive officer and principal financial officer concluded that, as of such date, our disclosure controls and procedures were effective at the reasonable assurance level.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In the lawsuit, we seek fair compensation for Moderna’s use of our patented technology that was developed with great effort and at great expense, without which Moderna’s COVID-19 vaccine would not have been successful. In May 2022, Moderna filed a partial motion to dismiss the claims “relating to Moderna’s sale and provision of COVID-19 vaccine doses to the U.S. Government” and argued that U.S. taxpayers, not Moderna, are financially liable for any infringement by Moderna of our patents. In November 2022, the court issued an Order denying Moderna’s motion. In February 2023, the U.S. Department of Justice filed a Statement of Interest in the action. Subsequently in February 2023, the court held a hearing and directed the parties and the U.S. Government to submit letters regarding the impact of the Government’s Statement of Interest on Moderna’s motion to dismiss. In March 2023, the court reaffirmed its denial of Moderna’s motion to dismiss. The claim construction hearing was held in February 2024, and in April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Fact discovery has been completed, and expert discovery is concluding. The summary judgment phase of the case began in July 2025 and a jury trial is scheduled to be held in March 2026. Additionally, in July 2025, the case was reassigned to a different judge in the same court.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w:t>
      </w:r>
    </w:p>
    <w:p>
      <w:pPr>
        <w:spacing w:after="0" w:line="2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Canada, Denmark, Estonia, Finland, France, Germany, Greece, Hungary, Iceland, Ireland, Italy, Japan, Latvia, Lithuania, Luxembourg, Malta, Monaco, Netherlands, Norway, Poland, Portugal, Romania, Slovenia, Spain, Sweden, Switzerland/Liechtenstein, and Turkey. We and Genevant are seeking monetary relief and injunctions against the continued manufacture and sale of Moderna’s COVID-19 vaccine and, in the Unified Patent Court, additional Moderna products, which Moderna has represented use the same lipid nanoparticle technology as the COVID-19 vaccine, including its RSV vaccine. Where permitted to do so at this stage, we and Genevant submitted evidence from testing of commercial Moderna product samples sourced from the U.S. and European Union indicating the samples contain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lipid nanoparticles falling under the protective scope of the claims of our lipid composition patents. The five international lawsuits are as follows:</w:t>
      </w:r>
    </w:p>
    <w:p>
      <w:pPr>
        <w:spacing w:after="0" w:line="82" w:lineRule="exact"/>
        <w:rPr>
          <w:sz w:val="20"/>
          <w:szCs w:val="20"/>
          <w:color w:val="auto"/>
        </w:rPr>
      </w:pPr>
    </w:p>
    <w:p>
      <w:pPr>
        <w:ind w:left="800" w:hanging="243"/>
        <w:spacing w:after="0" w:line="283" w:lineRule="auto"/>
        <w:tabs>
          <w:tab w:leader="none" w:pos="7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Federal Court of Canada File No. T-704-25, seeking a permanent injunction and damages or, if Genevant so elects, an accounting of Moderna’s profits, attributable to infringement of Canadian Patent No. 2,721,333.</w:t>
      </w:r>
    </w:p>
    <w:p>
      <w:pPr>
        <w:spacing w:after="0" w:line="24"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 Tokyo District Court Case No. 2025 (Wa) 70079, seeking a permanent injunction and reasonable royalty for infringement of Japanese Patent No. 5,475,753.</w:t>
      </w:r>
    </w:p>
    <w:p>
      <w:pPr>
        <w:spacing w:after="0" w:line="50" w:lineRule="exact"/>
        <w:rPr>
          <w:rFonts w:ascii="Times New Roman" w:cs="Times New Roman" w:eastAsia="Times New Roman" w:hAnsi="Times New Roman"/>
          <w:sz w:val="18"/>
          <w:szCs w:val="18"/>
          <w:color w:val="auto"/>
        </w:rPr>
      </w:pPr>
    </w:p>
    <w:p>
      <w:pPr>
        <w:ind w:left="800" w:hanging="243"/>
        <w:spacing w:after="0" w:line="283" w:lineRule="auto"/>
        <w:tabs>
          <w:tab w:leader="none" w:pos="6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 a case seeking a permanent injunction and monetary relief, which upon later choice of Genevant and Arbutus can include surrender of profits, damages or a reasonable royalty, for infringement of EP 2 279 254.</w:t>
      </w:r>
    </w:p>
    <w:p>
      <w:pPr>
        <w:spacing w:after="0" w:line="37"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2 279 254.</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4 241 767.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jc w:val="both"/>
        <w:spacing w:after="0"/>
        <w:rPr>
          <w:sz w:val="20"/>
          <w:szCs w:val="20"/>
          <w:color w:val="auto"/>
        </w:rPr>
      </w:pPr>
      <w:r>
        <w:rPr>
          <w:rFonts w:ascii="Times New Roman" w:cs="Times New Roman" w:eastAsia="Times New Roman" w:hAnsi="Times New Roman"/>
          <w:sz w:val="18"/>
          <w:szCs w:val="18"/>
          <w:color w:val="auto"/>
        </w:rPr>
        <w:t>The five complaints have been or are being served on Moderna pursuant to the service of process rules of the respective courts. Moderna and/or its affiliates have responded to the lawsuits in Japan, Switzerland and the Unified Patent Court, and the first major hearings are expected to occur in the first half of calendar year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fact discovery is ongoing. The court has not provided guidance for the timing of its ruling in the claim construction hearing, which could potentially come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Oppositions</w:t>
      </w:r>
    </w:p>
    <w:p>
      <w:pPr>
        <w:spacing w:after="0" w:line="2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in September 2018 and a hearing was conducted before the Opposition Division of the EPO in October 2019. At the conclusion of the hearing, the EPO upheld an auxiliary request adopting the amendment, as put forth by us, of certain claims of the ’254 Patent. In February 2020, Moderna and Merck filed Notices of Appeal challenging the EPO’s grant of the auxiliary request. We filed our responses to the appeals in September 2020. In March 2022, Moderna filed further written submissions to which we and Genevant responded in August 2022. In April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In October 2023, the Opposition Division issued a summons for oral proceedings and provided its preliminary and non-binding opinion on the subject matter to be discussed at the hearing. In November 2023, we responded to the summons and in January 2024, Moderna and Merck filed their reply to the written opinion of the Opposition Division, as well as to our written submission from November 2023. We responded to Moderna and Merck’s reply in April 2024. Oral proceedings were held in June 2024, and the Opposition Division upheld the ’254 Patent but declined our and Genevant’s request to broaden certain claims in the ’254 Patent. Both parties appealed the Opposition Division’s decision and in March 2025, the Board of Appeals scheduled oral proceedings for January 2026.</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April 29, 2025, Moderna filed a revocation action on EPO patent EP 4 241 767 (the ’767 patent) with the EPO, requesting that the patent be revoked in its entirety for all contracting states. Moderna submitted its opposition brief in July 2025 and we are currently preparing our response.</w:t>
      </w:r>
    </w:p>
    <w:p>
      <w:pPr>
        <w:spacing w:after="0" w:line="200" w:lineRule="exact"/>
        <w:rPr>
          <w:sz w:val="20"/>
          <w:szCs w:val="20"/>
          <w:color w:val="auto"/>
        </w:rPr>
      </w:pPr>
    </w:p>
    <w:p>
      <w:pPr>
        <w:spacing w:after="0" w:line="2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While we are the patent owner, the ’254 Patent, the ’767 Patent, and the other patents in our LNP portfolio have been licensed to Genevant under the Genevant License.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8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our risk factors from those disclosed in our Annual Report on Form 10-K for the fiscal year ended December 31,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39" w:name="page40"/>
    <w:bookmarkEnd w:id="39"/>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4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80" w:type="dxa"/>
            <w:vAlign w:val="bottom"/>
            <w:gridSpan w:val="19"/>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20" w:type="dxa"/>
            <w:vAlign w:val="bottom"/>
            <w:gridSpan w:val="13"/>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13"/>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60" w:type="dxa"/>
            <w:vAlign w:val="bottom"/>
            <w:gridSpan w:val="17"/>
          </w:tcPr>
          <w:p>
            <w:pPr>
              <w:spacing w:after="0" w:line="177"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Notice of Articles and Articles of the Company, as amended (incorporated herein by reference to Exhibit 3.1 to the Registrant’s Annual Report</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50">
              <w:r>
                <w:rPr>
                  <w:rFonts w:ascii="Times New Roman" w:cs="Times New Roman" w:eastAsia="Times New Roman" w:hAnsi="Times New Roman"/>
                  <w:sz w:val="18"/>
                  <w:szCs w:val="18"/>
                  <w:color w:val="0000FF"/>
                  <w:w w:val="96"/>
                </w:rPr>
                <w:t>on Form 10-K for the year ended December 31, 2017, filed with the SEC on March 16, 2018).</w:t>
              </w:r>
            </w:hyperlink>
          </w:p>
        </w:tc>
        <w:tc>
          <w:tcPr>
            <w:tcW w:w="37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60" w:type="dxa"/>
            <w:vAlign w:val="bottom"/>
            <w:gridSpan w:val="17"/>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Amendment to Articles of the Company (incorporated herein by reference to Exhibit 3.1 to the Registrant’s Quarterly Report on Form 10-Q for</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11"/>
          </w:tcPr>
          <w:p>
            <w:pPr>
              <w:spacing w:after="0" w:line="164"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the quarter ended September 30, 2018, filed with the SEC on November 7,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60" w:type="dxa"/>
            <w:vAlign w:val="bottom"/>
            <w:gridSpan w:val="17"/>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Termination Agreement, dated June 20, 2025, by and between Arbutus Biopharma Corporation and Qilu Pharmaceutical Co., Ltd. (incorporated</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top w:val="single" w:sz="8" w:color="0000FF"/>
            </w:tcBorders>
            <w:gridSpan w:val="9"/>
          </w:tcPr>
          <w:p>
            <w:pPr>
              <w:spacing w:after="0" w:line="164"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herein by reference to Exhibit 10.1 to the Registrant’s Current Report on Form 8-K, filed with the SEC on June 25, 2025)</w:t>
              </w:r>
              <w:r>
                <w:rPr>
                  <w:rFonts w:ascii="Times New Roman" w:cs="Times New Roman" w:eastAsia="Times New Roman" w:hAnsi="Times New Roman"/>
                  <w:sz w:val="18"/>
                  <w:szCs w:val="18"/>
                  <w:u w:val="single" w:color="auto"/>
                  <w:color w:val="0000FF"/>
                </w:rPr>
                <w: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96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60" w:type="dxa"/>
            <w:vAlign w:val="bottom"/>
            <w:gridSpan w:val="17"/>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Separation Agreement and General Release, dated effective April 1, 2025, by and between Arbutus Biopharma, Inc. and Karen Sims</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2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(incorporated herein by reference to Exhibit 10.6 to the Registrant’s Quarterly Report on Form 10-Q for the quarter ended March 31, 2025,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3"/>
          </w:tcPr>
          <w:p>
            <w:pPr>
              <w:spacing w:after="0" w:line="151"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with the SEC on May 14, 2025).</w:t>
              </w:r>
            </w:hyperlink>
          </w:p>
        </w:tc>
        <w:tc>
          <w:tcPr>
            <w:tcW w:w="79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60" w:type="dxa"/>
            <w:vAlign w:val="bottom"/>
            <w:gridSpan w:val="17"/>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Separation Agreement and General Release, dated effective April 2, 2025, by and between Arbutus Biopharma, Inc. and David Hastings</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top w:val="single" w:sz="8" w:color="0000FF"/>
            </w:tcBorders>
            <w:gridSpan w:val="14"/>
          </w:tcPr>
          <w:p>
            <w:pPr>
              <w:spacing w:after="0" w:line="164"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(incorporated herein by reference to Exhibit 10.7 to the Registrant’s Quarterly Report on Form 10-Q for the quarter ended March 31, 2025, filed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3"/>
          </w:tcPr>
          <w:p>
            <w:pPr>
              <w:spacing w:after="0" w:line="151"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with the SEC on May 14, 2025).</w:t>
              </w:r>
            </w:hyperlink>
          </w:p>
        </w:tc>
        <w:tc>
          <w:tcPr>
            <w:tcW w:w="79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72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10"/>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80" w:type="dxa"/>
            <w:vAlign w:val="bottom"/>
            <w:tcBorders>
              <w:top w:val="single" w:sz="8" w:color="0000FF"/>
            </w:tcBorders>
            <w:gridSpan w:val="13"/>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 Act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3"/>
              </w:rPr>
              <w:t>of 2002.</w:t>
            </w:r>
          </w:p>
        </w:tc>
        <w:tc>
          <w:tcPr>
            <w:tcW w:w="9600" w:type="dxa"/>
            <w:vAlign w:val="bottom"/>
            <w:tcBorders>
              <w:top w:val="single" w:sz="8" w:color="0000FF"/>
            </w:tcBorders>
            <w:gridSpan w:val="6"/>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Sarbanes-Oxley Act of</w:t>
            </w:r>
          </w:p>
        </w:tc>
      </w:tr>
      <w:tr>
        <w:trPr>
          <w:trHeight w:val="164"/>
        </w:trPr>
        <w:tc>
          <w:tcPr>
            <w:tcW w:w="9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80" w:type="dxa"/>
            <w:vAlign w:val="bottom"/>
            <w:tcBorders>
              <w:bottom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88"/>
              </w:rPr>
              <w:t>2002.</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74" w:lineRule="exact"/>
        <w:rPr>
          <w:sz w:val="20"/>
          <w:szCs w:val="20"/>
          <w:color w:val="auto"/>
        </w:rPr>
      </w:pPr>
    </w:p>
    <w:p>
      <w:pPr>
        <w:jc w:val="both"/>
        <w:ind w:left="1040" w:right="20" w:hanging="713"/>
        <w:spacing w:after="0" w:line="217"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Arbutus Biopharma Corporation’s Quarterly Report on Form 10-Q for the quarter ended June 30, 2025, formatted in inline XBRL (eXtensible Business Reporting Language):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Condensed Consolidated Financial Statements.</w:t>
      </w:r>
    </w:p>
    <w:p>
      <w:pPr>
        <w:spacing w:after="0" w:line="50" w:lineRule="exact"/>
        <w:rPr>
          <w:sz w:val="20"/>
          <w:szCs w:val="20"/>
          <w:color w:val="auto"/>
        </w:rPr>
      </w:pPr>
    </w:p>
    <w:p>
      <w:pPr>
        <w:ind w:right="2660" w:firstLine="327"/>
        <w:spacing w:after="0" w:line="579" w:lineRule="auto"/>
        <w:tabs>
          <w:tab w:leader="none" w:pos="10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 * Filed herewith.</w:t>
      </w:r>
    </w:p>
    <w:p>
      <w:pPr>
        <w:ind w:left="360" w:hanging="355"/>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5" w:lineRule="exact"/>
        <w:rPr>
          <w:sz w:val="20"/>
          <w:szCs w:val="20"/>
          <w:color w:val="auto"/>
        </w:rPr>
      </w:pPr>
    </w:p>
    <w:p>
      <w:pPr>
        <w:ind w:left="640" w:right="120" w:hanging="635"/>
        <w:spacing w:after="0" w:line="256" w:lineRule="auto"/>
        <w:tabs>
          <w:tab w:leader="none" w:pos="3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the agreement were omitted by means of marking such portions with brackets (due to the registrant customarily and actually treating such information as private or confidential and such omitted information not being material) pursuant to Item 601 of Regulation S-K promulgated by the SEC. Arbutus agrees to supplementally furnish a copy of any confidential portions to the SEC upon request.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Arrangement</w:t>
      </w:r>
    </w:p>
    <w:p>
      <w:pPr>
        <w:spacing w:after="0" w:line="240" w:lineRule="exact"/>
        <w:rPr>
          <w:sz w:val="20"/>
          <w:szCs w:val="20"/>
          <w:color w:val="auto"/>
        </w:rPr>
      </w:pPr>
    </w:p>
    <w:p>
      <w:pPr>
        <w:ind w:right="120" w:firstLine="5"/>
        <w:spacing w:after="0" w:line="268" w:lineRule="auto"/>
        <w:tabs>
          <w:tab w:leader="none" w:pos="1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similar attachments) to this agreement have been omitted in accordance with Item 601(a)(5) of Regulation S-K. A copy of any omitted schedules will be furnished supplementally to the SEC upon request.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1" w:name="page42"/>
    <w:bookmarkEnd w:id="41"/>
    <w:p>
      <w:pPr>
        <w:spacing w:after="0" w:line="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right="100" w:firstLine="637"/>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6, 2025.</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71" w:lineRule="exact"/>
        <w:rPr>
          <w:sz w:val="20"/>
          <w:szCs w:val="20"/>
          <w:color w:val="auto"/>
        </w:rPr>
      </w:pPr>
    </w:p>
    <w:tbl>
      <w:tblPr>
        <w:tblLayout w:type="fixed"/>
        <w:tblInd w:w="5540" w:type="dxa"/>
        <w:tblCellMar>
          <w:top w:w="0" w:type="dxa"/>
          <w:left w:w="0" w:type="dxa"/>
          <w:bottom w:w="0" w:type="dxa"/>
          <w:right w:w="0" w:type="dxa"/>
        </w:tblCellMar>
      </w:tblPr>
      <w:tr>
        <w:trPr>
          <w:trHeight w:val="228"/>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Lindsay Androski</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Lindsay Androski</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23"/>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Tuan Nguyen</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Tuan Nguyen</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539"/>
        </w:trPr>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40</w:t>
            </w:r>
          </w:p>
        </w:tc>
        <w:tc>
          <w:tcPr>
            <w:tcW w:w="4940" w:type="dxa"/>
            <w:vAlign w:val="bottom"/>
          </w:tcPr>
          <w:p>
            <w:pPr>
              <w:spacing w:after="0"/>
              <w:rPr>
                <w:sz w:val="24"/>
                <w:szCs w:val="24"/>
                <w:color w:val="auto"/>
              </w:rPr>
            </w:pPr>
          </w:p>
        </w:tc>
      </w:tr>
    </w:tbl>
    <w:p>
      <w:pPr>
        <w:sectPr>
          <w:pgSz w:w="11900" w:h="16838" w:orient="portrait"/>
          <w:cols w:equalWidth="0" w:num="1">
            <w:col w:w="11340"/>
          </w:cols>
          <w:pgMar w:left="320" w:top="1440"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Lindsay Androski, certify that:</w:t>
      </w:r>
    </w:p>
    <w:p>
      <w:pPr>
        <w:spacing w:after="0" w:line="95" w:lineRule="exact"/>
        <w:rPr>
          <w:sz w:val="20"/>
          <w:szCs w:val="20"/>
          <w:color w:val="auto"/>
        </w:rPr>
      </w:pPr>
    </w:p>
    <w:p>
      <w:pPr>
        <w:ind w:left="1180" w:hanging="386"/>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Lindsay Androski</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96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Tuan Nguyen, certify that:</w:t>
      </w:r>
    </w:p>
    <w:p>
      <w:pPr>
        <w:spacing w:after="0" w:line="95" w:lineRule="exact"/>
        <w:rPr>
          <w:sz w:val="20"/>
          <w:szCs w:val="20"/>
          <w:color w:val="auto"/>
        </w:rPr>
      </w:pPr>
    </w:p>
    <w:p>
      <w:pPr>
        <w:ind w:left="1180" w:hanging="386"/>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Tuan Nguyen</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6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connection with the Quarterly Report on Form 10-Q of Arbutus Biopharma Corporation (the “Company”) for the quarter ended June 30, 2025, as filed with the Securities and Exchange Commission on the date hereof (the “Report”), I, Lindsay Androski, President and Chief Executive Officer of the Company, certify, pursuant to 18 U.S.C. Section 1350, as adopted pursuant to Section 906 of the Sarbanes-Oxley Act of 2002, that to the best of my knowledge:</w:t>
      </w:r>
    </w:p>
    <w:p>
      <w:pPr>
        <w:spacing w:after="0" w:line="197" w:lineRule="exact"/>
        <w:rPr>
          <w:sz w:val="20"/>
          <w:szCs w:val="20"/>
          <w:color w:val="auto"/>
        </w:rPr>
      </w:pPr>
    </w:p>
    <w:p>
      <w:pPr>
        <w:ind w:left="1580" w:hanging="392"/>
        <w:spacing w:after="0"/>
        <w:tabs>
          <w:tab w:leader="none" w:pos="1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Lindsay Androski</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96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June 30, 2025, as filed with the Securities and Exchange Commission on the date hereof (the “Report”), I, Tuan Nguyen, Chief Financial Officer of the Company, certify, pursuant to 18 U.S.C. Section 1350, as adopted pursuant to Section 906 of the Sarbanes-Oxley Act of 2002, that to the best of my knowledge:</w:t>
      </w:r>
    </w:p>
    <w:p>
      <w:pPr>
        <w:spacing w:after="0" w:line="231" w:lineRule="exact"/>
        <w:rPr>
          <w:sz w:val="20"/>
          <w:szCs w:val="20"/>
          <w:color w:val="auto"/>
        </w:rPr>
      </w:pPr>
    </w:p>
    <w:p>
      <w:pPr>
        <w:ind w:left="1580" w:hanging="392"/>
        <w:spacing w:after="0"/>
        <w:tabs>
          <w:tab w:leader="none" w:pos="1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Tuan Nguyen</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9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endash "/>
      <w:numFmt w:val="bullet"/>
      <w:start w:val="1"/>
    </w:lvl>
  </w:abstractNum>
  <w:abstractNum w:abstractNumId="12">
    <w:nsid w:val="257130A3"/>
    <w:multiLevelType w:val="hybridMultilevel"/>
    <w:lvl w:ilvl="0">
      <w:lvlJc w:val="left"/>
      <w:lvlText w:val="\endash "/>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
      <w:numFmt w:val="bullet"/>
      <w:start w:val="1"/>
    </w:lvl>
    <w:lvl w:ilvl="1">
      <w:lvlJc w:val="left"/>
      <w:lvlText w:val="%2"/>
      <w:numFmt w:val="decimal"/>
      <w:start w:val="104"/>
    </w:lvl>
  </w:abstractNum>
  <w:abstractNum w:abstractNumId="19">
    <w:nsid w:val="2D1D5AE9"/>
    <w:multiLevelType w:val="hybridMultilevel"/>
    <w:lvl w:ilvl="0">
      <w:lvlJc w:val="left"/>
      <w:lvlText w:val="**"/>
      <w:numFmt w:val="bullet"/>
      <w:start w:val="1"/>
    </w:lvl>
    <w:lvl w:ilvl="1">
      <w:lvlJc w:val="left"/>
      <w:lvlText w:val="%2"/>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50" Type="http://schemas.openxmlformats.org/officeDocument/2006/relationships/hyperlink" Target="https://www.sec.gov/Archives/edgar/data/1447028/000162828018003276/exhibit31_articlesandartic.htm" TargetMode="External"/><Relationship Id="rId51" Type="http://schemas.openxmlformats.org/officeDocument/2006/relationships/hyperlink" Target="https://www.sec.gov/Archives/edgar/data/1447028/000162828018013909/exhibit31amendmenttoarticl.htm" TargetMode="External"/><Relationship Id="rId52" Type="http://schemas.openxmlformats.org/officeDocument/2006/relationships/hyperlink" Target="https://www.sec.gov/Archives/edgar/data/1447028/000117184325004094/exh_101.htm" TargetMode="External"/><Relationship Id="rId53" Type="http://schemas.openxmlformats.org/officeDocument/2006/relationships/hyperlink" Target="https://www.sec.gov/Archives/edgar/data/1447028/000144702825000099/ex106-karensimsseperatio.htm" TargetMode="External"/><Relationship Id="rId54" Type="http://schemas.openxmlformats.org/officeDocument/2006/relationships/hyperlink" Target="https://www.sec.gov/Archives/edgar/data/1447028/000144702825000099/ex107-davidhastingssep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2025-08-06T06:37:37Z</dcterms:created>
  <dcterms:modified xsi:type="dcterms:W3CDTF">2025-08-06T06:37:37Z</dcterms:modified>
</cp:coreProperties>
</file>