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50" w:lineRule="exact"/>
        <w:rPr>
          <w:sz w:val="24"/>
          <w:szCs w:val="24"/>
          <w:color w:val="auto"/>
        </w:rPr>
      </w:pPr>
    </w:p>
    <w:p>
      <w:pPr>
        <w:ind w:left="4320" w:right="4120" w:hanging="4315"/>
        <w:spacing w:after="0" w:line="395" w:lineRule="auto"/>
        <w:tabs>
          <w:tab w:leader="none" w:pos="34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 For the quarterly period ended March 31, 2025</w:t>
      </w:r>
    </w:p>
    <w:p>
      <w:pPr>
        <w:ind w:left="554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25" w:lineRule="exact"/>
        <w:rPr>
          <w:sz w:val="24"/>
          <w:szCs w:val="24"/>
          <w:color w:val="auto"/>
        </w:rPr>
      </w:pPr>
    </w:p>
    <w:p>
      <w:pPr>
        <w:ind w:left="240" w:hanging="235"/>
        <w:spacing w:after="0"/>
        <w:tabs>
          <w:tab w:leader="none" w:pos="2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25" w:lineRule="exact"/>
        <w:rPr>
          <w:sz w:val="24"/>
          <w:szCs w:val="24"/>
          <w:color w:val="auto"/>
        </w:rPr>
      </w:pPr>
    </w:p>
    <w:p>
      <w:pPr>
        <w:ind w:left="4360"/>
        <w:spacing w:after="0"/>
        <w:tabs>
          <w:tab w:leader="none" w:pos="646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2"/>
          <w:szCs w:val="12"/>
          <w:color w:val="auto"/>
        </w:rPr>
        <w:t>to</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u w:val="single" w:color="auto"/>
          <w:color w:val="auto"/>
        </w:rPr>
        <w:t>001-34949</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ARBUTUS BIOPHARMA CORPORATION</w:t>
      </w:r>
    </w:p>
    <w:p>
      <w:pPr>
        <w:sectPr>
          <w:pgSz w:w="11900" w:h="16838" w:orient="portrait"/>
          <w:cols w:equalWidth="0" w:num="1">
            <w:col w:w="11280"/>
          </w:cols>
          <w:pgMar w:left="300" w:top="759" w:right="319" w:bottom="1440" w:gutter="0" w:footer="0" w:header="0"/>
        </w:sectPr>
      </w:pPr>
    </w:p>
    <w:p>
      <w:pPr>
        <w:spacing w:after="0" w:line="200" w:lineRule="exact"/>
        <w:rPr>
          <w:sz w:val="24"/>
          <w:szCs w:val="24"/>
          <w:color w:val="auto"/>
        </w:rPr>
      </w:pPr>
    </w:p>
    <w:p>
      <w:pPr>
        <w:spacing w:after="0" w:line="330"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British Columbia, Canada</w:t>
      </w:r>
    </w:p>
    <w:p>
      <w:pPr>
        <w:spacing w:after="0" w:line="25"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u w:val="single" w:color="auto"/>
          <w:color w:val="auto"/>
        </w:rPr>
        <w:t>Title of each class</w:t>
      </w:r>
    </w:p>
    <w:p>
      <w:pPr>
        <w:spacing w:after="0" w:line="2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Common Shares, without par value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30" w:lineRule="exact"/>
        <w:rPr>
          <w:sz w:val="24"/>
          <w:szCs w:val="24"/>
          <w:color w:val="auto"/>
        </w:rPr>
      </w:pPr>
    </w:p>
    <w:p>
      <w:pPr>
        <w:jc w:val="center"/>
        <w:ind w:left="-2739"/>
        <w:spacing w:after="0"/>
        <w:rPr>
          <w:sz w:val="20"/>
          <w:szCs w:val="20"/>
          <w:color w:val="auto"/>
        </w:rPr>
      </w:pPr>
      <w:r>
        <w:rPr>
          <w:rFonts w:ascii="Times New Roman" w:cs="Times New Roman" w:eastAsia="Times New Roman" w:hAnsi="Times New Roman"/>
          <w:sz w:val="14"/>
          <w:szCs w:val="14"/>
          <w:b w:val="1"/>
          <w:bCs w:val="1"/>
          <w:u w:val="single" w:color="auto"/>
          <w:color w:val="auto"/>
        </w:rPr>
        <w:t>98-0597776</w:t>
      </w:r>
    </w:p>
    <w:p>
      <w:pPr>
        <w:spacing w:after="0" w:line="25" w:lineRule="exact"/>
        <w:rPr>
          <w:sz w:val="24"/>
          <w:szCs w:val="24"/>
          <w:color w:val="auto"/>
        </w:rPr>
      </w:pPr>
    </w:p>
    <w:p>
      <w:pPr>
        <w:jc w:val="center"/>
        <w:ind w:left="-2739"/>
        <w:spacing w:after="0"/>
        <w:rPr>
          <w:sz w:val="20"/>
          <w:szCs w:val="20"/>
          <w:color w:val="auto"/>
        </w:rPr>
      </w:pPr>
      <w:r>
        <w:rPr>
          <w:rFonts w:ascii="Times New Roman" w:cs="Times New Roman" w:eastAsia="Times New Roman" w:hAnsi="Times New Roman"/>
          <w:sz w:val="14"/>
          <w:szCs w:val="14"/>
          <w:color w:val="auto"/>
        </w:rPr>
        <w:t>(I.R.S. Employer</w:t>
      </w:r>
    </w:p>
    <w:p>
      <w:pPr>
        <w:spacing w:after="0" w:line="19" w:lineRule="exact"/>
        <w:rPr>
          <w:sz w:val="24"/>
          <w:szCs w:val="24"/>
          <w:color w:val="auto"/>
        </w:rPr>
      </w:pPr>
    </w:p>
    <w:p>
      <w:pPr>
        <w:jc w:val="center"/>
        <w:ind w:left="-2739"/>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0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u w:val="single" w:color="auto"/>
          <w:color w:val="auto"/>
        </w:rPr>
        <w:t>701 Veterans Circle, Warminster, PA 18974</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 w:lineRule="exact"/>
        <w:rPr>
          <w:sz w:val="24"/>
          <w:szCs w:val="24"/>
          <w:color w:val="auto"/>
        </w:rPr>
      </w:pPr>
    </w:p>
    <w:p>
      <w:pPr>
        <w:jc w:val="center"/>
        <w:ind w:right="4060"/>
        <w:spacing w:after="0"/>
        <w:rPr>
          <w:sz w:val="20"/>
          <w:szCs w:val="20"/>
          <w:color w:val="auto"/>
        </w:rPr>
      </w:pPr>
      <w:r>
        <w:rPr>
          <w:rFonts w:ascii="Times New Roman" w:cs="Times New Roman" w:eastAsia="Times New Roman" w:hAnsi="Times New Roman"/>
          <w:sz w:val="14"/>
          <w:szCs w:val="14"/>
          <w:b w:val="1"/>
          <w:bCs w:val="1"/>
          <w:u w:val="single" w:color="auto"/>
          <w:color w:val="auto"/>
        </w:rPr>
        <w:t>267-469-0914</w:t>
      </w:r>
    </w:p>
    <w:p>
      <w:pPr>
        <w:spacing w:after="0" w:line="111" w:lineRule="exact"/>
        <w:rPr>
          <w:sz w:val="24"/>
          <w:szCs w:val="24"/>
          <w:color w:val="auto"/>
        </w:rPr>
      </w:pPr>
    </w:p>
    <w:p>
      <w:pPr>
        <w:jc w:val="center"/>
        <w:ind w:right="40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308"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1560" w:type="dxa"/>
            <w:vAlign w:val="bottom"/>
          </w:tcPr>
          <w:p>
            <w:pPr>
              <w:spacing w:after="0"/>
              <w:rPr>
                <w:sz w:val="13"/>
                <w:szCs w:val="13"/>
                <w:color w:val="auto"/>
              </w:rPr>
            </w:pP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r>
      <w:tr>
        <w:trPr>
          <w:trHeight w:val="192"/>
        </w:trPr>
        <w:tc>
          <w:tcPr>
            <w:tcW w:w="2640" w:type="dxa"/>
            <w:vAlign w:val="bottom"/>
            <w:gridSpan w:val="2"/>
          </w:tcPr>
          <w:p>
            <w:pPr>
              <w:jc w:val="center"/>
              <w:ind w:right="1540"/>
              <w:spacing w:after="0"/>
              <w:rPr>
                <w:sz w:val="20"/>
                <w:szCs w:val="20"/>
                <w:color w:val="auto"/>
              </w:rPr>
            </w:pPr>
            <w:r>
              <w:rPr>
                <w:rFonts w:ascii="Times New Roman" w:cs="Times New Roman" w:eastAsia="Times New Roman" w:hAnsi="Times New Roman"/>
                <w:sz w:val="14"/>
                <w:szCs w:val="14"/>
                <w:color w:val="auto"/>
              </w:rPr>
              <w:t>ABUS</w:t>
            </w:r>
          </w:p>
        </w:tc>
        <w:tc>
          <w:tcPr>
            <w:tcW w:w="25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0" w:lineRule="exact"/>
        <w:rPr>
          <w:sz w:val="24"/>
          <w:szCs w:val="24"/>
          <w:color w:val="auto"/>
        </w:rPr>
      </w:pPr>
    </w:p>
    <w:p>
      <w:pPr>
        <w:sectPr>
          <w:pgSz w:w="11900" w:h="16838" w:orient="portrait"/>
          <w:cols w:equalWidth="0" w:num="2">
            <w:col w:w="3360" w:space="720"/>
            <w:col w:w="7200"/>
          </w:cols>
          <w:pgMar w:left="300" w:top="759" w:right="319" w:bottom="1440" w:gutter="0" w:footer="0" w:header="0"/>
          <w:type w:val="continuous"/>
        </w:sectPr>
      </w:pPr>
    </w:p>
    <w:p>
      <w:pPr>
        <w:spacing w:after="0" w:line="5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ind w:right="32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p>
      <w:pPr>
        <w:ind w:left="520"/>
        <w:spacing w:after="0"/>
        <w:tabs>
          <w:tab w:leader="none" w:pos="2920" w:val="left"/>
          <w:tab w:leader="none" w:pos="5040" w:val="left"/>
          <w:tab w:leader="none" w:pos="7120" w:val="left"/>
          <w:tab w:leader="none" w:pos="93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Times New Roman" w:cs="Times New Roman" w:eastAsia="Times New Roman" w:hAnsi="Times New Roman"/>
          <w:sz w:val="14"/>
          <w:szCs w:val="14"/>
          <w:color w:val="auto"/>
        </w:rPr>
        <w:t>Emerging growth company</w:t>
      </w:r>
    </w:p>
    <w:p>
      <w:pPr>
        <w:spacing w:after="0" w:line="105" w:lineRule="exact"/>
        <w:rPr>
          <w:sz w:val="24"/>
          <w:szCs w:val="24"/>
          <w:color w:val="auto"/>
        </w:rPr>
      </w:pPr>
    </w:p>
    <w:p>
      <w:pPr>
        <w:ind w:left="1080"/>
        <w:spacing w:after="0" w:line="141" w:lineRule="exact"/>
        <w:tabs>
          <w:tab w:leader="none" w:pos="3320" w:val="left"/>
          <w:tab w:leader="none" w:pos="5580" w:val="left"/>
          <w:tab w:leader="none" w:pos="7820" w:val="left"/>
          <w:tab w:leader="none" w:pos="100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35"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84" w:lineRule="exact"/>
        <w:rPr>
          <w:sz w:val="24"/>
          <w:szCs w:val="24"/>
          <w:color w:val="auto"/>
        </w:rPr>
      </w:pPr>
    </w:p>
    <w:p>
      <w:pPr>
        <w:spacing w:after="0" w:line="161" w:lineRule="exact"/>
        <w:tabs>
          <w:tab w:leader="none" w:pos="5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12, 2025, the registrant had 191,527,129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339090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76"/>
        </w:trPr>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2"/>
        </w:trPr>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49"/>
        </w:trPr>
        <w:tc>
          <w:tcPr>
            <w:tcW w:w="9820" w:type="dxa"/>
            <w:vAlign w:val="bottom"/>
            <w:tcBorders>
              <w:left w:val="single" w:sz="8" w:color="CCEEFF"/>
            </w:tcBorders>
            <w:gridSpan w:val="1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PART I. FINANCIAL INFORMATION</w:t>
            </w:r>
          </w:p>
        </w:tc>
        <w:tc>
          <w:tcPr>
            <w:tcW w:w="1160" w:type="dxa"/>
            <w:vAlign w:val="bottom"/>
            <w:tcBorders>
              <w:right w:val="single" w:sz="8" w:color="CCEEFF"/>
            </w:tcBorders>
            <w:gridSpan w:val="2"/>
            <w:shd w:val="clear" w:color="auto" w:fill="CCEEFF"/>
          </w:tcPr>
          <w:p>
            <w:pPr>
              <w:jc w:val="center"/>
              <w:ind w:left="949"/>
              <w:spacing w:after="0" w:line="149" w:lineRule="exact"/>
              <w:rPr>
                <w:sz w:val="20"/>
                <w:szCs w:val="20"/>
                <w:color w:val="auto"/>
              </w:rPr>
            </w:pPr>
            <w:r>
              <w:rPr>
                <w:rFonts w:ascii="Times New Roman" w:cs="Times New Roman" w:eastAsia="Times New Roman" w:hAnsi="Times New Roman"/>
                <w:sz w:val="14"/>
                <w:szCs w:val="14"/>
                <w:color w:val="0000FF"/>
                <w:w w:val="85"/>
              </w:rPr>
              <w:t>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32"/>
        </w:trPr>
        <w:tc>
          <w:tcPr>
            <w:tcW w:w="1440" w:type="dxa"/>
            <w:vAlign w:val="bottom"/>
            <w:tcBorders>
              <w:left w:val="single" w:sz="8" w:color="CCEE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40" w:type="dxa"/>
            <w:vAlign w:val="bottom"/>
            <w:tcBorders>
              <w:lef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0000FF"/>
              </w:rPr>
              <w:t>ITEM 1.</w:t>
            </w:r>
          </w:p>
        </w:tc>
        <w:tc>
          <w:tcPr>
            <w:tcW w:w="8380" w:type="dxa"/>
            <w:vAlign w:val="bottom"/>
            <w:gridSpan w:val="13"/>
          </w:tcPr>
          <w:p>
            <w:pPr>
              <w:ind w:left="440"/>
              <w:spacing w:after="0" w:line="149"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1160" w:type="dxa"/>
            <w:vAlign w:val="bottom"/>
            <w:gridSpan w:val="2"/>
          </w:tcPr>
          <w:p>
            <w:pPr>
              <w:jc w:val="center"/>
              <w:ind w:left="949"/>
              <w:spacing w:after="0" w:line="149" w:lineRule="exact"/>
              <w:rPr>
                <w:sz w:val="20"/>
                <w:szCs w:val="20"/>
                <w:color w:val="auto"/>
              </w:rPr>
            </w:pPr>
            <w:r>
              <w:rPr>
                <w:rFonts w:ascii="Times New Roman" w:cs="Times New Roman" w:eastAsia="Times New Roman" w:hAnsi="Times New Roman"/>
                <w:sz w:val="14"/>
                <w:szCs w:val="14"/>
                <w:color w:val="0000FF"/>
                <w:w w:val="85"/>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
        </w:trPr>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4"/>
        </w:trPr>
        <w:tc>
          <w:tcPr>
            <w:tcW w:w="1440" w:type="dxa"/>
            <w:vAlign w:val="bottom"/>
            <w:tcBorders>
              <w:left w:val="single" w:sz="8" w:color="CCEEFF"/>
            </w:tcBorders>
            <w:shd w:val="clear" w:color="auto" w:fill="CCEEFF"/>
          </w:tcPr>
          <w:p>
            <w:pPr>
              <w:ind w:left="400"/>
              <w:spacing w:after="0" w:line="155" w:lineRule="exact"/>
              <w:rPr>
                <w:sz w:val="20"/>
                <w:szCs w:val="20"/>
                <w:color w:val="auto"/>
              </w:rPr>
            </w:pPr>
            <w:r>
              <w:rPr>
                <w:rFonts w:ascii="Times New Roman" w:cs="Times New Roman" w:eastAsia="Times New Roman" w:hAnsi="Times New Roman"/>
                <w:sz w:val="14"/>
                <w:szCs w:val="14"/>
                <w:color w:val="0000FF"/>
              </w:rPr>
              <w:t>ITEM 2.</w:t>
            </w:r>
          </w:p>
        </w:tc>
        <w:tc>
          <w:tcPr>
            <w:tcW w:w="8380" w:type="dxa"/>
            <w:vAlign w:val="bottom"/>
            <w:gridSpan w:val="13"/>
            <w:shd w:val="clear" w:color="auto" w:fill="CCEEFF"/>
          </w:tcPr>
          <w:p>
            <w:pPr>
              <w:ind w:left="440"/>
              <w:spacing w:after="0" w:line="155"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240" w:type="dxa"/>
            <w:vAlign w:val="bottom"/>
            <w:gridSpan w:val="3"/>
            <w:shd w:val="clear" w:color="auto" w:fill="CCEEFF"/>
          </w:tcPr>
          <w:p>
            <w:pPr>
              <w:jc w:val="center"/>
              <w:ind w:left="869"/>
              <w:spacing w:after="0" w:line="155" w:lineRule="exact"/>
              <w:rPr>
                <w:sz w:val="20"/>
                <w:szCs w:val="20"/>
                <w:color w:val="auto"/>
              </w:rPr>
            </w:pPr>
            <w:r>
              <w:rPr>
                <w:rFonts w:ascii="Times New Roman" w:cs="Times New Roman" w:eastAsia="Times New Roman" w:hAnsi="Times New Roman"/>
                <w:sz w:val="14"/>
                <w:szCs w:val="14"/>
                <w:color w:val="0000FF"/>
                <w:w w:val="99"/>
              </w:rPr>
              <w:t>18</w:t>
            </w:r>
          </w:p>
        </w:tc>
        <w:tc>
          <w:tcPr>
            <w:tcW w:w="1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32"/>
        </w:trPr>
        <w:tc>
          <w:tcPr>
            <w:tcW w:w="1440" w:type="dxa"/>
            <w:vAlign w:val="bottom"/>
            <w:tcBorders>
              <w:lef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120" w:type="dxa"/>
            <w:vAlign w:val="bottom"/>
            <w:shd w:val="clear" w:color="auto" w:fill="0000FF"/>
          </w:tcPr>
          <w:p>
            <w:pPr>
              <w:spacing w:after="0"/>
              <w:rPr>
                <w:sz w:val="2"/>
                <w:szCs w:val="2"/>
                <w:color w:val="auto"/>
              </w:rPr>
            </w:pPr>
          </w:p>
        </w:tc>
        <w:tc>
          <w:tcPr>
            <w:tcW w:w="2240" w:type="dxa"/>
            <w:vAlign w:val="bottom"/>
            <w:tcBorders>
              <w:left w:val="single" w:sz="8" w:color="0000FF"/>
            </w:tcBorders>
            <w:shd w:val="clear" w:color="auto" w:fill="0000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0000FF"/>
              </w:rPr>
              <w:t>ITEM 3.</w:t>
            </w:r>
          </w:p>
        </w:tc>
        <w:tc>
          <w:tcPr>
            <w:tcW w:w="8380" w:type="dxa"/>
            <w:vAlign w:val="bottom"/>
            <w:gridSpan w:val="13"/>
          </w:tcPr>
          <w:p>
            <w:pPr>
              <w:ind w:left="440"/>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240" w:type="dxa"/>
            <w:vAlign w:val="bottom"/>
            <w:gridSpan w:val="3"/>
          </w:tcPr>
          <w:p>
            <w:pPr>
              <w:jc w:val="center"/>
              <w:ind w:left="869"/>
              <w:spacing w:after="0" w:line="149" w:lineRule="exact"/>
              <w:rPr>
                <w:sz w:val="20"/>
                <w:szCs w:val="20"/>
                <w:color w:val="auto"/>
              </w:rPr>
            </w:pPr>
            <w:r>
              <w:rPr>
                <w:rFonts w:ascii="Times New Roman" w:cs="Times New Roman" w:eastAsia="Times New Roman" w:hAnsi="Times New Roman"/>
                <w:sz w:val="14"/>
                <w:szCs w:val="14"/>
                <w:color w:val="0000FF"/>
                <w:w w:val="99"/>
              </w:rPr>
              <w:t>34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
        </w:trPr>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120" w:type="dxa"/>
            <w:vAlign w:val="bottom"/>
            <w:shd w:val="clear" w:color="auto" w:fill="0000FF"/>
          </w:tcPr>
          <w:p>
            <w:pPr>
              <w:spacing w:after="0"/>
              <w:rPr>
                <w:sz w:val="2"/>
                <w:szCs w:val="2"/>
                <w:color w:val="auto"/>
              </w:rPr>
            </w:pPr>
          </w:p>
        </w:tc>
        <w:tc>
          <w:tcPr>
            <w:tcW w:w="2240" w:type="dxa"/>
            <w:vAlign w:val="bottom"/>
            <w:tcBorders>
              <w:left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6"/>
        </w:trPr>
        <w:tc>
          <w:tcPr>
            <w:tcW w:w="1440" w:type="dxa"/>
            <w:vAlign w:val="bottom"/>
            <w:tcBorders>
              <w:left w:val="single" w:sz="8" w:color="CCEEFF"/>
            </w:tcBorders>
            <w:shd w:val="clear" w:color="auto" w:fill="CCEEFF"/>
          </w:tcPr>
          <w:p>
            <w:pPr>
              <w:ind w:left="400"/>
              <w:spacing w:after="0" w:line="155" w:lineRule="exact"/>
              <w:rPr>
                <w:sz w:val="20"/>
                <w:szCs w:val="20"/>
                <w:color w:val="auto"/>
              </w:rPr>
            </w:pPr>
            <w:r>
              <w:rPr>
                <w:rFonts w:ascii="Times New Roman" w:cs="Times New Roman" w:eastAsia="Times New Roman" w:hAnsi="Times New Roman"/>
                <w:sz w:val="14"/>
                <w:szCs w:val="14"/>
                <w:color w:val="0000FF"/>
              </w:rPr>
              <w:t>ITEM 4.</w:t>
            </w:r>
          </w:p>
        </w:tc>
        <w:tc>
          <w:tcPr>
            <w:tcW w:w="8380" w:type="dxa"/>
            <w:vAlign w:val="bottom"/>
            <w:gridSpan w:val="13"/>
            <w:shd w:val="clear" w:color="auto" w:fill="CCEEFF"/>
          </w:tcPr>
          <w:p>
            <w:pPr>
              <w:ind w:left="440"/>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1240" w:type="dxa"/>
            <w:vAlign w:val="bottom"/>
            <w:gridSpan w:val="3"/>
            <w:shd w:val="clear" w:color="auto" w:fill="CCEEFF"/>
          </w:tcPr>
          <w:p>
            <w:pPr>
              <w:jc w:val="center"/>
              <w:ind w:left="869"/>
              <w:spacing w:after="0" w:line="155" w:lineRule="exact"/>
              <w:rPr>
                <w:sz w:val="20"/>
                <w:szCs w:val="20"/>
                <w:color w:val="auto"/>
              </w:rPr>
            </w:pPr>
            <w:r>
              <w:rPr>
                <w:rFonts w:ascii="Times New Roman" w:cs="Times New Roman" w:eastAsia="Times New Roman" w:hAnsi="Times New Roman"/>
                <w:sz w:val="14"/>
                <w:szCs w:val="14"/>
                <w:color w:val="0000FF"/>
                <w:w w:val="99"/>
              </w:rPr>
              <w:t>34</w:t>
            </w:r>
          </w:p>
        </w:tc>
        <w:tc>
          <w:tcPr>
            <w:tcW w:w="1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1880" w:type="dxa"/>
            <w:vAlign w:val="bottom"/>
            <w:tcBorders>
              <w:top w:val="single" w:sz="8" w:color="CCEEFF"/>
            </w:tcBorders>
            <w:gridSpan w:val="2"/>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120" w:type="dxa"/>
            <w:vAlign w:val="bottom"/>
            <w:tcBorders>
              <w:top w:val="single" w:sz="8" w:color="CCEEFF"/>
            </w:tcBorders>
          </w:tcPr>
          <w:p>
            <w:pPr>
              <w:spacing w:after="0"/>
              <w:rPr>
                <w:sz w:val="15"/>
                <w:szCs w:val="15"/>
                <w:color w:val="auto"/>
              </w:rPr>
            </w:pPr>
          </w:p>
        </w:tc>
        <w:tc>
          <w:tcPr>
            <w:tcW w:w="22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49"/>
        </w:trPr>
        <w:tc>
          <w:tcPr>
            <w:tcW w:w="2040" w:type="dxa"/>
            <w:vAlign w:val="bottom"/>
            <w:tcBorders>
              <w:left w:val="single" w:sz="8" w:color="CCEEFF"/>
            </w:tcBorders>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w w:val="98"/>
              </w:rPr>
              <w:t>PART II. OTHER INFORMATION</w:t>
            </w:r>
          </w:p>
        </w:tc>
        <w:tc>
          <w:tcPr>
            <w:tcW w:w="7780" w:type="dxa"/>
            <w:vAlign w:val="bottom"/>
            <w:gridSpan w:val="11"/>
            <w:shd w:val="clear" w:color="auto" w:fill="CCEEFF"/>
          </w:tcPr>
          <w:p>
            <w:pPr>
              <w:spacing w:after="0"/>
              <w:rPr>
                <w:sz w:val="12"/>
                <w:szCs w:val="12"/>
                <w:color w:val="auto"/>
              </w:rPr>
            </w:pPr>
          </w:p>
        </w:tc>
        <w:tc>
          <w:tcPr>
            <w:tcW w:w="1240" w:type="dxa"/>
            <w:vAlign w:val="bottom"/>
            <w:gridSpan w:val="3"/>
            <w:shd w:val="clear" w:color="auto" w:fill="CCEEFF"/>
          </w:tcPr>
          <w:p>
            <w:pPr>
              <w:jc w:val="center"/>
              <w:ind w:left="869"/>
              <w:spacing w:after="0" w:line="149" w:lineRule="exact"/>
              <w:rPr>
                <w:sz w:val="20"/>
                <w:szCs w:val="20"/>
                <w:color w:val="auto"/>
              </w:rPr>
            </w:pPr>
            <w:r>
              <w:rPr>
                <w:rFonts w:ascii="Times New Roman" w:cs="Times New Roman" w:eastAsia="Times New Roman" w:hAnsi="Times New Roman"/>
                <w:sz w:val="14"/>
                <w:szCs w:val="14"/>
                <w:color w:val="0000FF"/>
                <w:w w:val="99"/>
              </w:rPr>
              <w:t>35</w:t>
            </w:r>
          </w:p>
        </w:tc>
        <w:tc>
          <w:tcPr>
            <w:tcW w:w="1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32"/>
        </w:trPr>
        <w:tc>
          <w:tcPr>
            <w:tcW w:w="1440" w:type="dxa"/>
            <w:vAlign w:val="bottom"/>
            <w:tcBorders>
              <w:left w:val="single" w:sz="8" w:color="CCEE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40" w:type="dxa"/>
            <w:vAlign w:val="bottom"/>
            <w:tcBorders>
              <w:lef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0000FF"/>
              </w:rPr>
              <w:t>ITEM 1.</w:t>
            </w:r>
          </w:p>
        </w:tc>
        <w:tc>
          <w:tcPr>
            <w:tcW w:w="8380" w:type="dxa"/>
            <w:vAlign w:val="bottom"/>
            <w:gridSpan w:val="13"/>
          </w:tcPr>
          <w:p>
            <w:pPr>
              <w:ind w:left="440"/>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1240" w:type="dxa"/>
            <w:vAlign w:val="bottom"/>
            <w:gridSpan w:val="3"/>
          </w:tcPr>
          <w:p>
            <w:pPr>
              <w:jc w:val="center"/>
              <w:ind w:left="869"/>
              <w:spacing w:after="0" w:line="149" w:lineRule="exact"/>
              <w:rPr>
                <w:sz w:val="20"/>
                <w:szCs w:val="20"/>
                <w:color w:val="auto"/>
              </w:rPr>
            </w:pPr>
            <w:r>
              <w:rPr>
                <w:rFonts w:ascii="Times New Roman" w:cs="Times New Roman" w:eastAsia="Times New Roman" w:hAnsi="Times New Roman"/>
                <w:sz w:val="14"/>
                <w:szCs w:val="14"/>
                <w:color w:val="0000FF"/>
                <w:w w:val="99"/>
              </w:rPr>
              <w:t>35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
        </w:trPr>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4"/>
        </w:trPr>
        <w:tc>
          <w:tcPr>
            <w:tcW w:w="1440" w:type="dxa"/>
            <w:vAlign w:val="bottom"/>
            <w:tcBorders>
              <w:left w:val="single" w:sz="8" w:color="CCEEFF"/>
            </w:tcBorders>
            <w:shd w:val="clear" w:color="auto" w:fill="CCEEFF"/>
          </w:tcPr>
          <w:p>
            <w:pPr>
              <w:ind w:left="400"/>
              <w:spacing w:after="0" w:line="155" w:lineRule="exact"/>
              <w:rPr>
                <w:sz w:val="20"/>
                <w:szCs w:val="20"/>
                <w:color w:val="auto"/>
              </w:rPr>
            </w:pPr>
            <w:r>
              <w:rPr>
                <w:rFonts w:ascii="Times New Roman" w:cs="Times New Roman" w:eastAsia="Times New Roman" w:hAnsi="Times New Roman"/>
                <w:sz w:val="14"/>
                <w:szCs w:val="14"/>
                <w:color w:val="0000FF"/>
              </w:rPr>
              <w:t>ITEM 1A.</w:t>
            </w:r>
          </w:p>
        </w:tc>
        <w:tc>
          <w:tcPr>
            <w:tcW w:w="8380" w:type="dxa"/>
            <w:vAlign w:val="bottom"/>
            <w:gridSpan w:val="13"/>
            <w:shd w:val="clear" w:color="auto" w:fill="CCEEFF"/>
          </w:tcPr>
          <w:p>
            <w:pPr>
              <w:ind w:left="440"/>
              <w:spacing w:after="0" w:line="155" w:lineRule="exact"/>
              <w:rPr>
                <w:sz w:val="20"/>
                <w:szCs w:val="20"/>
                <w:color w:val="auto"/>
              </w:rPr>
            </w:pPr>
            <w:r>
              <w:rPr>
                <w:rFonts w:ascii="Times New Roman" w:cs="Times New Roman" w:eastAsia="Times New Roman" w:hAnsi="Times New Roman"/>
                <w:sz w:val="14"/>
                <w:szCs w:val="14"/>
                <w:color w:val="0000FF"/>
              </w:rPr>
              <w:t>RISK FACTORS</w:t>
            </w:r>
          </w:p>
        </w:tc>
        <w:tc>
          <w:tcPr>
            <w:tcW w:w="1240" w:type="dxa"/>
            <w:vAlign w:val="bottom"/>
            <w:gridSpan w:val="3"/>
            <w:shd w:val="clear" w:color="auto" w:fill="CCEEFF"/>
          </w:tcPr>
          <w:p>
            <w:pPr>
              <w:jc w:val="center"/>
              <w:ind w:left="869"/>
              <w:spacing w:after="0" w:line="155" w:lineRule="exact"/>
              <w:rPr>
                <w:sz w:val="20"/>
                <w:szCs w:val="20"/>
                <w:color w:val="auto"/>
              </w:rPr>
            </w:pPr>
            <w:r>
              <w:rPr>
                <w:rFonts w:ascii="Times New Roman" w:cs="Times New Roman" w:eastAsia="Times New Roman" w:hAnsi="Times New Roman"/>
                <w:sz w:val="14"/>
                <w:szCs w:val="14"/>
                <w:color w:val="0000FF"/>
                <w:w w:val="99"/>
              </w:rPr>
              <w:t>37</w:t>
            </w:r>
          </w:p>
        </w:tc>
        <w:tc>
          <w:tcPr>
            <w:tcW w:w="1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32"/>
        </w:trPr>
        <w:tc>
          <w:tcPr>
            <w:tcW w:w="1440" w:type="dxa"/>
            <w:vAlign w:val="bottom"/>
            <w:tcBorders>
              <w:lef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40" w:type="dxa"/>
            <w:vAlign w:val="bottom"/>
            <w:tcBorders>
              <w:lef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8380" w:type="dxa"/>
            <w:vAlign w:val="bottom"/>
            <w:gridSpan w:val="13"/>
          </w:tcPr>
          <w:p>
            <w:pPr>
              <w:ind w:left="440"/>
              <w:spacing w:after="0" w:line="14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240" w:type="dxa"/>
            <w:vAlign w:val="bottom"/>
            <w:gridSpan w:val="3"/>
          </w:tcPr>
          <w:p>
            <w:pPr>
              <w:jc w:val="center"/>
              <w:ind w:left="869"/>
              <w:spacing w:after="0" w:line="149" w:lineRule="exact"/>
              <w:rPr>
                <w:sz w:val="20"/>
                <w:szCs w:val="20"/>
                <w:color w:val="auto"/>
              </w:rPr>
            </w:pPr>
            <w:r>
              <w:rPr>
                <w:rFonts w:ascii="Times New Roman" w:cs="Times New Roman" w:eastAsia="Times New Roman" w:hAnsi="Times New Roman"/>
                <w:sz w:val="14"/>
                <w:szCs w:val="14"/>
                <w:color w:val="0000FF"/>
                <w:w w:val="99"/>
              </w:rPr>
              <w:t>37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
        </w:trPr>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120" w:type="dxa"/>
            <w:vAlign w:val="bottom"/>
            <w:shd w:val="clear" w:color="auto" w:fill="0000FF"/>
          </w:tcPr>
          <w:p>
            <w:pPr>
              <w:spacing w:after="0"/>
              <w:rPr>
                <w:sz w:val="2"/>
                <w:szCs w:val="2"/>
                <w:color w:val="auto"/>
              </w:rPr>
            </w:pPr>
          </w:p>
        </w:tc>
        <w:tc>
          <w:tcPr>
            <w:tcW w:w="2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4"/>
        </w:trPr>
        <w:tc>
          <w:tcPr>
            <w:tcW w:w="1440" w:type="dxa"/>
            <w:vAlign w:val="bottom"/>
            <w:tcBorders>
              <w:left w:val="single" w:sz="8" w:color="CCEEFF"/>
            </w:tcBorders>
            <w:shd w:val="clear" w:color="auto" w:fill="CCEEFF"/>
          </w:tcPr>
          <w:p>
            <w:pPr>
              <w:ind w:left="400"/>
              <w:spacing w:after="0" w:line="155" w:lineRule="exact"/>
              <w:rPr>
                <w:sz w:val="20"/>
                <w:szCs w:val="20"/>
                <w:color w:val="auto"/>
              </w:rPr>
            </w:pPr>
            <w:r>
              <w:rPr>
                <w:rFonts w:ascii="Times New Roman" w:cs="Times New Roman" w:eastAsia="Times New Roman" w:hAnsi="Times New Roman"/>
                <w:sz w:val="14"/>
                <w:szCs w:val="14"/>
                <w:color w:val="0000FF"/>
              </w:rPr>
              <w:t>ITEM 3.</w:t>
            </w:r>
          </w:p>
        </w:tc>
        <w:tc>
          <w:tcPr>
            <w:tcW w:w="8380" w:type="dxa"/>
            <w:vAlign w:val="bottom"/>
            <w:gridSpan w:val="13"/>
            <w:shd w:val="clear" w:color="auto" w:fill="CCEEFF"/>
          </w:tcPr>
          <w:p>
            <w:pPr>
              <w:ind w:left="440"/>
              <w:spacing w:after="0" w:line="155"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1240" w:type="dxa"/>
            <w:vAlign w:val="bottom"/>
            <w:gridSpan w:val="3"/>
            <w:shd w:val="clear" w:color="auto" w:fill="CCEEFF"/>
          </w:tcPr>
          <w:p>
            <w:pPr>
              <w:jc w:val="center"/>
              <w:ind w:left="869"/>
              <w:spacing w:after="0" w:line="155" w:lineRule="exact"/>
              <w:rPr>
                <w:sz w:val="20"/>
                <w:szCs w:val="20"/>
                <w:color w:val="auto"/>
              </w:rPr>
            </w:pPr>
            <w:r>
              <w:rPr>
                <w:rFonts w:ascii="Times New Roman" w:cs="Times New Roman" w:eastAsia="Times New Roman" w:hAnsi="Times New Roman"/>
                <w:sz w:val="14"/>
                <w:szCs w:val="14"/>
                <w:color w:val="0000FF"/>
                <w:w w:val="99"/>
              </w:rPr>
              <w:t>37</w:t>
            </w:r>
          </w:p>
        </w:tc>
        <w:tc>
          <w:tcPr>
            <w:tcW w:w="1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32"/>
        </w:trPr>
        <w:tc>
          <w:tcPr>
            <w:tcW w:w="1440" w:type="dxa"/>
            <w:vAlign w:val="bottom"/>
            <w:tcBorders>
              <w:lef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40" w:type="dxa"/>
            <w:vAlign w:val="bottom"/>
            <w:tcBorders>
              <w:lef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0000FF"/>
              </w:rPr>
              <w:t>ITEM 4.</w:t>
            </w:r>
          </w:p>
        </w:tc>
        <w:tc>
          <w:tcPr>
            <w:tcW w:w="8380" w:type="dxa"/>
            <w:vAlign w:val="bottom"/>
            <w:gridSpan w:val="13"/>
          </w:tcPr>
          <w:p>
            <w:pPr>
              <w:ind w:left="440"/>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1240" w:type="dxa"/>
            <w:vAlign w:val="bottom"/>
            <w:gridSpan w:val="3"/>
          </w:tcPr>
          <w:p>
            <w:pPr>
              <w:jc w:val="center"/>
              <w:ind w:left="869"/>
              <w:spacing w:after="0" w:line="149" w:lineRule="exact"/>
              <w:rPr>
                <w:sz w:val="20"/>
                <w:szCs w:val="20"/>
                <w:color w:val="auto"/>
              </w:rPr>
            </w:pPr>
            <w:r>
              <w:rPr>
                <w:rFonts w:ascii="Times New Roman" w:cs="Times New Roman" w:eastAsia="Times New Roman" w:hAnsi="Times New Roman"/>
                <w:sz w:val="14"/>
                <w:szCs w:val="14"/>
                <w:color w:val="0000FF"/>
                <w:w w:val="99"/>
              </w:rPr>
              <w:t>37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
        </w:trPr>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4"/>
        </w:trPr>
        <w:tc>
          <w:tcPr>
            <w:tcW w:w="1440" w:type="dxa"/>
            <w:vAlign w:val="bottom"/>
            <w:tcBorders>
              <w:left w:val="single" w:sz="8" w:color="CCEEFF"/>
            </w:tcBorders>
            <w:shd w:val="clear" w:color="auto" w:fill="CCEEFF"/>
          </w:tcPr>
          <w:p>
            <w:pPr>
              <w:ind w:left="400"/>
              <w:spacing w:after="0" w:line="155" w:lineRule="exact"/>
              <w:rPr>
                <w:sz w:val="20"/>
                <w:szCs w:val="20"/>
                <w:color w:val="auto"/>
              </w:rPr>
            </w:pPr>
            <w:r>
              <w:rPr>
                <w:rFonts w:ascii="Times New Roman" w:cs="Times New Roman" w:eastAsia="Times New Roman" w:hAnsi="Times New Roman"/>
                <w:sz w:val="14"/>
                <w:szCs w:val="14"/>
                <w:color w:val="0000FF"/>
              </w:rPr>
              <w:t>ITEM 5.</w:t>
            </w:r>
          </w:p>
        </w:tc>
        <w:tc>
          <w:tcPr>
            <w:tcW w:w="8380" w:type="dxa"/>
            <w:vAlign w:val="bottom"/>
            <w:gridSpan w:val="13"/>
            <w:shd w:val="clear" w:color="auto" w:fill="CCEEFF"/>
          </w:tcPr>
          <w:p>
            <w:pPr>
              <w:ind w:left="440"/>
              <w:spacing w:after="0" w:line="155" w:lineRule="exact"/>
              <w:rPr>
                <w:sz w:val="20"/>
                <w:szCs w:val="20"/>
                <w:color w:val="auto"/>
              </w:rPr>
            </w:pPr>
            <w:r>
              <w:rPr>
                <w:rFonts w:ascii="Times New Roman" w:cs="Times New Roman" w:eastAsia="Times New Roman" w:hAnsi="Times New Roman"/>
                <w:sz w:val="14"/>
                <w:szCs w:val="14"/>
                <w:color w:val="0000FF"/>
              </w:rPr>
              <w:t>OTHER INFORMATION</w:t>
            </w:r>
          </w:p>
        </w:tc>
        <w:tc>
          <w:tcPr>
            <w:tcW w:w="1240" w:type="dxa"/>
            <w:vAlign w:val="bottom"/>
            <w:gridSpan w:val="3"/>
            <w:shd w:val="clear" w:color="auto" w:fill="CCEEFF"/>
          </w:tcPr>
          <w:p>
            <w:pPr>
              <w:jc w:val="center"/>
              <w:ind w:left="869"/>
              <w:spacing w:after="0" w:line="155" w:lineRule="exact"/>
              <w:rPr>
                <w:sz w:val="20"/>
                <w:szCs w:val="20"/>
                <w:color w:val="auto"/>
              </w:rPr>
            </w:pPr>
            <w:r>
              <w:rPr>
                <w:rFonts w:ascii="Times New Roman" w:cs="Times New Roman" w:eastAsia="Times New Roman" w:hAnsi="Times New Roman"/>
                <w:sz w:val="14"/>
                <w:szCs w:val="14"/>
                <w:color w:val="0000FF"/>
                <w:w w:val="99"/>
              </w:rPr>
              <w:t>37</w:t>
            </w:r>
          </w:p>
        </w:tc>
        <w:tc>
          <w:tcPr>
            <w:tcW w:w="1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32"/>
        </w:trPr>
        <w:tc>
          <w:tcPr>
            <w:tcW w:w="1440" w:type="dxa"/>
            <w:vAlign w:val="bottom"/>
            <w:tcBorders>
              <w:lef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40" w:type="dxa"/>
            <w:vAlign w:val="bottom"/>
            <w:tcBorders>
              <w:lef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0000FF"/>
              </w:rPr>
              <w:t>ITEM 6.</w:t>
            </w:r>
          </w:p>
        </w:tc>
        <w:tc>
          <w:tcPr>
            <w:tcW w:w="8380" w:type="dxa"/>
            <w:vAlign w:val="bottom"/>
            <w:gridSpan w:val="13"/>
          </w:tcPr>
          <w:p>
            <w:pPr>
              <w:ind w:left="440"/>
              <w:spacing w:after="0" w:line="149" w:lineRule="exact"/>
              <w:rPr>
                <w:sz w:val="20"/>
                <w:szCs w:val="20"/>
                <w:color w:val="auto"/>
              </w:rPr>
            </w:pPr>
            <w:r>
              <w:rPr>
                <w:rFonts w:ascii="Times New Roman" w:cs="Times New Roman" w:eastAsia="Times New Roman" w:hAnsi="Times New Roman"/>
                <w:sz w:val="14"/>
                <w:szCs w:val="14"/>
                <w:color w:val="0000FF"/>
              </w:rPr>
              <w:t>EXHIBITS</w:t>
            </w:r>
          </w:p>
        </w:tc>
        <w:tc>
          <w:tcPr>
            <w:tcW w:w="1240" w:type="dxa"/>
            <w:vAlign w:val="bottom"/>
            <w:gridSpan w:val="3"/>
          </w:tcPr>
          <w:p>
            <w:pPr>
              <w:jc w:val="center"/>
              <w:ind w:left="869"/>
              <w:spacing w:after="0" w:line="149" w:lineRule="exact"/>
              <w:rPr>
                <w:sz w:val="20"/>
                <w:szCs w:val="20"/>
                <w:color w:val="auto"/>
              </w:rPr>
            </w:pPr>
            <w:r>
              <w:rPr>
                <w:rFonts w:ascii="Times New Roman" w:cs="Times New Roman" w:eastAsia="Times New Roman" w:hAnsi="Times New Roman"/>
                <w:sz w:val="14"/>
                <w:szCs w:val="14"/>
                <w:color w:val="0000FF"/>
                <w:w w:val="99"/>
              </w:rPr>
              <w:t>38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809"/>
        </w:trPr>
        <w:tc>
          <w:tcPr>
            <w:tcW w:w="1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(UNAUDITED)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ARBUTUS BIOPHARMA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jc w:val="center"/>
        <w:spacing w:after="0"/>
        <w:rPr>
          <w:sz w:val="20"/>
          <w:szCs w:val="20"/>
          <w:color w:val="auto"/>
        </w:rPr>
      </w:pPr>
      <w:r>
        <w:rPr>
          <w:rFonts w:ascii="Times New Roman" w:cs="Times New Roman" w:eastAsia="Times New Roman" w:hAnsi="Times New Roman"/>
          <w:sz w:val="13"/>
          <w:szCs w:val="13"/>
          <w:color w:val="auto"/>
        </w:rPr>
        <w:t>(In thousands of U.S. Dollars, except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5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540" w:type="dxa"/>
            <w:vAlign w:val="bottom"/>
            <w:shd w:val="clear" w:color="auto" w:fill="CCEEFF"/>
          </w:tcPr>
          <w:p>
            <w:pPr>
              <w:jc w:val="right"/>
              <w:ind w:right="137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0" w:type="dxa"/>
            <w:vAlign w:val="bottom"/>
          </w:tcPr>
          <w:p>
            <w:pPr>
              <w:spacing w:after="0"/>
              <w:rPr>
                <w:sz w:val="1"/>
                <w:szCs w:val="1"/>
                <w:color w:val="auto"/>
              </w:rPr>
            </w:pPr>
          </w:p>
        </w:tc>
      </w:tr>
      <w:tr>
        <w:trPr>
          <w:trHeight w:val="180"/>
        </w:trPr>
        <w:tc>
          <w:tcPr>
            <w:tcW w:w="6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1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86,293</w:t>
            </w: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w:t>
            </w:r>
          </w:p>
        </w:tc>
        <w:tc>
          <w:tcPr>
            <w:tcW w:w="15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0" w:type="dxa"/>
            <w:vAlign w:val="bottom"/>
          </w:tcPr>
          <w:p>
            <w:pPr>
              <w:spacing w:after="0"/>
              <w:rPr>
                <w:sz w:val="1"/>
                <w:szCs w:val="1"/>
                <w:color w:val="auto"/>
              </w:rPr>
            </w:pPr>
          </w:p>
        </w:tc>
      </w:tr>
      <w:tr>
        <w:trPr>
          <w:trHeight w:val="180"/>
        </w:trPr>
        <w:tc>
          <w:tcPr>
            <w:tcW w:w="6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15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127,316</w:t>
            </w:r>
          </w:p>
        </w:tc>
        <w:tc>
          <w:tcPr>
            <w:tcW w:w="0" w:type="dxa"/>
            <w:vAlign w:val="bottom"/>
          </w:tcPr>
          <w:p>
            <w:pPr>
              <w:spacing w:after="0"/>
              <w:rPr>
                <w:sz w:val="1"/>
                <w:szCs w:val="1"/>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and impairment of $13,326 (December 31, 2024: $12,996)</w:t>
            </w:r>
          </w:p>
        </w:tc>
        <w:tc>
          <w:tcPr>
            <w:tcW w:w="1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w:t>
            </w:r>
          </w:p>
        </w:tc>
        <w:tc>
          <w:tcPr>
            <w:tcW w:w="15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8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540" w:type="dxa"/>
            <w:vAlign w:val="bottom"/>
            <w:tcBorders>
              <w:bottom w:val="single" w:sz="8" w:color="auto"/>
            </w:tcBorders>
            <w:shd w:val="clear" w:color="auto" w:fill="CCEEFF"/>
          </w:tcPr>
          <w:p>
            <w:pPr>
              <w:jc w:val="right"/>
              <w:ind w:right="137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117,010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131,707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66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540" w:type="dxa"/>
            <w:vAlign w:val="bottom"/>
          </w:tcPr>
          <w:p>
            <w:pPr>
              <w:jc w:val="right"/>
              <w:ind w:right="137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12,109</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license revenue, current</w:t>
            </w:r>
          </w:p>
        </w:tc>
        <w:tc>
          <w:tcPr>
            <w:tcW w:w="15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7,571</w:t>
            </w:r>
          </w:p>
        </w:tc>
        <w:tc>
          <w:tcPr>
            <w:tcW w:w="0" w:type="dxa"/>
            <w:vAlign w:val="bottom"/>
          </w:tcPr>
          <w:p>
            <w:pPr>
              <w:spacing w:after="0"/>
              <w:rPr>
                <w:sz w:val="1"/>
                <w:szCs w:val="1"/>
                <w:color w:val="auto"/>
              </w:rPr>
            </w:pPr>
          </w:p>
        </w:tc>
      </w:tr>
      <w:tr>
        <w:trPr>
          <w:trHeight w:val="180"/>
        </w:trPr>
        <w:tc>
          <w:tcPr>
            <w:tcW w:w="6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Lease liability, current</w:t>
            </w:r>
          </w:p>
        </w:tc>
        <w:tc>
          <w:tcPr>
            <w:tcW w:w="1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5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15,618</w:t>
            </w:r>
          </w:p>
        </w:tc>
        <w:tc>
          <w:tcPr>
            <w:tcW w:w="0" w:type="dxa"/>
            <w:vAlign w:val="bottom"/>
          </w:tcPr>
          <w:p>
            <w:pPr>
              <w:spacing w:after="0"/>
              <w:rPr>
                <w:sz w:val="1"/>
                <w:szCs w:val="1"/>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related to sale of future royalties</w:t>
            </w:r>
          </w:p>
        </w:tc>
        <w:tc>
          <w:tcPr>
            <w:tcW w:w="1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license revenue, non-current</w:t>
            </w:r>
          </w:p>
        </w:tc>
        <w:tc>
          <w:tcPr>
            <w:tcW w:w="15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0" w:type="dxa"/>
            <w:vAlign w:val="bottom"/>
          </w:tcPr>
          <w:p>
            <w:pPr>
              <w:spacing w:after="0"/>
              <w:rPr>
                <w:sz w:val="1"/>
                <w:szCs w:val="1"/>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non-current</w:t>
            </w:r>
          </w:p>
        </w:tc>
        <w:tc>
          <w:tcPr>
            <w:tcW w:w="15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171"/>
        </w:trPr>
        <w:tc>
          <w:tcPr>
            <w:tcW w:w="6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5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37,853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34,341</w:t>
            </w: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Authorized: unlimited number without par value</w:t>
            </w:r>
          </w:p>
        </w:tc>
        <w:tc>
          <w:tcPr>
            <w:tcW w:w="1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Issued and outstanding: 191,481,474</w:t>
            </w:r>
          </w:p>
        </w:tc>
        <w:tc>
          <w:tcPr>
            <w:tcW w:w="1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(December 31, 2024: 189,963,492)</w:t>
            </w:r>
          </w:p>
        </w:tc>
        <w:tc>
          <w:tcPr>
            <w:tcW w:w="1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1,416,332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1,410,025</w:t>
            </w:r>
          </w:p>
        </w:tc>
        <w:tc>
          <w:tcPr>
            <w:tcW w:w="0" w:type="dxa"/>
            <w:vAlign w:val="bottom"/>
          </w:tcPr>
          <w:p>
            <w:pPr>
              <w:spacing w:after="0"/>
              <w:rPr>
                <w:sz w:val="1"/>
                <w:szCs w:val="1"/>
                <w:color w:val="auto"/>
              </w:rPr>
            </w:pPr>
          </w:p>
        </w:tc>
      </w:tr>
      <w:tr>
        <w:trPr>
          <w:trHeight w:val="18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5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82,089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82,048</w:t>
            </w:r>
          </w:p>
        </w:tc>
        <w:tc>
          <w:tcPr>
            <w:tcW w:w="0" w:type="dxa"/>
            <w:vAlign w:val="bottom"/>
          </w:tcPr>
          <w:p>
            <w:pPr>
              <w:spacing w:after="0"/>
              <w:rPr>
                <w:sz w:val="1"/>
                <w:szCs w:val="1"/>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Deficit</w:t>
            </w:r>
          </w:p>
        </w:tc>
        <w:tc>
          <w:tcPr>
            <w:tcW w:w="1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(1,371,098)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(1,346,572)</w:t>
            </w: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5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(48,135)</w:t>
            </w:r>
          </w:p>
        </w:tc>
        <w:tc>
          <w:tcPr>
            <w:tcW w:w="0" w:type="dxa"/>
            <w:vAlign w:val="bottom"/>
          </w:tcPr>
          <w:p>
            <w:pPr>
              <w:spacing w:after="0"/>
              <w:rPr>
                <w:sz w:val="1"/>
                <w:szCs w:val="1"/>
                <w:color w:val="auto"/>
              </w:rPr>
            </w:pPr>
          </w:p>
        </w:tc>
      </w:tr>
      <w:tr>
        <w:trPr>
          <w:trHeight w:val="171"/>
        </w:trPr>
        <w:tc>
          <w:tcPr>
            <w:tcW w:w="6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79,157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97,366</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540" w:type="dxa"/>
            <w:vAlign w:val="bottom"/>
            <w:tcBorders>
              <w:bottom w:val="single" w:sz="8" w:color="auto"/>
            </w:tcBorders>
            <w:shd w:val="clear" w:color="auto" w:fill="CCEEFF"/>
          </w:tcPr>
          <w:p>
            <w:pPr>
              <w:jc w:val="right"/>
              <w:ind w:right="137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117,010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131,707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Collaborations and licenses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Non-cash royalty revenue</w:t>
      </w:r>
    </w:p>
    <w:p>
      <w:pPr>
        <w:spacing w:after="0" w:line="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Total Revenue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Change in fair value of contingent consideration Restructuring</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Loss from operations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exchange gain/(loss)</w:t>
      </w:r>
    </w:p>
    <w:p>
      <w:pPr>
        <w:spacing w:after="0" w:line="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Total other income</w:t>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Net loss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per share</w:t>
      </w:r>
    </w:p>
    <w:p>
      <w:pPr>
        <w:spacing w:after="0" w:line="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Basic and diluted</w:t>
      </w:r>
    </w:p>
    <w:p>
      <w:pPr>
        <w:spacing w:after="0" w:line="23" w:lineRule="exact"/>
        <w:rPr>
          <w:sz w:val="20"/>
          <w:szCs w:val="20"/>
          <w:color w:val="auto"/>
        </w:rPr>
      </w:pPr>
    </w:p>
    <w:p>
      <w:pPr>
        <w:ind w:left="160" w:right="180" w:hanging="158"/>
        <w:spacing w:after="0" w:line="297" w:lineRule="auto"/>
        <w:rPr>
          <w:sz w:val="20"/>
          <w:szCs w:val="20"/>
          <w:color w:val="auto"/>
        </w:rPr>
      </w:pPr>
      <w:r>
        <w:rPr>
          <w:rFonts w:ascii="Times New Roman" w:cs="Times New Roman" w:eastAsia="Times New Roman" w:hAnsi="Times New Roman"/>
          <w:sz w:val="14"/>
          <w:szCs w:val="14"/>
          <w:color w:val="auto"/>
        </w:rPr>
        <w:t>Weighted average number of common shares Basic and diluted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p>
      <w:pPr>
        <w:spacing w:after="0" w:line="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Times New Roman" w:cs="Times New Roman" w:eastAsia="Times New Roman" w:hAnsi="Times New Roman"/>
          <w:sz w:val="13"/>
          <w:szCs w:val="13"/>
          <w:b w:val="1"/>
          <w:bCs w:val="1"/>
          <w:color w:val="auto"/>
        </w:rPr>
        <w:t>ARBUTUS BIOPHARMA CORPORATION</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and Comprehensive Loss</w:t>
      </w:r>
    </w:p>
    <w:p>
      <w:pPr>
        <w:spacing w:after="0" w:line="1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(Unaudited)</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thousands of U.S. Dollars, except share and per share amounts)</w:t>
      </w:r>
    </w:p>
    <w:p>
      <w:pPr>
        <w:spacing w:after="0" w:line="21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2" w:lineRule="exact"/>
        <w:rPr>
          <w:sz w:val="20"/>
          <w:szCs w:val="20"/>
          <w:color w:val="auto"/>
        </w:rPr>
      </w:pPr>
    </w:p>
    <w:tbl>
      <w:tblPr>
        <w:tblLayout w:type="fixed"/>
        <w:tblInd w:w="4300" w:type="dxa"/>
        <w:tblCellMar>
          <w:top w:w="0" w:type="dxa"/>
          <w:left w:w="0" w:type="dxa"/>
          <w:bottom w:w="0" w:type="dxa"/>
          <w:right w:w="0" w:type="dxa"/>
        </w:tblCellMar>
      </w:tblPr>
      <w:tr>
        <w:trPr>
          <w:trHeight w:val="164"/>
        </w:trPr>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42"/>
        </w:trPr>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140" w:type="dxa"/>
            <w:vAlign w:val="bottom"/>
          </w:tcPr>
          <w:p>
            <w:pPr>
              <w:spacing w:after="0"/>
              <w:rPr>
                <w:sz w:val="24"/>
                <w:szCs w:val="2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r>
      <w:tr>
        <w:trPr>
          <w:trHeight w:val="184"/>
        </w:trPr>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r>
      <w:tr>
        <w:trPr>
          <w:trHeight w:val="175"/>
        </w:trPr>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r>
      <w:tr>
        <w:trPr>
          <w:trHeight w:val="353"/>
        </w:trPr>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15,403</w:t>
            </w:r>
          </w:p>
        </w:tc>
      </w:tr>
      <w:tr>
        <w:trPr>
          <w:trHeight w:val="180"/>
        </w:trPr>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w:t>
            </w:r>
          </w:p>
        </w:tc>
      </w:tr>
      <w:tr>
        <w:trPr>
          <w:trHeight w:val="180"/>
        </w:trPr>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184"/>
        </w:trPr>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12,373</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20,895</w:t>
            </w:r>
          </w:p>
        </w:tc>
      </w:tr>
      <w:tr>
        <w:trPr>
          <w:trHeight w:val="184"/>
        </w:trPr>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(19,363)</w:t>
            </w:r>
          </w:p>
        </w:tc>
      </w:tr>
      <w:tr>
        <w:trPr>
          <w:trHeight w:val="357"/>
        </w:trPr>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r>
      <w:tr>
        <w:trPr>
          <w:trHeight w:val="180"/>
        </w:trPr>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4"/>
        </w:trPr>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71"/>
        </w:trPr>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(24,526)</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(17,875)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43"/>
        </w:trPr>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40" w:type="dxa"/>
            <w:vAlign w:val="bottom"/>
          </w:tcPr>
          <w:p>
            <w:pPr>
              <w:spacing w:after="0"/>
              <w:rPr>
                <w:sz w:val="24"/>
                <w:szCs w:val="2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r>
      <w:tr>
        <w:trPr>
          <w:trHeight w:val="361"/>
        </w:trPr>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190,707,085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175,625,552</w:t>
            </w:r>
          </w:p>
        </w:tc>
      </w:tr>
      <w:tr>
        <w:trPr>
          <w:trHeight w:val="573"/>
        </w:trPr>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24"/>
                <w:szCs w:val="2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1"/>
        </w:trPr>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(24,557)</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-2970530</wp:posOffset>
            </wp:positionV>
            <wp:extent cx="6885305"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5305" cy="1143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-2741295</wp:posOffset>
            </wp:positionV>
            <wp:extent cx="6885305"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5305" cy="1143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-2505710</wp:posOffset>
            </wp:positionV>
            <wp:extent cx="6885305"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5305" cy="1143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-2276475</wp:posOffset>
            </wp:positionV>
            <wp:extent cx="6885305"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5305" cy="1143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-2047240</wp:posOffset>
            </wp:positionV>
            <wp:extent cx="6885305"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5305" cy="1143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-1811655</wp:posOffset>
            </wp:positionV>
            <wp:extent cx="6885305"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5305" cy="1143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-1582420</wp:posOffset>
            </wp:positionV>
            <wp:extent cx="6885305"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5305" cy="1143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-1353820</wp:posOffset>
            </wp:positionV>
            <wp:extent cx="6885305"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5305" cy="1143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-1117600</wp:posOffset>
            </wp:positionV>
            <wp:extent cx="6885305"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5305" cy="13462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-854710</wp:posOffset>
            </wp:positionV>
            <wp:extent cx="6885305"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5305" cy="1143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-626110</wp:posOffset>
            </wp:positionV>
            <wp:extent cx="6885305"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5305" cy="1143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-376555</wp:posOffset>
            </wp:positionV>
            <wp:extent cx="6885305"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5305" cy="1143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-147320</wp:posOffset>
            </wp:positionV>
            <wp:extent cx="6885305"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5305" cy="13462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7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720" w:space="520"/>
            <w:col w:w="7500"/>
          </w:cols>
          <w:pgMar w:left="540" w:top="933" w:right="6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b w:val="1"/>
          <w:bCs w:val="1"/>
          <w:color w:val="auto"/>
        </w:rPr>
        <w:t>ARBUTUS BIOPHARMA CORPORATION</w:t>
      </w:r>
    </w:p>
    <w:p>
      <w:pPr>
        <w:spacing w:after="0" w:line="16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w:t>
      </w:r>
    </w:p>
    <w:p>
      <w:pPr>
        <w:spacing w:after="0" w:line="1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except share amounts)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300" w:type="dxa"/>
            <w:vAlign w:val="bottom"/>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1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320" w:type="dxa"/>
            <w:vAlign w:val="bottom"/>
          </w:tcPr>
          <w:p>
            <w:pPr>
              <w:spacing w:after="0"/>
              <w:rPr>
                <w:sz w:val="8"/>
                <w:szCs w:val="8"/>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Share Capital</w:t>
            </w:r>
          </w:p>
        </w:tc>
        <w:tc>
          <w:tcPr>
            <w:tcW w:w="100" w:type="dxa"/>
            <w:vAlign w:val="bottom"/>
          </w:tcPr>
          <w:p>
            <w:pPr>
              <w:spacing w:after="0"/>
              <w:rPr>
                <w:sz w:val="8"/>
                <w:szCs w:val="8"/>
                <w:color w:val="auto"/>
              </w:rPr>
            </w:pPr>
          </w:p>
        </w:tc>
        <w:tc>
          <w:tcPr>
            <w:tcW w:w="1120" w:type="dxa"/>
            <w:vAlign w:val="bottom"/>
            <w:gridSpan w:val="2"/>
          </w:tcPr>
          <w:p>
            <w:pPr>
              <w:jc w:val="center"/>
              <w:ind w:right="180"/>
              <w:spacing w:after="0" w:line="96"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220" w:type="dxa"/>
            <w:vAlign w:val="bottom"/>
          </w:tcPr>
          <w:p>
            <w:pPr>
              <w:spacing w:after="0"/>
              <w:rPr>
                <w:sz w:val="8"/>
                <w:szCs w:val="8"/>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8"/>
                <w:szCs w:val="8"/>
                <w:color w:val="auto"/>
              </w:rPr>
            </w:pPr>
          </w:p>
        </w:tc>
        <w:tc>
          <w:tcPr>
            <w:tcW w:w="1260" w:type="dxa"/>
            <w:vAlign w:val="bottom"/>
            <w:gridSpan w:val="2"/>
          </w:tcPr>
          <w:p>
            <w:pPr>
              <w:jc w:val="center"/>
              <w:ind w:right="180"/>
              <w:spacing w:after="0" w:line="96"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8"/>
                <w:szCs w:val="8"/>
                <w:color w:val="auto"/>
              </w:rPr>
            </w:pPr>
          </w:p>
        </w:tc>
        <w:tc>
          <w:tcPr>
            <w:tcW w:w="1100" w:type="dxa"/>
            <w:vAlign w:val="bottom"/>
          </w:tcPr>
          <w:p>
            <w:pPr>
              <w:jc w:val="right"/>
              <w:ind w:right="83"/>
              <w:spacing w:after="0" w:line="96" w:lineRule="exact"/>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54"/>
        </w:trPr>
        <w:tc>
          <w:tcPr>
            <w:tcW w:w="33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20" w:type="dxa"/>
            <w:vAlign w:val="bottom"/>
          </w:tcPr>
          <w:p>
            <w:pPr>
              <w:spacing w:after="0"/>
              <w:rPr>
                <w:sz w:val="13"/>
                <w:szCs w:val="13"/>
                <w:color w:val="auto"/>
              </w:rPr>
            </w:pPr>
          </w:p>
        </w:tc>
        <w:tc>
          <w:tcPr>
            <w:tcW w:w="110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0"/>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13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189,963,492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1,410,025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82,048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(1,346,572)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(48,135)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97,366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4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00" w:type="dxa"/>
            <w:vAlign w:val="bottom"/>
            <w:tcBorders>
              <w:top w:val="single" w:sz="8" w:color="CCEEFF"/>
            </w:tcBorders>
            <w:vMerge w:val="continue"/>
          </w:tcPr>
          <w:p>
            <w:pPr>
              <w:spacing w:after="0"/>
              <w:rPr>
                <w:sz w:val="10"/>
                <w:szCs w:val="10"/>
                <w:color w:val="auto"/>
              </w:rPr>
            </w:pPr>
          </w:p>
        </w:tc>
        <w:tc>
          <w:tcPr>
            <w:tcW w:w="1380" w:type="dxa"/>
            <w:vAlign w:val="bottom"/>
            <w:tcBorders>
              <w:top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3,564</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3,564</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shares pursuant to exercise of options</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892,857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2,653</w:t>
            </w:r>
          </w:p>
        </w:tc>
        <w:tc>
          <w:tcPr>
            <w:tcW w:w="0" w:type="dxa"/>
            <w:vAlign w:val="bottom"/>
          </w:tcPr>
          <w:p>
            <w:pPr>
              <w:spacing w:after="0"/>
              <w:rPr>
                <w:sz w:val="1"/>
                <w:szCs w:val="1"/>
                <w:color w:val="auto"/>
              </w:rPr>
            </w:pPr>
          </w:p>
        </w:tc>
      </w:tr>
      <w:tr>
        <w:trPr>
          <w:trHeight w:val="153"/>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shares pursuant to ESPP</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44,541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131</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shares upon vesting of RSUs</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580,584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(24,526)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(24,526)</w:t>
            </w: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March 31, 2025</w:t>
            </w:r>
          </w:p>
        </w:tc>
        <w:tc>
          <w:tcPr>
            <w:tcW w:w="13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191,481,474</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1,416,332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82,089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(1,371,098)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(48,166)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79,157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80" w:top="933" w:right="3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ARBUTUS BIOPHARMA CORPORATION</w:t>
      </w:r>
    </w:p>
    <w:p>
      <w:pPr>
        <w:spacing w:after="0" w:line="16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w:t>
      </w:r>
    </w:p>
    <w:p>
      <w:pPr>
        <w:spacing w:after="0" w:line="1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color w:val="auto"/>
        </w:rPr>
        <w:t>(Unaudited)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thousands of U.S. Dollars, except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20" w:type="dxa"/>
            <w:vAlign w:val="bottom"/>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220" w:type="dxa"/>
            <w:vAlign w:val="bottom"/>
          </w:tcPr>
          <w:p>
            <w:pPr>
              <w:spacing w:after="0"/>
              <w:rPr>
                <w:sz w:val="8"/>
                <w:szCs w:val="8"/>
                <w:color w:val="auto"/>
              </w:rPr>
            </w:pPr>
          </w:p>
        </w:tc>
        <w:tc>
          <w:tcPr>
            <w:tcW w:w="1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320" w:type="dxa"/>
            <w:vAlign w:val="bottom"/>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Share Capital</w:t>
            </w:r>
          </w:p>
        </w:tc>
        <w:tc>
          <w:tcPr>
            <w:tcW w:w="80" w:type="dxa"/>
            <w:vAlign w:val="bottom"/>
          </w:tcPr>
          <w:p>
            <w:pPr>
              <w:spacing w:after="0"/>
              <w:rPr>
                <w:sz w:val="8"/>
                <w:szCs w:val="8"/>
                <w:color w:val="auto"/>
              </w:rPr>
            </w:pPr>
          </w:p>
        </w:tc>
        <w:tc>
          <w:tcPr>
            <w:tcW w:w="1120" w:type="dxa"/>
            <w:vAlign w:val="bottom"/>
            <w:gridSpan w:val="2"/>
          </w:tcPr>
          <w:p>
            <w:pPr>
              <w:jc w:val="center"/>
              <w:ind w:right="180"/>
              <w:spacing w:after="0" w:line="96"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220" w:type="dxa"/>
            <w:vAlign w:val="bottom"/>
          </w:tcPr>
          <w:p>
            <w:pPr>
              <w:spacing w:after="0"/>
              <w:rPr>
                <w:sz w:val="8"/>
                <w:szCs w:val="8"/>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8"/>
                <w:szCs w:val="8"/>
                <w:color w:val="auto"/>
              </w:rPr>
            </w:pPr>
          </w:p>
        </w:tc>
        <w:tc>
          <w:tcPr>
            <w:tcW w:w="126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8"/>
                <w:szCs w:val="8"/>
                <w:color w:val="auto"/>
              </w:rPr>
            </w:pPr>
          </w:p>
        </w:tc>
        <w:tc>
          <w:tcPr>
            <w:tcW w:w="1100" w:type="dxa"/>
            <w:vAlign w:val="bottom"/>
          </w:tcPr>
          <w:p>
            <w:pPr>
              <w:jc w:val="right"/>
              <w:ind w:right="83"/>
              <w:spacing w:after="0" w:line="96" w:lineRule="exact"/>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54"/>
        </w:trPr>
        <w:tc>
          <w:tcPr>
            <w:tcW w:w="32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20" w:type="dxa"/>
            <w:vAlign w:val="bottom"/>
          </w:tcPr>
          <w:p>
            <w:pPr>
              <w:spacing w:after="0"/>
              <w:rPr>
                <w:sz w:val="13"/>
                <w:szCs w:val="13"/>
                <w:color w:val="auto"/>
              </w:rPr>
            </w:pPr>
          </w:p>
        </w:tc>
        <w:tc>
          <w:tcPr>
            <w:tcW w:w="110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0"/>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169,867,414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1,349,821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81,270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(1,276,652)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(48,421)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106,018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5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20" w:type="dxa"/>
            <w:vAlign w:val="bottom"/>
            <w:tcBorders>
              <w:top w:val="single" w:sz="8" w:color="CCEEFF"/>
            </w:tcBorders>
            <w:vMerge w:val="continue"/>
          </w:tcPr>
          <w:p>
            <w:pPr>
              <w:spacing w:after="0"/>
              <w:rPr>
                <w:sz w:val="10"/>
                <w:szCs w:val="10"/>
                <w:color w:val="auto"/>
              </w:rPr>
            </w:pPr>
          </w:p>
        </w:tc>
        <w:tc>
          <w:tcPr>
            <w:tcW w:w="1420" w:type="dxa"/>
            <w:vAlign w:val="bottom"/>
            <w:tcBorders>
              <w:top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2,014</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ind w:left="10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2,014</w:t>
            </w:r>
          </w:p>
        </w:tc>
        <w:tc>
          <w:tcPr>
            <w:tcW w:w="0" w:type="dxa"/>
            <w:vAlign w:val="bottom"/>
          </w:tcPr>
          <w:p>
            <w:pPr>
              <w:spacing w:after="0"/>
              <w:rPr>
                <w:sz w:val="1"/>
                <w:szCs w:val="1"/>
                <w:color w:val="auto"/>
              </w:rPr>
            </w:pPr>
          </w:p>
        </w:tc>
      </w:tr>
      <w:tr>
        <w:trPr>
          <w:trHeight w:val="112"/>
        </w:trPr>
        <w:tc>
          <w:tcPr>
            <w:tcW w:w="32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Issuance of common shares pursuant to the Open Market Sale</w:t>
            </w:r>
          </w:p>
        </w:tc>
        <w:tc>
          <w:tcPr>
            <w:tcW w:w="14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8,666,077</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21,765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21,765</w:t>
            </w:r>
          </w:p>
        </w:tc>
        <w:tc>
          <w:tcPr>
            <w:tcW w:w="0" w:type="dxa"/>
            <w:vAlign w:val="bottom"/>
          </w:tcPr>
          <w:p>
            <w:pPr>
              <w:spacing w:after="0"/>
              <w:rPr>
                <w:sz w:val="1"/>
                <w:szCs w:val="1"/>
                <w:color w:val="auto"/>
              </w:rPr>
            </w:pPr>
          </w:p>
        </w:tc>
      </w:tr>
      <w:tr>
        <w:trPr>
          <w:trHeight w:val="15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Agreement</w:t>
            </w:r>
          </w:p>
        </w:tc>
        <w:tc>
          <w:tcPr>
            <w:tcW w:w="14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shares pursuant to exercise of options</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1,126,691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2,454</w:t>
            </w: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shares pursuant to ESPP</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121,563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w:t>
            </w:r>
          </w:p>
        </w:tc>
        <w:tc>
          <w:tcPr>
            <w:tcW w:w="0" w:type="dxa"/>
            <w:vAlign w:val="bottom"/>
          </w:tcPr>
          <w:p>
            <w:pPr>
              <w:spacing w:after="0"/>
              <w:rPr>
                <w:sz w:val="1"/>
                <w:szCs w:val="1"/>
                <w:color w:val="auto"/>
              </w:rPr>
            </w:pPr>
          </w:p>
        </w:tc>
      </w:tr>
      <w:tr>
        <w:trPr>
          <w:trHeight w:val="153"/>
        </w:trPr>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shares upon vesting of RSUs</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410,482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53"/>
        </w:trPr>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(17,875)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(17,875)</w:t>
            </w:r>
          </w:p>
        </w:tc>
        <w:tc>
          <w:tcPr>
            <w:tcW w:w="0" w:type="dxa"/>
            <w:vAlign w:val="bottom"/>
          </w:tcPr>
          <w:p>
            <w:pPr>
              <w:spacing w:after="0"/>
              <w:rPr>
                <w:sz w:val="1"/>
                <w:szCs w:val="1"/>
                <w:color w:val="auto"/>
              </w:rPr>
            </w:pPr>
          </w:p>
        </w:tc>
      </w:tr>
      <w:tr>
        <w:trPr>
          <w:trHeight w:val="181"/>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March 31, 2024</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180,192,227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1,377,315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80,220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(1,294,527)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1"/>
                <w:szCs w:val="11"/>
                <w:b w:val="1"/>
                <w:bCs w:val="1"/>
                <w:color w:val="auto"/>
              </w:rPr>
              <w:t>(48,371)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114,637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420" w:top="848" w:right="4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ARBUTUS BIOPHARMA CORPORATION</w:t>
      </w:r>
    </w:p>
    <w:p>
      <w:pPr>
        <w:spacing w:after="0" w:line="16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1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(Unaudited)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thousands of U.S. Dollars)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80" w:type="dxa"/>
            <w:vAlign w:val="bottom"/>
            <w:tcBorders>
              <w:bottom w:val="single" w:sz="8" w:color="auto"/>
            </w:tcBorders>
          </w:tcPr>
          <w:p>
            <w:pPr>
              <w:spacing w:after="0"/>
              <w:rPr>
                <w:sz w:val="13"/>
                <w:szCs w:val="13"/>
                <w:color w:val="auto"/>
              </w:rPr>
            </w:pPr>
          </w:p>
        </w:tc>
      </w:tr>
      <w:tr>
        <w:trPr>
          <w:trHeight w:val="154"/>
        </w:trPr>
        <w:tc>
          <w:tcPr>
            <w:tcW w:w="66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13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68"/>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340" w:type="dxa"/>
            <w:vAlign w:val="bottom"/>
          </w:tcPr>
          <w:p>
            <w:pPr>
              <w:jc w:val="right"/>
              <w:ind w:right="12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(24,526)</w:t>
            </w:r>
          </w:p>
        </w:tc>
        <w:tc>
          <w:tcPr>
            <w:tcW w:w="80" w:type="dxa"/>
            <w:vAlign w:val="bottom"/>
          </w:tcPr>
          <w:p>
            <w:pPr>
              <w:spacing w:after="0"/>
              <w:rPr>
                <w:sz w:val="14"/>
                <w:szCs w:val="14"/>
                <w:color w:val="auto"/>
              </w:rPr>
            </w:pP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(17,875)</w:t>
            </w:r>
          </w:p>
        </w:tc>
      </w:tr>
      <w:tr>
        <w:trPr>
          <w:trHeight w:val="17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items:</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68"/>
        </w:trPr>
        <w:tc>
          <w:tcPr>
            <w:tcW w:w="6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w:t>
            </w:r>
          </w:p>
        </w:tc>
        <w:tc>
          <w:tcPr>
            <w:tcW w:w="1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r>
      <w:tr>
        <w:trPr>
          <w:trHeight w:val="17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impairment of leasehold improvements and lab equipment</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3,564</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r>
      <w:tr>
        <w:trPr>
          <w:trHeight w:val="17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68"/>
        </w:trPr>
        <w:tc>
          <w:tcPr>
            <w:tcW w:w="6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Non-cash royalty revenue</w:t>
            </w:r>
          </w:p>
        </w:tc>
        <w:tc>
          <w:tcPr>
            <w:tcW w:w="1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17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Non-cash interest expense</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8"/>
        </w:trPr>
        <w:tc>
          <w:tcPr>
            <w:tcW w:w="6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accretion and amortization of investments in marketable securities</w:t>
            </w:r>
          </w:p>
        </w:tc>
        <w:tc>
          <w:tcPr>
            <w:tcW w:w="1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w:t>
            </w:r>
          </w:p>
        </w:tc>
      </w:tr>
      <w:tr>
        <w:trPr>
          <w:trHeight w:val="17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operating items:</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68"/>
        </w:trPr>
        <w:tc>
          <w:tcPr>
            <w:tcW w:w="6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1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r>
      <w:tr>
        <w:trPr>
          <w:trHeight w:val="17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168"/>
        </w:trPr>
        <w:tc>
          <w:tcPr>
            <w:tcW w:w="6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4,545</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r>
      <w:tr>
        <w:trPr>
          <w:trHeight w:val="17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 in deferred license revenue</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r>
      <w:tr>
        <w:trPr>
          <w:trHeight w:val="168"/>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6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(13,391)</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(19,295)</w:t>
            </w:r>
          </w:p>
        </w:tc>
      </w:tr>
      <w:tr>
        <w:trPr>
          <w:trHeight w:val="169"/>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investments in marketable securities</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(34,716)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(25,397)</w:t>
            </w:r>
          </w:p>
        </w:tc>
      </w:tr>
      <w:tr>
        <w:trPr>
          <w:trHeight w:val="168"/>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Disposition of investments in marketable securities</w:t>
            </w:r>
          </w:p>
        </w:tc>
        <w:tc>
          <w:tcPr>
            <w:tcW w:w="1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46,065</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37,186</w:t>
            </w:r>
          </w:p>
        </w:tc>
      </w:tr>
      <w:tr>
        <w:trPr>
          <w:trHeight w:val="17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of property and equipment</w:t>
            </w:r>
          </w:p>
        </w:tc>
        <w:tc>
          <w:tcPr>
            <w:tcW w:w="13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8"/>
        </w:trPr>
        <w:tc>
          <w:tcPr>
            <w:tcW w:w="668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b w:val="1"/>
                <w:bCs w:val="1"/>
                <w:color w:val="auto"/>
              </w:rPr>
              <w:t>Net cash provided by investing activities</w:t>
            </w:r>
          </w:p>
        </w:tc>
        <w:tc>
          <w:tcPr>
            <w:tcW w:w="1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11,349</w:t>
            </w: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11,694</w:t>
            </w:r>
          </w:p>
        </w:tc>
      </w:tr>
      <w:tr>
        <w:trPr>
          <w:trHeight w:val="17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68"/>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shares pursuant to the Open Market Sale Agreement</w:t>
            </w:r>
          </w:p>
        </w:tc>
        <w:tc>
          <w:tcPr>
            <w:tcW w:w="13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w:t>
            </w:r>
          </w:p>
        </w:tc>
      </w:tr>
      <w:tr>
        <w:trPr>
          <w:trHeight w:val="17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shares pursuant to exercise of stock options</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2,454</w:t>
            </w:r>
          </w:p>
        </w:tc>
      </w:tr>
      <w:tr>
        <w:trPr>
          <w:trHeight w:val="16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Issuance of common shares pursuant to ESPP</w:t>
            </w:r>
          </w:p>
        </w:tc>
        <w:tc>
          <w:tcPr>
            <w:tcW w:w="1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w:t>
            </w:r>
          </w:p>
        </w:tc>
      </w:tr>
      <w:tr>
        <w:trPr>
          <w:trHeight w:val="16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2,784</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24,430</w:t>
            </w:r>
          </w:p>
        </w:tc>
      </w:tr>
      <w:tr>
        <w:trPr>
          <w:trHeight w:val="16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foreign exchange rate changes on cash and cash equivalents</w:t>
            </w:r>
          </w:p>
        </w:tc>
        <w:tc>
          <w:tcPr>
            <w:tcW w:w="1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Increase in cash and cash equivalents</w:t>
            </w: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16,816</w:t>
            </w:r>
          </w:p>
        </w:tc>
      </w:tr>
      <w:tr>
        <w:trPr>
          <w:trHeight w:val="16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1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36,330</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26,285</w:t>
            </w:r>
          </w:p>
        </w:tc>
      </w:tr>
      <w:tr>
        <w:trPr>
          <w:trHeight w:val="185"/>
        </w:trPr>
        <w:tc>
          <w:tcPr>
            <w:tcW w:w="6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1340" w:type="dxa"/>
            <w:vAlign w:val="bottom"/>
            <w:tcBorders>
              <w:bottom w:val="single" w:sz="8" w:color="auto"/>
            </w:tcBorders>
            <w:shd w:val="clear" w:color="auto" w:fill="CCEEFF"/>
          </w:tcPr>
          <w:p>
            <w:pPr>
              <w:jc w:val="right"/>
              <w:ind w:right="12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37,076</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120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(Tabular amounts in thousands of U.S. Dollars, except share and per share amounts)</w:t>
      </w:r>
    </w:p>
    <w:p>
      <w:pPr>
        <w:spacing w:after="0" w:line="18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Nature of business and future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the Business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Arbutus Biopharma Corporation (“Arbutus” or the “Company”) is a clinical-stage biopharmaceutical company focused on infectious disease. The Company is currently developing imdusiran (AB-729), its proprietary, GalNAc-conjugated, subcutaneously-delivered ribonucleic acid interference (RNAi) therapeutic, and AB-101, its proprietary oral PD-L1 inhibitor, for the treatment of chronic hepatitis B (cHBV).</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continues to protect and defend its intellectual property, which is the subject of its ongoing lawsuits against Moderna Therapeutics, Inc. (Moderna) and against Pfizer Inc. and BioNTech SE (collectively, Pfizer/BioNTech) for their use of the Company’s patented lipid nanoparticle (LNP) delivery technology in their COVID-19 messenger ribonucleic acid interference (mRNA)-LNP vaccines. With respect to the Moderna lawsuit in the United States, a trial date has been set for September 29, 2025. With respect to the Pfizer/BioNTech lawsuit, the claim construction hearing occurred in December 2024. The court is expected to provide its ruling on the Pfizer/BioNTech lawsuit claim construction and issue a further scheduling order, including the date for trial, in 2025. On March 3, 2025, the Company announced that, along with Genevant Sciences Ltd. (Genevant), it has filed five international lawsuits against Moderna in connection with the use of the Company’s LNP technology in Moderna’s COVID-19 mRNA-LNP vaccines and, in the Unified Patent Court, also Moderna’s respiratory syncytial virus (RSV) vaccines.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2025, the Company had an aggregate of $112.7 million in cash, cash equivalents and investments in marketable securities. The Company had no outstanding debt as of March 31,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believes it has sufficient cash resources to fund its operations for at least the next 12 months.</w:t>
      </w:r>
    </w:p>
    <w:p>
      <w:pPr>
        <w:spacing w:after="0" w:line="37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2024 included in the Company’s Annual Report on Form 10-K for the year ended December 31, 2024.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March 31, 2025 and December 31, 2024, the Company’s results of operations for the three months ended March 31, 2025 and 2024, and the Company’s cash flows for the three months ended March 31, 2025 and 2024. Such adjustments are of a normal recurring nature. The results of operations for the three months ended March 31, 2025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2024, except as described below under the section entitled “Recent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intercompany balances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loss per share is calculated based on the weighted average number of common shares outstanding. Diluted net loss per share does not differ from basic net loss per share for the three months ended March 31, 2025 and 2024, since the effect of including potential common shares would be anti-dilutive. For the three months ended March 31, 2025, potential common shares of 15.2 million pertaining to outstanding stock options and unvested restricted stock units were excluded from the calculation of net loss per share. A total of approximately 22.6 million outstanding stock options and unvested restricted stock units were excluded from the calculation for the three months ended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collaborations and licenses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Company’s collaboration agreements fall under the scope of Accounting Standards Codification (ASC) Topic 808,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Times New Roman" w:cs="Times New Roman" w:eastAsia="Times New Roman" w:hAnsi="Times New Roman"/>
          <w:sz w:val="14"/>
          <w:szCs w:val="14"/>
          <w:i w:val="1"/>
          <w:iCs w:val="1"/>
          <w:color w:val="auto"/>
        </w:rPr>
        <w:t>Revenue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Contracts with Customers </w:t>
      </w:r>
      <w:r>
        <w:rPr>
          <w:rFonts w:ascii="Times New Roman" w:cs="Times New Roman" w:eastAsia="Times New Roman" w:hAnsi="Times New Roman"/>
          <w:sz w:val="14"/>
          <w:szCs w:val="14"/>
          <w:color w:val="auto"/>
        </w:rPr>
        <w:t>(ASC 606), for some aspects, including for the delivery of a good or service (i.e., a unit of account).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Revenue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Times New Roman" w:cs="Times New Roman" w:eastAsia="Times New Roman" w:hAnsi="Times New Roman"/>
          <w:sz w:val="14"/>
          <w:szCs w:val="14"/>
          <w:i w:val="1"/>
          <w:iCs w:val="1"/>
          <w:color w:val="auto"/>
        </w:rPr>
        <w:t>Balance Sheet - Offsetting</w:t>
      </w:r>
      <w:r>
        <w:rPr>
          <w:rFonts w:ascii="Times New Roman" w:cs="Times New Roman" w:eastAsia="Times New Roman" w:hAnsi="Times New Roman"/>
          <w:sz w:val="14"/>
          <w:szCs w:val="14"/>
          <w:color w:val="auto"/>
        </w:rPr>
        <w:t xml:space="preserve"> (ASC 210-20) the Company’s deferred revenue is offset by a contract asset as further discussed in Note 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2023, the Financial Accounting Standards Board issued Accounting Standards Update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Early adoption is permitted. The ASU indicates that all entities will apply the guidance prospectively with an option for retroactive application to each period presented in the financial statements. The Company has not yet determined the impact ASU 2023-09 may have on the Company’s financial statement disclosures.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reviewed all other recently issued standards and has determined that such standards will not have a material impact on the Company’s financial statements or do not otherwise apply to the Company’s operations.</w:t>
      </w:r>
    </w:p>
    <w:p>
      <w:pPr>
        <w:spacing w:after="0" w:line="3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Fair value measurements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measures certain financial instruments and other items at fair value.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98" w:lineRule="exact"/>
        <w:rPr>
          <w:sz w:val="20"/>
          <w:szCs w:val="20"/>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are quoted market prices for identical instruments available in active markets.</w:t>
      </w:r>
    </w:p>
    <w:p>
      <w:pPr>
        <w:spacing w:after="0" w:line="136"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81"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unobservable inputs for the asset or liability and will reflect management’s assumptions about market assumptions that would be used to price the asset or liability.</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values of cash and cash equivalents, accounts receivable, accounts payable and accrued liabilities approximate their fair values due to the immediate or short-term maturity of these financial instruments.</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To determine the fair value of the contingent consideration (Note 8),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$10.5 million as of March 31, 2025 and the increase of $0.3 million from December 31, 2024 has been recorded as a component of total operating expenses in the condensed consolidated statements of operations and comprehensive loss for the three months ended March 31, 2025. The assumptions used in the discounted cash flow model are level 3 inputs as defined above. There were no changes in the assumptions as of March 31, 2025 compared to December 31, 2024. The Company assessed the sensitivity of the fair value measurement to changes in these unobservable inputs, and determined that changes within a reasonable range would not result in a materially different assessment of fair value.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10" w:name="page11"/>
    <w:bookmarkEnd w:id="10"/>
    <w:p>
      <w:pPr>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17"/>
        </w:trPr>
        <w:tc>
          <w:tcPr>
            <w:tcW w:w="20" w:type="dxa"/>
            <w:vAlign w:val="bottom"/>
          </w:tcPr>
          <w:p>
            <w:pPr>
              <w:spacing w:after="0"/>
              <w:rPr>
                <w:sz w:val="10"/>
                <w:szCs w:val="10"/>
                <w:color w:val="auto"/>
              </w:rPr>
            </w:pPr>
          </w:p>
        </w:tc>
        <w:tc>
          <w:tcPr>
            <w:tcW w:w="432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As of March 31, 2025</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gridSpan w:val="5"/>
          </w:tcPr>
          <w:p>
            <w:pPr>
              <w:jc w:val="right"/>
              <w:ind w:right="276"/>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3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2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37,076</w:t>
            </w:r>
          </w:p>
        </w:tc>
        <w:tc>
          <w:tcPr>
            <w:tcW w:w="20" w:type="dxa"/>
            <w:vAlign w:val="bottom"/>
          </w:tcPr>
          <w:p>
            <w:pPr>
              <w:spacing w:after="0"/>
              <w:rPr>
                <w:sz w:val="15"/>
                <w:szCs w:val="15"/>
                <w:color w:val="auto"/>
              </w:rPr>
            </w:pPr>
          </w:p>
        </w:tc>
        <w:tc>
          <w:tcPr>
            <w:tcW w:w="26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37,076</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75,631</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75,631</w:t>
            </w:r>
          </w:p>
        </w:tc>
        <w:tc>
          <w:tcPr>
            <w:tcW w:w="20" w:type="dxa"/>
            <w:vAlign w:val="bottom"/>
            <w:tcBorders>
              <w:bottom w:val="single" w:sz="8" w:color="auto"/>
            </w:tcBorders>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112,707</w:t>
            </w:r>
          </w:p>
        </w:tc>
        <w:tc>
          <w:tcPr>
            <w:tcW w:w="2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8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20" w:type="dxa"/>
            <w:vAlign w:val="bottom"/>
            <w:tcBorders>
              <w:bottom w:val="single" w:sz="8" w:color="auto"/>
            </w:tcBorders>
          </w:tcPr>
          <w:p>
            <w:pPr>
              <w:spacing w:after="0"/>
              <w:rPr>
                <w:sz w:val="15"/>
                <w:szCs w:val="15"/>
                <w:color w:val="auto"/>
              </w:rPr>
            </w:pPr>
          </w:p>
        </w:tc>
      </w:tr>
      <w:tr>
        <w:trPr>
          <w:trHeight w:val="171"/>
        </w:trPr>
        <w:tc>
          <w:tcPr>
            <w:tcW w:w="20" w:type="dxa"/>
            <w:vAlign w:val="bottom"/>
            <w:shd w:val="clear" w:color="auto" w:fill="CCEEFF"/>
          </w:tcPr>
          <w:p>
            <w:pPr>
              <w:spacing w:after="0"/>
              <w:rPr>
                <w:sz w:val="14"/>
                <w:szCs w:val="14"/>
                <w:color w:val="auto"/>
              </w:rPr>
            </w:pPr>
          </w:p>
        </w:tc>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20" w:type="dxa"/>
            <w:vAlign w:val="bottom"/>
            <w:shd w:val="clear" w:color="auto" w:fill="CCEEFF"/>
          </w:tcPr>
          <w:p>
            <w:pPr>
              <w:spacing w:after="0"/>
              <w:rPr>
                <w:sz w:val="14"/>
                <w:szCs w:val="14"/>
                <w:color w:val="auto"/>
              </w:rPr>
            </w:pPr>
          </w:p>
        </w:tc>
      </w:tr>
      <w:tr>
        <w:trPr>
          <w:trHeight w:val="62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17"/>
        </w:trPr>
        <w:tc>
          <w:tcPr>
            <w:tcW w:w="20" w:type="dxa"/>
            <w:vAlign w:val="bottom"/>
          </w:tcPr>
          <w:p>
            <w:pPr>
              <w:spacing w:after="0"/>
              <w:rPr>
                <w:sz w:val="10"/>
                <w:szCs w:val="10"/>
                <w:color w:val="auto"/>
              </w:rPr>
            </w:pPr>
          </w:p>
        </w:tc>
        <w:tc>
          <w:tcPr>
            <w:tcW w:w="432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As of December 31, 2024</w:t>
            </w:r>
          </w:p>
        </w:tc>
        <w:tc>
          <w:tcPr>
            <w:tcW w:w="8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gridSpan w:val="5"/>
          </w:tcPr>
          <w:p>
            <w:pPr>
              <w:jc w:val="right"/>
              <w:ind w:right="296"/>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3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2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20" w:type="dxa"/>
            <w:vAlign w:val="bottom"/>
          </w:tcPr>
          <w:p>
            <w:pPr>
              <w:spacing w:after="0"/>
              <w:rPr>
                <w:sz w:val="15"/>
                <w:szCs w:val="15"/>
                <w:color w:val="auto"/>
              </w:rPr>
            </w:pPr>
          </w:p>
        </w:tc>
        <w:tc>
          <w:tcPr>
            <w:tcW w:w="2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86,293</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gridSpan w:val="2"/>
          </w:tcPr>
          <w:p>
            <w:pPr>
              <w:jc w:val="right"/>
              <w:ind w:right="51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top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122,623</w:t>
            </w:r>
          </w:p>
        </w:tc>
        <w:tc>
          <w:tcPr>
            <w:tcW w:w="2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3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Contingent consideration</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20" w:type="dxa"/>
            <w:vAlign w:val="bottom"/>
          </w:tcPr>
          <w:p>
            <w:pPr>
              <w:spacing w:after="0"/>
              <w:rPr>
                <w:sz w:val="15"/>
                <w:szCs w:val="15"/>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4320" w:type="dxa"/>
            <w:vAlign w:val="bottom"/>
            <w:tcBorders>
              <w:top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20" w:type="dxa"/>
            <w:vAlign w:val="bottom"/>
          </w:tcPr>
          <w:p>
            <w:pPr>
              <w:spacing w:after="0"/>
              <w:rPr>
                <w:sz w:val="14"/>
                <w:szCs w:val="14"/>
                <w:color w:val="auto"/>
              </w:rPr>
            </w:pPr>
          </w:p>
        </w:tc>
      </w:tr>
      <w:tr>
        <w:trPr>
          <w:trHeight w:val="615"/>
        </w:trPr>
        <w:tc>
          <w:tcPr>
            <w:tcW w:w="56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presents the changes in fair value of the Company’s contingent consideration:</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4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Liability at beginning of the period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jc w:val="center"/>
              <w:ind w:right="236"/>
              <w:spacing w:after="0"/>
              <w:rPr>
                <w:sz w:val="20"/>
                <w:szCs w:val="20"/>
                <w:color w:val="auto"/>
              </w:rPr>
            </w:pPr>
            <w:r>
              <w:rPr>
                <w:rFonts w:ascii="Times New Roman" w:cs="Times New Roman" w:eastAsia="Times New Roman" w:hAnsi="Times New Roman"/>
                <w:sz w:val="11"/>
                <w:szCs w:val="11"/>
                <w:b w:val="1"/>
                <w:bCs w:val="1"/>
                <w:color w:val="auto"/>
              </w:rPr>
              <w:t>Change in fair value of liability</w:t>
            </w:r>
          </w:p>
        </w:tc>
        <w:tc>
          <w:tcPr>
            <w:tcW w:w="280" w:type="dxa"/>
            <w:vAlign w:val="bottom"/>
          </w:tcPr>
          <w:p>
            <w:pPr>
              <w:spacing w:after="0"/>
              <w:rPr>
                <w:sz w:val="20"/>
                <w:szCs w:val="20"/>
                <w:color w:val="auto"/>
              </w:rPr>
            </w:pPr>
          </w:p>
        </w:tc>
        <w:tc>
          <w:tcPr>
            <w:tcW w:w="2040" w:type="dxa"/>
            <w:vAlign w:val="bottom"/>
            <w:gridSpan w:val="7"/>
          </w:tcPr>
          <w:p>
            <w:pPr>
              <w:ind w:left="200"/>
              <w:spacing w:after="0"/>
              <w:rPr>
                <w:sz w:val="20"/>
                <w:szCs w:val="20"/>
                <w:color w:val="auto"/>
              </w:rPr>
            </w:pPr>
            <w:r>
              <w:rPr>
                <w:rFonts w:ascii="Times New Roman" w:cs="Times New Roman" w:eastAsia="Times New Roman" w:hAnsi="Times New Roman"/>
                <w:sz w:val="11"/>
                <w:szCs w:val="11"/>
                <w:b w:val="1"/>
                <w:bCs w:val="1"/>
                <w:color w:val="auto"/>
              </w:rPr>
              <w:t>Liability at end of the period</w:t>
            </w:r>
          </w:p>
        </w:tc>
      </w:tr>
      <w:tr>
        <w:trPr>
          <w:trHeight w:val="40"/>
        </w:trPr>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1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45"/>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left="37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20" w:type="dxa"/>
            <w:vAlign w:val="bottom"/>
            <w:shd w:val="clear" w:color="auto" w:fill="CCEEFF"/>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10,225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299</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2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Three Months Ended March 31, 2024</w:t>
            </w:r>
          </w:p>
        </w:tc>
        <w:tc>
          <w:tcPr>
            <w:tcW w:w="88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7,600</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color w:val="auto"/>
              </w:rPr>
              <w:t>180</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7,780</w:t>
            </w:r>
          </w:p>
        </w:tc>
        <w:tc>
          <w:tcPr>
            <w:tcW w:w="20" w:type="dxa"/>
            <w:vAlign w:val="bottom"/>
          </w:tcPr>
          <w:p>
            <w:pPr>
              <w:spacing w:after="0"/>
              <w:rPr>
                <w:sz w:val="16"/>
                <w:szCs w:val="16"/>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4 for additional information regarding the fair value of the Company’s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19" w:right="319" w:bottom="1440" w:gutter="0" w:footer="0" w:header="0"/>
        </w:sectPr>
      </w:pPr>
    </w:p>
    <w:bookmarkStart w:id="11" w:name="page12"/>
    <w:bookmarkEnd w:id="11"/>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tab/>
        <w:t>Investments in marketable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in marketable securities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Gross Unrealized Gain</w:t>
            </w:r>
            <w:r>
              <w:rPr>
                <w:rFonts w:ascii="Times New Roman" w:cs="Times New Roman" w:eastAsia="Times New Roman" w:hAnsi="Times New Roman"/>
                <w:sz w:val="14"/>
                <w:szCs w:val="14"/>
                <w:b w:val="1"/>
                <w:bCs w:val="1"/>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Gross Unrealized Loss</w:t>
            </w:r>
            <w:r>
              <w:rPr>
                <w:rFonts w:ascii="Times New Roman" w:cs="Times New Roman" w:eastAsia="Times New Roman" w:hAnsi="Times New Roman"/>
                <w:sz w:val="14"/>
                <w:szCs w:val="14"/>
                <w:b w:val="1"/>
                <w:bCs w:val="1"/>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07"/>
        </w:trPr>
        <w:tc>
          <w:tcPr>
            <w:tcW w:w="20" w:type="dxa"/>
            <w:vAlign w:val="bottom"/>
          </w:tcPr>
          <w:p>
            <w:pPr>
              <w:spacing w:after="0"/>
              <w:rPr>
                <w:sz w:val="9"/>
                <w:szCs w:val="9"/>
                <w:color w:val="auto"/>
              </w:rPr>
            </w:pPr>
          </w:p>
        </w:tc>
        <w:tc>
          <w:tcPr>
            <w:tcW w:w="43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As of March 31, 2025</w:t>
            </w:r>
          </w:p>
        </w:tc>
        <w:tc>
          <w:tcPr>
            <w:tcW w:w="1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0" w:type="dxa"/>
            <w:vAlign w:val="bottom"/>
            <w:gridSpan w:val="4"/>
          </w:tcPr>
          <w:p>
            <w:pPr>
              <w:jc w:val="right"/>
              <w:ind w:right="1072"/>
              <w:spacing w:after="0" w:line="10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equivalents</w:t>
            </w:r>
          </w:p>
        </w:tc>
        <w:tc>
          <w:tcPr>
            <w:tcW w:w="1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1200" w:type="dxa"/>
            <w:vAlign w:val="bottom"/>
          </w:tcPr>
          <w:p>
            <w:pPr>
              <w:jc w:val="right"/>
              <w:ind w:right="105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23,890</w:t>
            </w:r>
          </w:p>
        </w:tc>
        <w:tc>
          <w:tcPr>
            <w:tcW w:w="80" w:type="dxa"/>
            <w:vAlign w:val="bottom"/>
          </w:tcPr>
          <w:p>
            <w:pPr>
              <w:spacing w:after="0"/>
              <w:rPr>
                <w:sz w:val="15"/>
                <w:szCs w:val="15"/>
                <w:color w:val="auto"/>
              </w:rPr>
            </w:pPr>
          </w:p>
        </w:tc>
        <w:tc>
          <w:tcPr>
            <w:tcW w:w="1440" w:type="dxa"/>
            <w:vAlign w:val="bottom"/>
          </w:tcPr>
          <w:p>
            <w:pPr>
              <w:jc w:val="right"/>
              <w:ind w:right="127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40" w:type="dxa"/>
            <w:vAlign w:val="bottom"/>
          </w:tcPr>
          <w:p>
            <w:pPr>
              <w:jc w:val="right"/>
              <w:ind w:right="129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23,890</w:t>
            </w:r>
          </w:p>
        </w:tc>
      </w:tr>
      <w:tr>
        <w:trPr>
          <w:trHeight w:val="180"/>
        </w:trPr>
        <w:tc>
          <w:tcPr>
            <w:tcW w:w="20" w:type="dxa"/>
            <w:vAlign w:val="bottom"/>
            <w:shd w:val="clear" w:color="auto" w:fill="CCEEFF"/>
          </w:tcPr>
          <w:p>
            <w:pPr>
              <w:spacing w:after="0"/>
              <w:rPr>
                <w:sz w:val="15"/>
                <w:szCs w:val="15"/>
                <w:color w:val="auto"/>
              </w:rPr>
            </w:pPr>
          </w:p>
        </w:tc>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treasury bills</w:t>
            </w:r>
          </w:p>
        </w:tc>
        <w:tc>
          <w:tcPr>
            <w:tcW w:w="120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7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40" w:type="dxa"/>
            <w:vAlign w:val="bottom"/>
            <w:shd w:val="clear" w:color="auto" w:fill="CCEEFF"/>
          </w:tcPr>
          <w:p>
            <w:pPr>
              <w:jc w:val="right"/>
              <w:ind w:right="129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r>
      <w:tr>
        <w:trPr>
          <w:trHeight w:val="171"/>
        </w:trPr>
        <w:tc>
          <w:tcPr>
            <w:tcW w:w="20" w:type="dxa"/>
            <w:vAlign w:val="bottom"/>
          </w:tcPr>
          <w:p>
            <w:pPr>
              <w:spacing w:after="0"/>
              <w:rPr>
                <w:sz w:val="14"/>
                <w:szCs w:val="14"/>
                <w:color w:val="auto"/>
              </w:rPr>
            </w:pP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top w:val="single" w:sz="8" w:color="auto"/>
            </w:tcBorders>
          </w:tcPr>
          <w:p>
            <w:pPr>
              <w:jc w:val="right"/>
              <w:ind w:right="105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26,377</w:t>
            </w:r>
          </w:p>
        </w:tc>
        <w:tc>
          <w:tcPr>
            <w:tcW w:w="80" w:type="dxa"/>
            <w:vAlign w:val="bottom"/>
          </w:tcPr>
          <w:p>
            <w:pPr>
              <w:spacing w:after="0"/>
              <w:rPr>
                <w:sz w:val="14"/>
                <w:szCs w:val="14"/>
                <w:color w:val="auto"/>
              </w:rPr>
            </w:pPr>
          </w:p>
        </w:tc>
        <w:tc>
          <w:tcPr>
            <w:tcW w:w="1440" w:type="dxa"/>
            <w:vAlign w:val="bottom"/>
            <w:tcBorders>
              <w:top w:val="single" w:sz="8" w:color="auto"/>
            </w:tcBorders>
          </w:tcPr>
          <w:p>
            <w:pPr>
              <w:jc w:val="right"/>
              <w:ind w:right="1274"/>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1440" w:type="dxa"/>
            <w:vAlign w:val="bottom"/>
            <w:tcBorders>
              <w:top w:val="single" w:sz="8" w:color="auto"/>
            </w:tcBorders>
          </w:tcPr>
          <w:p>
            <w:pPr>
              <w:jc w:val="right"/>
              <w:ind w:right="129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26,377</w:t>
            </w:r>
          </w:p>
        </w:tc>
      </w:tr>
      <w:tr>
        <w:trPr>
          <w:trHeight w:val="159"/>
        </w:trPr>
        <w:tc>
          <w:tcPr>
            <w:tcW w:w="20" w:type="dxa"/>
            <w:vAlign w:val="bottom"/>
            <w:shd w:val="clear" w:color="auto" w:fill="CCEEFF"/>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Investments in marketable short-term securities</w:t>
            </w:r>
          </w:p>
        </w:tc>
        <w:tc>
          <w:tcPr>
            <w:tcW w:w="1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corporate bonds</w:t>
            </w: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19,141</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22</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19,160</w:t>
            </w:r>
          </w:p>
        </w:tc>
      </w:tr>
      <w:tr>
        <w:trPr>
          <w:trHeight w:val="180"/>
        </w:trPr>
        <w:tc>
          <w:tcPr>
            <w:tcW w:w="20" w:type="dxa"/>
            <w:vAlign w:val="bottom"/>
            <w:shd w:val="clear" w:color="auto" w:fill="CCEEFF"/>
          </w:tcPr>
          <w:p>
            <w:pPr>
              <w:spacing w:after="0"/>
              <w:rPr>
                <w:sz w:val="15"/>
                <w:szCs w:val="15"/>
                <w:color w:val="auto"/>
              </w:rPr>
            </w:pPr>
          </w:p>
        </w:tc>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treasury bills</w:t>
            </w:r>
          </w:p>
        </w:tc>
        <w:tc>
          <w:tcPr>
            <w:tcW w:w="1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56,470</w:t>
            </w:r>
          </w:p>
        </w:tc>
        <w:tc>
          <w:tcPr>
            <w:tcW w:w="8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56,471</w:t>
            </w:r>
          </w:p>
        </w:tc>
      </w:tr>
      <w:tr>
        <w:trPr>
          <w:trHeight w:val="175"/>
        </w:trPr>
        <w:tc>
          <w:tcPr>
            <w:tcW w:w="20" w:type="dxa"/>
            <w:vAlign w:val="bottom"/>
          </w:tcPr>
          <w:p>
            <w:pPr>
              <w:spacing w:after="0"/>
              <w:rPr>
                <w:sz w:val="15"/>
                <w:szCs w:val="15"/>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tcPr>
          <w:p>
            <w:pPr>
              <w:jc w:val="right"/>
              <w:ind w:right="105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75,611</w:t>
            </w:r>
          </w:p>
        </w:tc>
        <w:tc>
          <w:tcPr>
            <w:tcW w:w="80" w:type="dxa"/>
            <w:vAlign w:val="bottom"/>
          </w:tcPr>
          <w:p>
            <w:pPr>
              <w:spacing w:after="0"/>
              <w:rPr>
                <w:sz w:val="15"/>
                <w:szCs w:val="15"/>
                <w:color w:val="auto"/>
              </w:rPr>
            </w:pPr>
          </w:p>
        </w:tc>
        <w:tc>
          <w:tcPr>
            <w:tcW w:w="1440" w:type="dxa"/>
            <w:vAlign w:val="bottom"/>
          </w:tcPr>
          <w:p>
            <w:pPr>
              <w:jc w:val="right"/>
              <w:ind w:right="1274"/>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tcPr>
          <w:p>
            <w:pPr>
              <w:spacing w:after="0"/>
              <w:rPr>
                <w:sz w:val="15"/>
                <w:szCs w:val="15"/>
                <w:color w:val="auto"/>
              </w:rPr>
            </w:pPr>
          </w:p>
        </w:tc>
        <w:tc>
          <w:tcPr>
            <w:tcW w:w="1440" w:type="dxa"/>
            <w:vAlign w:val="bottom"/>
          </w:tcPr>
          <w:p>
            <w:pPr>
              <w:jc w:val="right"/>
              <w:ind w:right="129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75,631</w:t>
            </w:r>
          </w:p>
        </w:tc>
      </w:tr>
    </w:tbl>
    <w:p>
      <w:pPr>
        <w:spacing w:after="0" w:line="215" w:lineRule="exact"/>
        <w:rPr>
          <w:sz w:val="20"/>
          <w:szCs w:val="20"/>
          <w:color w:val="auto"/>
        </w:rPr>
      </w:pPr>
    </w:p>
    <w:p>
      <w:pPr>
        <w:ind w:left="380" w:hanging="120"/>
        <w:spacing w:after="0"/>
        <w:tabs>
          <w:tab w:leader="none" w:pos="380"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Gross unrealized gain (loss) is pre-tax and is reported in accumulated other comprehensive loss.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Gross Unrealized Gain</w:t>
            </w:r>
            <w:r>
              <w:rPr>
                <w:rFonts w:ascii="Times New Roman" w:cs="Times New Roman" w:eastAsia="Times New Roman" w:hAnsi="Times New Roman"/>
                <w:sz w:val="7"/>
                <w:szCs w:val="7"/>
                <w:b w:val="1"/>
                <w:bCs w:val="1"/>
                <w:color w:val="auto"/>
              </w:rPr>
              <w:t>(1)</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Gross Unrealized Loss</w:t>
            </w:r>
            <w:r>
              <w:rPr>
                <w:rFonts w:ascii="Times New Roman" w:cs="Times New Roman" w:eastAsia="Times New Roman" w:hAnsi="Times New Roman"/>
                <w:sz w:val="7"/>
                <w:szCs w:val="7"/>
                <w:b w:val="1"/>
                <w:bCs w:val="1"/>
                <w:color w:val="auto"/>
              </w:rPr>
              <w:t>(1)</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17"/>
        </w:trPr>
        <w:tc>
          <w:tcPr>
            <w:tcW w:w="20" w:type="dxa"/>
            <w:vAlign w:val="bottom"/>
          </w:tcPr>
          <w:p>
            <w:pPr>
              <w:spacing w:after="0"/>
              <w:rPr>
                <w:sz w:val="10"/>
                <w:szCs w:val="10"/>
                <w:color w:val="auto"/>
              </w:rPr>
            </w:pPr>
          </w:p>
        </w:tc>
        <w:tc>
          <w:tcPr>
            <w:tcW w:w="43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As of December 31, 2024</w:t>
            </w:r>
          </w:p>
        </w:tc>
        <w:tc>
          <w:tcPr>
            <w:tcW w:w="1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0" w:type="dxa"/>
            <w:vAlign w:val="bottom"/>
            <w:gridSpan w:val="4"/>
          </w:tcPr>
          <w:p>
            <w:pPr>
              <w:jc w:val="right"/>
              <w:ind w:right="1073"/>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equivalents</w:t>
            </w:r>
          </w:p>
        </w:tc>
        <w:tc>
          <w:tcPr>
            <w:tcW w:w="1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Money market fund</w:t>
            </w:r>
          </w:p>
        </w:tc>
        <w:tc>
          <w:tcPr>
            <w:tcW w:w="1200" w:type="dxa"/>
            <w:vAlign w:val="bottom"/>
          </w:tcPr>
          <w:p>
            <w:pPr>
              <w:jc w:val="right"/>
              <w:ind w:right="10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29,533</w:t>
            </w:r>
          </w:p>
        </w:tc>
        <w:tc>
          <w:tcPr>
            <w:tcW w:w="80" w:type="dxa"/>
            <w:vAlign w:val="bottom"/>
          </w:tcPr>
          <w:p>
            <w:pPr>
              <w:spacing w:after="0"/>
              <w:rPr>
                <w:sz w:val="15"/>
                <w:szCs w:val="15"/>
                <w:color w:val="auto"/>
              </w:rPr>
            </w:pPr>
          </w:p>
        </w:tc>
        <w:tc>
          <w:tcPr>
            <w:tcW w:w="1440" w:type="dxa"/>
            <w:vAlign w:val="bottom"/>
          </w:tcPr>
          <w:p>
            <w:pPr>
              <w:jc w:val="right"/>
              <w:ind w:right="1275"/>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29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29,533</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43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top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29,533</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ind w:right="1275"/>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ind w:right="1293"/>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29,533</w:t>
            </w:r>
          </w:p>
        </w:tc>
      </w:tr>
      <w:tr>
        <w:trPr>
          <w:trHeight w:val="154"/>
        </w:trPr>
        <w:tc>
          <w:tcPr>
            <w:tcW w:w="20" w:type="dxa"/>
            <w:vAlign w:val="bottom"/>
          </w:tcPr>
          <w:p>
            <w:pPr>
              <w:spacing w:after="0"/>
              <w:rPr>
                <w:sz w:val="13"/>
                <w:szCs w:val="13"/>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Investments in marketable short-term securities</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corporate bonds</w:t>
            </w:r>
          </w:p>
        </w:tc>
        <w:tc>
          <w:tcPr>
            <w:tcW w:w="12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30,776</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30,797</w:t>
            </w:r>
          </w:p>
        </w:tc>
      </w:tr>
      <w:tr>
        <w:trPr>
          <w:trHeight w:val="180"/>
        </w:trPr>
        <w:tc>
          <w:tcPr>
            <w:tcW w:w="20" w:type="dxa"/>
            <w:vAlign w:val="bottom"/>
          </w:tcPr>
          <w:p>
            <w:pPr>
              <w:spacing w:after="0"/>
              <w:rPr>
                <w:sz w:val="15"/>
                <w:szCs w:val="15"/>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treasury bills</w:t>
            </w: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55,467</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55,496</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43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top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86,243</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ind w:right="1275"/>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ind w:right="1293"/>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86,293</w:t>
            </w:r>
          </w:p>
        </w:tc>
      </w:tr>
    </w:tbl>
    <w:p>
      <w:pPr>
        <w:spacing w:after="0" w:line="251" w:lineRule="exact"/>
        <w:rPr>
          <w:sz w:val="20"/>
          <w:szCs w:val="20"/>
          <w:color w:val="auto"/>
        </w:rPr>
      </w:pPr>
    </w:p>
    <w:p>
      <w:pPr>
        <w:ind w:left="380" w:hanging="120"/>
        <w:spacing w:after="0"/>
        <w:tabs>
          <w:tab w:leader="none" w:pos="380"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Gross unrealized gain (loss) is pre-tax and is reported in accumulated other comprehensive loss.</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contractual term to maturity of the $75.6 million of short-term marketable securities held by the Company as of March 31, 2025 is less than one year. As of March 31, 2025, the Company held no long-term marketable securities with contractual maturities of more than one year, but less than five years. As of December 31, 2024, the Company’s $86.3 million of short-term marketable securities had contractual maturities of less than one year, while the Company held no long-term marketable securities with maturities of more than one year, but less than five years.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March 31, 2025 and December 31, 2024, the Company had 14 and 6, respectively, available-for-sale investment debt securities in an unrealized loss position without an allowance for credit losses. Unrealized losses on the Company’s investments in debt securities have not been recognized into income as the issuers’ bonds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bonds. The fair value is expected to recover as the bonds approach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interest receivable on investments in marketable securities of $0.2 million at both March 31, 2025 and December 31, 2024 is included in prepaid expenses and other current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zero realized gain for the three months ended March 31, 2025 and less than $0.1 million realized gains for the three months ended March 31, 2024,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for additional information regarding the fair value of the Company’s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5" w:right="319" w:bottom="1440" w:gutter="0" w:footer="0" w:header="0"/>
        </w:sectPr>
      </w:pPr>
    </w:p>
    <w:bookmarkStart w:id="12" w:name="page13"/>
    <w:bookmarkEnd w:id="12"/>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tab/>
        <w:t>Investment in Genevant</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April 2018, the Company entered into an agreement with Roivant Sciences Ltd. (Roivant), its largest shareholder, to launch Genevant, a company focused on a broad range of ribonucleic acid (RNA)-based therapeutics enabled by the Company’s LNP and ligand conjugate delivery technologies. The Company licensed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Under the Genevant License, as amended, if a third-party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 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6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Notwithstanding the preceding, in March 2025, Genevant and the Company agreed that the Company be entitled to any award of damages in (or any proceeds of settlement of) certain pending patent litigation against Moderna and certain affiliates that specifically accuses Moderna of infringement related to Moderna’s vaccine for RSV known as mRESVIA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that, in the event there is no such specific allocation to mRESVIA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such award or settlement, the parties will discuss an appropriate allocation in good faith.</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March 31, 2025, the carrying value of the Company’s investment in Genevant was zero and the Company owned approximately 16% of the common equity of Genevant.</w:t>
      </w:r>
    </w:p>
    <w:p>
      <w:pPr>
        <w:spacing w:after="0" w:line="35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6.</w:t>
        <w:tab/>
        <w:t>Accounts payable and accrued 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payable and accrued liabilities are comprised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80" w:type="dxa"/>
            <w:vAlign w:val="bottom"/>
          </w:tcPr>
          <w:p>
            <w:pPr>
              <w:spacing w:after="0"/>
              <w:rPr>
                <w:sz w:val="13"/>
                <w:szCs w:val="13"/>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7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4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80" w:type="dxa"/>
            <w:vAlign w:val="bottom"/>
          </w:tcPr>
          <w:p>
            <w:pPr>
              <w:spacing w:after="0"/>
              <w:rPr>
                <w:sz w:val="13"/>
                <w:szCs w:val="13"/>
                <w:color w:val="auto"/>
              </w:rPr>
            </w:pPr>
          </w:p>
        </w:tc>
      </w:tr>
      <w:tr>
        <w:trPr>
          <w:trHeight w:val="18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accounts payable</w:t>
            </w:r>
          </w:p>
        </w:tc>
        <w:tc>
          <w:tcPr>
            <w:tcW w:w="1460" w:type="dxa"/>
            <w:vAlign w:val="bottom"/>
            <w:shd w:val="clear" w:color="auto" w:fill="CCEEFF"/>
          </w:tcPr>
          <w:p>
            <w:pPr>
              <w:jc w:val="right"/>
              <w:ind w:right="13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accruals</w:t>
            </w:r>
          </w:p>
        </w:tc>
        <w:tc>
          <w:tcPr>
            <w:tcW w:w="1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 accruals</w:t>
            </w:r>
          </w:p>
        </w:tc>
        <w:tc>
          <w:tcPr>
            <w:tcW w:w="14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accruals</w:t>
            </w:r>
          </w:p>
        </w:tc>
        <w:tc>
          <w:tcPr>
            <w:tcW w:w="1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liabilities</w:t>
            </w:r>
          </w:p>
        </w:tc>
        <w:tc>
          <w:tcPr>
            <w:tcW w:w="14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accounts payable and accrued liabilities</w:t>
            </w:r>
          </w:p>
        </w:tc>
        <w:tc>
          <w:tcPr>
            <w:tcW w:w="1460" w:type="dxa"/>
            <w:vAlign w:val="bottom"/>
            <w:tcBorders>
              <w:bottom w:val="single" w:sz="8" w:color="auto"/>
            </w:tcBorders>
          </w:tcPr>
          <w:p>
            <w:pPr>
              <w:jc w:val="right"/>
              <w:ind w:right="13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12,109</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7,564</w:t>
            </w:r>
          </w:p>
        </w:tc>
      </w:tr>
      <w:tr>
        <w:trPr>
          <w:trHeight w:val="20"/>
        </w:trPr>
        <w:tc>
          <w:tcPr>
            <w:tcW w:w="7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March 2025, the Company’s Board of Directors (the Board) took action to reduce the Company’s workforce by 57%, resulting in a total workforce after reductions of 19 employees. The Board also decided to exit the Company’s corporate headquarters in Warminster, Pennsylvania and to discontinue in-house scientific research. As a result, the Company recorded a one-time restructuring charge of $12.4 million in the first quarter of 2025, of which there was $5.6 million in severance and benefit costs and $0.4 million of lease-related operation expenses accrued as of March 31, 2025.</w:t>
      </w:r>
    </w:p>
    <w:p>
      <w:pPr>
        <w:spacing w:after="0" w:line="200" w:lineRule="exact"/>
        <w:rPr>
          <w:sz w:val="20"/>
          <w:szCs w:val="20"/>
          <w:color w:val="auto"/>
        </w:rPr>
      </w:pPr>
    </w:p>
    <w:p>
      <w:pPr>
        <w:spacing w:after="0" w:line="22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tab/>
        <w:t>Sale of future royalties</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(Patisiran) (ONPATTRO), an RNA interference therapeutic currently being sold by Alnylam Pharmaceuticals, Inc. (Alnylam).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13" w:name="page14"/>
    <w:bookmarkEnd w:id="13"/>
    <w:p>
      <w:pPr>
        <w:jc w:val="both"/>
        <w:spacing w:after="0" w:line="259" w:lineRule="auto"/>
        <w:rPr>
          <w:sz w:val="20"/>
          <w:szCs w:val="20"/>
          <w:color w:val="auto"/>
        </w:rPr>
      </w:pPr>
      <w:r>
        <w:rPr>
          <w:rFonts w:ascii="Times New Roman" w:cs="Times New Roman" w:eastAsia="Times New Roman" w:hAnsi="Times New Roman"/>
          <w:sz w:val="14"/>
          <w:szCs w:val="14"/>
          <w:color w:val="auto"/>
        </w:rPr>
        <w:t>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it fails to collect any such future royalties.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March 31, 2025, the Company estimated an effective annual interest rate of approximately 2.2%.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March 31, 2025, the Company has recorded an aggregate of $25.3 million of non-cash royalty revenue for royalties earned by OMERS. There are a number of factors that could materially affect the amount and timing of royalty payments from Alnylam, none of which are within the Company’s control.</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2025, the Company recognized non-cash royalty revenue of $0.4 million and related non-cash interest expense of less than $0.1 million. During the three months ended March 31, 2024, the Company recognized non-cash royalty revenue of $0.6 million and related non-cash interest expense of less than $0.1 million. The table below shows the activity related to the net liability for the three months ended March 31, 2025 and 2024: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r>
      <w:tr>
        <w:trPr>
          <w:trHeight w:val="154"/>
        </w:trPr>
        <w:tc>
          <w:tcPr>
            <w:tcW w:w="8080" w:type="dxa"/>
            <w:vAlign w:val="bottom"/>
          </w:tcPr>
          <w:p>
            <w:pPr>
              <w:spacing w:after="0"/>
              <w:rPr>
                <w:sz w:val="13"/>
                <w:szCs w:val="13"/>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r>
      <w:tr>
        <w:trPr>
          <w:trHeight w:val="150"/>
        </w:trPr>
        <w:tc>
          <w:tcPr>
            <w:tcW w:w="8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40" w:type="dxa"/>
            <w:vAlign w:val="bottom"/>
            <w:gridSpan w:val="3"/>
          </w:tcPr>
          <w:p>
            <w:pPr>
              <w:jc w:val="right"/>
              <w:ind w:right="67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20" w:type="dxa"/>
            <w:vAlign w:val="bottom"/>
          </w:tcPr>
          <w:p>
            <w:pPr>
              <w:spacing w:after="0"/>
              <w:rPr>
                <w:sz w:val="13"/>
                <w:szCs w:val="13"/>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related to sale of future royalties - beginning balance</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royalty revenue</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liability related to sale of future royalties - ending balance</w:t>
            </w: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80" w:type="dxa"/>
            <w:vAlign w:val="bottom"/>
          </w:tcPr>
          <w:p>
            <w:pPr>
              <w:spacing w:after="0"/>
              <w:rPr>
                <w:sz w:val="15"/>
                <w:szCs w:val="15"/>
                <w:color w:val="auto"/>
              </w:rPr>
            </w:pP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6,396</w:t>
            </w:r>
          </w:p>
        </w:tc>
      </w:tr>
    </w:tbl>
    <w:p>
      <w:pPr>
        <w:spacing w:after="0" w:line="2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spacing w:after="0" w:line="34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tab/>
        <w:t>Contingencies and commitments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Purchase Agreement with Enantigen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4" w:name="page15"/>
    <w:bookmarkEnd w:id="14"/>
    <w:p>
      <w:pPr>
        <w:jc w:val="both"/>
        <w:spacing w:after="0" w:line="287" w:lineRule="auto"/>
        <w:rPr>
          <w:sz w:val="20"/>
          <w:szCs w:val="20"/>
          <w:color w:val="auto"/>
        </w:rPr>
      </w:pPr>
      <w:r>
        <w:rPr>
          <w:rFonts w:ascii="Times New Roman" w:cs="Times New Roman" w:eastAsia="Times New Roman" w:hAnsi="Times New Roman"/>
          <w:sz w:val="14"/>
          <w:szCs w:val="14"/>
          <w:color w:val="auto"/>
        </w:rPr>
        <w:t>The contingent consideration is a financial liability and is measured at its fair value at each reporting period, with any changes in fair value from the previous reporting period recorded in the condensed consolidated statements of operations and comprehensive loss (see Note 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contingent consideration was $10.5 million as of March 31, 2025.</w:t>
      </w:r>
    </w:p>
    <w:p>
      <w:pPr>
        <w:spacing w:after="0" w:line="38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Collaborations, contracts and licensing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Qilu Pharmaceutical Co., Ltd.</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December 2021, the Company entered into a technology transfer and licensing agreement (the License Agreement) with Qilu Pharmaceutical Co., Ltd. (Qilu), pursuant to which the Company granted Qilu a sublicensable, royalty-bearing license, under certain intellectual property owned by the Company, which is non-exclusive as to development and manufacturing and exclusive with respect to commercialization of imdusiran, including pharmaceutical products that include imdusiran, for the treatment or prevention of hepatitis B in China, Hong Kong, Macau and Taiwan (Greater China and Taiwan).</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partial consideration for the rights granted by the Company, Qilu paid the Company a one-time upfront cash payment of $40.0 million, net of withholding taxes, on January 5, 2022, and agreed to pay the Company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double-digit royalties into the low twenties percent based upon annual net sales of imdusiran in Greater China and Taiwan. The royalties are payable on a product-by-product and region-by-region basis, subject to certain limitations.</w:t>
      </w: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Qilu is responsible for all costs related to developing, obtaining regulatory approval for, and commercializing imdusiran for the treatment or prevention of hepatitis B in Greater China and Taiwan. Qilu is required to use commercially reasonable efforts to develop, seek regulatory approval for, and commercialize at least one imdusiran product candidate in Greater China and Taiwan. A joint development 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imdusiran necessary for Qilu to develop and commercialize in Greater China and Taiwan until the Company has completed manufacturing technology transfer to Qilu and Qilu has received all approvals required for it or its designated contract manufacturing organization to manufacture imdusiran in Greater China and Taiwan.</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(as defined in the License Agreement)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determined the initial transaction price of the combined performance obligation to be $50.4 million, which includes the $40.0 million upfront fee, $4.4 million of withholding taxes paid by Qilu on behalf of the Company, the premium paid for the Share Transaction of $4.1 million.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outlines the transaction price and the changes to the related liability balance: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Transaction Price</w:t>
            </w:r>
          </w:p>
        </w:tc>
        <w:tc>
          <w:tcPr>
            <w:tcW w:w="1980" w:type="dxa"/>
            <w:vAlign w:val="bottom"/>
            <w:gridSpan w:val="2"/>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Cumulative Collaboration Revenue</w:t>
            </w:r>
          </w:p>
        </w:tc>
        <w:tc>
          <w:tcPr>
            <w:tcW w:w="200" w:type="dxa"/>
            <w:vAlign w:val="bottom"/>
          </w:tcPr>
          <w:p>
            <w:pPr>
              <w:spacing w:after="0"/>
              <w:rPr>
                <w:sz w:val="11"/>
                <w:szCs w:val="11"/>
                <w:color w:val="auto"/>
              </w:rPr>
            </w:pPr>
          </w:p>
        </w:tc>
        <w:tc>
          <w:tcPr>
            <w:tcW w:w="1700" w:type="dxa"/>
            <w:vAlign w:val="bottom"/>
            <w:vMerge w:val="restart"/>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Deferred License Revenue</w:t>
            </w:r>
          </w:p>
        </w:tc>
        <w:tc>
          <w:tcPr>
            <w:tcW w:w="0" w:type="dxa"/>
            <w:vAlign w:val="bottom"/>
          </w:tcPr>
          <w:p>
            <w:pPr>
              <w:spacing w:after="0"/>
              <w:rPr>
                <w:sz w:val="1"/>
                <w:szCs w:val="1"/>
                <w:color w:val="auto"/>
              </w:rPr>
            </w:pPr>
          </w:p>
        </w:tc>
      </w:tr>
      <w:tr>
        <w:trPr>
          <w:trHeight w:val="153"/>
        </w:trPr>
        <w:tc>
          <w:tcPr>
            <w:tcW w:w="5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1"/>
                <w:szCs w:val="11"/>
                <w:b w:val="1"/>
                <w:bCs w:val="1"/>
                <w:color w:val="auto"/>
              </w:rPr>
              <w:t>Recognized</w:t>
            </w: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Combined performance obligation</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50,445</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38,850</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11,595</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contract asset</w:t>
            </w:r>
          </w:p>
        </w:tc>
        <w:tc>
          <w:tcPr>
            <w:tcW w:w="2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license revenue</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9,622</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recognized $0.8 million and $0.2 million of revenue based on labor hours expended by the Company on its Manufacturing Obligations during the three months ended March 31, 2025 and 2024, respectively.</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31, 2025, the balance of the deferred license revenue was $11.6 million, which, in accordance with ASC 210-20, was partially offset by the contract asset associated with the manufacturing cost reimbursement of $2.0 million, resulting in a net deferred license revenue liability of $9.6 million.</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 The Company recognized amortization expense of less than $0.1 million for both the three months ended March 31, 2025 and 2024, respectively.</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Barinthus Biotherapeutics plc</w:t>
      </w:r>
    </w:p>
    <w:p>
      <w:pPr>
        <w:spacing w:after="0" w:line="20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July 2021, the Company entered into a clinical collaboration agreement with Barinthus Biotherapeutics plc (Barinthus), formerly Vaccitech plc, to evaluate imdusiran followed by Barinthus’ VTP-300, an HBV immunotherapy, and ongoing nucleos(t)ide analogue therapy in patients with cHBV. This clinical trial was amended to include a treatment arm with the addition of an approved PD-1 monoclonal antibody inhibitor, nivolumab (Opdivo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responsible for managing this Phase 2a proof-of-concept clinical trial, subject to oversight by a joint development committee comprised of representatives from the Company and Barinthus. The Company and Barinthus retain full rights to their respective product candidates and will split all costs associated with the clinical trial. The Company incurred $0.4 million and $0.5 million of expenses, net of Barinthus’s 50% share, during the three months ended March 31, 2025 and 2024, respectively, and reflected those costs in research and development in the condensed consolidated statements of operations and comprehensive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Royalty Entitlements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Alnylam Pharmaceuticals, Inc. and Acuitas Therapeutics,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two royalty entitlements to Alnylam’s global net sales of ONPATTRO.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6" w:name="page17"/>
    <w:bookmarkEnd w:id="16"/>
    <w:p>
      <w:pPr>
        <w:jc w:val="both"/>
        <w:spacing w:after="0" w:line="244" w:lineRule="auto"/>
        <w:rPr>
          <w:sz w:val="20"/>
          <w:szCs w:val="20"/>
          <w:color w:val="auto"/>
        </w:rPr>
      </w:pPr>
      <w:r>
        <w:rPr>
          <w:rFonts w:ascii="Times New Roman" w:cs="Times New Roman" w:eastAsia="Times New Roman" w:hAnsi="Times New Roman"/>
          <w:sz w:val="14"/>
          <w:szCs w:val="14"/>
          <w:color w:val="auto"/>
        </w:rPr>
        <w:t>In 2012, the Company entered into the LNP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it fails to collect any such future royalties. If this royalty entitlement reverts to the Company, it has the potential to provide an active royalty stream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to be otherwise monetized again in full or in part. From the inception of the royalty sale through March 31, 2025, an aggregate of $25.3 million of royalties have been earned by OMERS.</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also is receiving a second royalty interest of 0.75% to 1.125% on global net sales of ONPATTRO, with 0.75% applying to sales greater than $500 million, originating from a settlement agreement and subsequent license agreement with Acuitas. This royalty entitlement from Acuitas has been retained by the Company and was not part of the royalty entitlement sale to OMERS.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Revenues are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80" w:type="dxa"/>
            <w:vAlign w:val="bottom"/>
            <w:tcBorders>
              <w:bottom w:val="single" w:sz="8" w:color="auto"/>
            </w:tcBorders>
          </w:tcPr>
          <w:p>
            <w:pPr>
              <w:spacing w:after="0"/>
              <w:rPr>
                <w:sz w:val="13"/>
                <w:szCs w:val="13"/>
                <w:color w:val="auto"/>
              </w:rPr>
            </w:pPr>
          </w:p>
        </w:tc>
      </w:tr>
      <w:tr>
        <w:trPr>
          <w:trHeight w:val="154"/>
        </w:trPr>
        <w:tc>
          <w:tcPr>
            <w:tcW w:w="774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50"/>
        </w:trPr>
        <w:tc>
          <w:tcPr>
            <w:tcW w:w="7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80" w:type="dxa"/>
            <w:vAlign w:val="bottom"/>
            <w:gridSpan w:val="3"/>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3"/>
                <w:szCs w:val="13"/>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collaborations and licenses</w:t>
            </w:r>
          </w:p>
        </w:tc>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0"/>
        </w:trPr>
        <w:tc>
          <w:tcPr>
            <w:tcW w:w="7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Acuitas Therapeutics, Inc.</w:t>
            </w:r>
          </w:p>
        </w:tc>
        <w:tc>
          <w:tcPr>
            <w:tcW w:w="980" w:type="dxa"/>
            <w:vAlign w:val="bottom"/>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40" w:type="dxa"/>
            <w:vAlign w:val="bottom"/>
          </w:tcPr>
          <w:p>
            <w:pPr>
              <w:spacing w:after="0"/>
              <w:rPr>
                <w:sz w:val="15"/>
                <w:szCs w:val="15"/>
                <w:color w:val="auto"/>
              </w:rPr>
            </w:pPr>
          </w:p>
        </w:tc>
        <w:tc>
          <w:tcPr>
            <w:tcW w:w="72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r>
      <w:tr>
        <w:trPr>
          <w:trHeight w:val="18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Qilu Pharmaceutical Co., Ltd.</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royalty revenue</w:t>
            </w: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Alnylam Pharmaceuticals, Inc.</w:t>
            </w:r>
          </w:p>
        </w:tc>
        <w:tc>
          <w:tcPr>
            <w:tcW w:w="9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r>
      <w:tr>
        <w:trPr>
          <w:trHeight w:val="17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980" w:type="dxa"/>
            <w:vAlign w:val="bottom"/>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40" w:type="dxa"/>
            <w:vAlign w:val="bottom"/>
          </w:tcPr>
          <w:p>
            <w:pPr>
              <w:spacing w:after="0"/>
              <w:rPr>
                <w:sz w:val="15"/>
                <w:szCs w:val="15"/>
                <w:color w:val="auto"/>
              </w:rPr>
            </w:pPr>
          </w:p>
        </w:tc>
        <w:tc>
          <w:tcPr>
            <w:tcW w:w="72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Shareholders’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share capital</w:t>
      </w:r>
    </w:p>
    <w:p>
      <w:pPr>
        <w:spacing w:after="0" w:line="9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Company’s authorized share capital consists of an unlimited number of common shares and preferred shares, without par value, and 1,164,000 Series A participating convertible preferred shares, without par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Open Market Sale Agreement</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Effective March 26, 2025, the Company terminated its Open Market Sale Agreement with Jefferies LLC (Jefferies) dated December 20, 2018, as amended (the Sale Agreement), under which the Company could offer and sell common shares, from time to time.</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Prior to the termination of the Sale Agreement, the Company did not issue any common shares pursuant to the Sale Agreement during the three months ended March 31, 2025. During the three months ended March 31, 2024, the Company issued 8,666,077 common shares pursuant to the Sale Agreement, resulting in net proceeds of $21.8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table below summarizes information about the Company’s stock-based compensation for the three months ended March 31, 2025 and 2024 and the expense recognized in the condensed consolidated statements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17" w:name="page18"/>
    <w:bookmarkEnd w:id="17"/>
    <w:tbl>
      <w:tblPr>
        <w:tblLayout w:type="fixed"/>
        <w:tblInd w:w="4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8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r>
      <w:tr>
        <w:trPr>
          <w:trHeight w:val="150"/>
        </w:trPr>
        <w:tc>
          <w:tcPr>
            <w:tcW w:w="8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r>
      <w:tr>
        <w:trPr>
          <w:trHeight w:val="17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8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Options granted during period</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3,943,722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3,738,800</w:t>
            </w:r>
          </w:p>
        </w:tc>
        <w:tc>
          <w:tcPr>
            <w:tcW w:w="100" w:type="dxa"/>
            <w:vAlign w:val="bottom"/>
          </w:tcPr>
          <w:p>
            <w:pPr>
              <w:spacing w:after="0"/>
              <w:rPr>
                <w:sz w:val="15"/>
                <w:szCs w:val="15"/>
                <w:color w:val="auto"/>
              </w:rPr>
            </w:pPr>
          </w:p>
        </w:tc>
      </w:tr>
      <w:tr>
        <w:trPr>
          <w:trHeight w:val="180"/>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 average exercise price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5"/>
                <w:szCs w:val="15"/>
                <w:color w:val="auto"/>
              </w:rPr>
            </w:pPr>
          </w:p>
        </w:tc>
      </w:tr>
      <w:tr>
        <w:trPr>
          <w:trHeight w:val="169"/>
        </w:trPr>
        <w:tc>
          <w:tcPr>
            <w:tcW w:w="8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stock units (RSUs)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stock units granted during period</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901,900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1,316,200</w:t>
            </w:r>
          </w:p>
        </w:tc>
        <w:tc>
          <w:tcPr>
            <w:tcW w:w="100" w:type="dxa"/>
            <w:vAlign w:val="bottom"/>
            <w:shd w:val="clear" w:color="auto" w:fill="CCEEFF"/>
          </w:tcPr>
          <w:p>
            <w:pPr>
              <w:spacing w:after="0"/>
              <w:rPr>
                <w:sz w:val="15"/>
                <w:szCs w:val="15"/>
                <w:color w:val="auto"/>
              </w:rPr>
            </w:pPr>
          </w:p>
        </w:tc>
      </w:tr>
      <w:tr>
        <w:trPr>
          <w:trHeight w:val="180"/>
        </w:trPr>
        <w:tc>
          <w:tcPr>
            <w:tcW w:w="8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 date fair value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5"/>
                <w:szCs w:val="15"/>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 compensation expense</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0"/>
        </w:trPr>
        <w:tc>
          <w:tcPr>
            <w:tcW w:w="8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15"/>
                <w:szCs w:val="15"/>
                <w:color w:val="auto"/>
              </w:rPr>
            </w:pPr>
          </w:p>
        </w:tc>
      </w:tr>
      <w:tr>
        <w:trPr>
          <w:trHeight w:val="180"/>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shd w:val="clear" w:color="auto" w:fill="CCEEFF"/>
          </w:tcPr>
          <w:p>
            <w:pPr>
              <w:spacing w:after="0"/>
              <w:rPr>
                <w:sz w:val="15"/>
                <w:szCs w:val="15"/>
                <w:color w:val="auto"/>
              </w:rPr>
            </w:pPr>
          </w:p>
        </w:tc>
      </w:tr>
      <w:tr>
        <w:trPr>
          <w:trHeight w:val="175"/>
        </w:trPr>
        <w:tc>
          <w:tcPr>
            <w:tcW w:w="8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stock compensation expense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5"/>
                <w:szCs w:val="15"/>
                <w:color w:val="auto"/>
              </w:rPr>
            </w:pPr>
          </w:p>
        </w:tc>
      </w:tr>
    </w:tbl>
    <w:p>
      <w:pPr>
        <w:spacing w:after="0" w:line="2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Segment Reporting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one reportable segment. The Company’s chief operating decision maker is the Chief Executive Officer and President. The accounting policies of the single segment are the same as those described in the summary of significant accounting policies. The chief operating decision maker assesses performance for the single segment and decides how to allocate resources based on net loss that also is reported on the condensed and consolidated statements of operations and comprehensive loss as consolidated net loss. The chief operating decision maker uses net loss to monitor budget versus actual results and to evaluate the overall cash burn of the business.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shd w:val="clear" w:color="auto" w:fill="CCEEFF"/>
          </w:tcPr>
          <w:p>
            <w:pPr>
              <w:spacing w:after="0"/>
              <w:rPr>
                <w:sz w:val="14"/>
                <w:szCs w:val="14"/>
                <w:color w:val="auto"/>
              </w:rPr>
            </w:pPr>
          </w:p>
        </w:tc>
        <w:tc>
          <w:tcPr>
            <w:tcW w:w="2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shd w:val="clear" w:color="auto" w:fill="CCEEFF"/>
          </w:tcPr>
          <w:p>
            <w:pPr>
              <w:spacing w:after="0"/>
              <w:rPr>
                <w:sz w:val="14"/>
                <w:szCs w:val="14"/>
                <w:color w:val="auto"/>
              </w:rPr>
            </w:pPr>
          </w:p>
        </w:tc>
      </w:tr>
      <w:tr>
        <w:trPr>
          <w:trHeight w:val="180"/>
        </w:trPr>
        <w:tc>
          <w:tcPr>
            <w:tcW w:w="82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5"/>
                <w:szCs w:val="15"/>
                <w:color w:val="auto"/>
              </w:rPr>
            </w:pPr>
          </w:p>
        </w:tc>
      </w:tr>
      <w:tr>
        <w:trPr>
          <w:trHeight w:val="192"/>
        </w:trPr>
        <w:tc>
          <w:tcPr>
            <w:tcW w:w="8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6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80" w:type="dxa"/>
            <w:vAlign w:val="bottom"/>
          </w:tcPr>
          <w:p>
            <w:pPr>
              <w:spacing w:after="0"/>
              <w:rPr>
                <w:sz w:val="15"/>
                <w:szCs w:val="15"/>
                <w:color w:val="auto"/>
              </w:rPr>
            </w:pPr>
          </w:p>
        </w:tc>
        <w:tc>
          <w:tcPr>
            <w:tcW w:w="84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 employee expense, lab supplies and overhead</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w:t>
            </w: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Imdusiran IM-PROVE I, II &amp; III clinical trials expense</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AB-101-001 Phase 1a/1b clinical trial expense</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w:t>
            </w: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early research and development programs expense</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w:t>
            </w: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Restructuring expense</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segment expense </w:t>
            </w:r>
            <w:r>
              <w:rPr>
                <w:rFonts w:ascii="Times New Roman" w:cs="Times New Roman" w:eastAsia="Times New Roman" w:hAnsi="Times New Roman"/>
                <w:sz w:val="18"/>
                <w:szCs w:val="18"/>
                <w:color w:val="auto"/>
                <w:vertAlign w:val="superscript"/>
              </w:rPr>
              <w:t>(1)</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w:t>
            </w:r>
          </w:p>
        </w:tc>
      </w:tr>
      <w:tr>
        <w:trPr>
          <w:trHeight w:val="1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net loss</w:t>
            </w:r>
          </w:p>
        </w:tc>
        <w:tc>
          <w:tcPr>
            <w:tcW w:w="86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(17,875)</w:t>
            </w: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 and reconciling items</w:t>
            </w:r>
          </w:p>
        </w:tc>
        <w:tc>
          <w:tcPr>
            <w:tcW w:w="86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loss</w:t>
            </w:r>
          </w:p>
        </w:tc>
        <w:tc>
          <w:tcPr>
            <w:tcW w:w="860" w:type="dxa"/>
            <w:vAlign w:val="bottom"/>
            <w:tcBorders>
              <w:top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(17,875)</w:t>
            </w:r>
          </w:p>
        </w:tc>
      </w:tr>
    </w:tbl>
    <w:p>
      <w:pPr>
        <w:spacing w:after="0" w:line="272" w:lineRule="exact"/>
        <w:rPr>
          <w:sz w:val="20"/>
          <w:szCs w:val="20"/>
          <w:color w:val="auto"/>
        </w:rPr>
      </w:pPr>
    </w:p>
    <w:p>
      <w:pPr>
        <w:ind w:left="460" w:hanging="200"/>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expense includes the change in the fair value of contingent consideration, non-cash interest expenses and foreign currency exchange gains and losses.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7"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18" w:name="page19"/>
    <w:bookmarkEnd w:id="18"/>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Restructuring</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March 2025, the Board took action to reduce the Company’s workforce by 57%, resulting in a total workforce after reductions of 19 employees. The Board also decided to exit the Company’s corporate headquarters in Warminster, Pennsylvania and to discontinue in-house scientific research. In connection with these actions, the Company incurred a one-time restructuring charge in the first quarter of 2025 of $12.4 million, which includes approximately $6.0 million of cash severance and continued benefits paid, $2.3 million of non-cash expense related to the modification of equity awards, non-cash impairment charges for leasehold improvements and laboratory equipment of $1.9 million and $0.9 million, respectively, $0.9 million related to impairment of the right-of-use asset associated with the lease of the Company’s corporate headquarters and a $0.4 million accrual of lease-related operating expenses.</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March 31, 2025, there was $5.6 million of accrued restructuring costs for severance payments and a $0.4 million accrual of lease-related operating expenses included in accounts payable and accrued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2024 and our unaudited condensed consolidated financial statements for the three months ended March 31, 2025. Our consolidated financial statements have been prepared in accordance with United States generally accepted accounting principles and are presented in U.S. dollars.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REFERENCES TO ARBUTUS BIOPHARMA CORPORATION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Throughout this Quarterly Report on Form 10-Q (Form 10-Q), the “Company,” “Arbutus,” “we,” “us,” and “our,” except where the context requires otherwise, refer to Arbutus Biopharma Corporation and its consolidated subsidiary.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162"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strategy, future operations, preclinical studies, clinical trials, and prospects;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plans and expectations regarding our patent infringement lawsuits against Moderna and Pfizer/BioNTech;</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our product candidates to achieve their desired or anticipated outcomes;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cost, timing and results of our clinical development plans and clinical trials, including our clinical collaborations with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commercialization of a curative combination regimen for chronic hepatitis B infection, a disease of the liver caused by the hepatitis B virus;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aim to prevent complications of disease progression, to decrease hepatitis B virus burden by minimizing patient stigma and to address the need for finite and more efficacious hepatitis B virus treatments that further improve long-term outcomes and reduce associated healthcare costs;</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of our product candidates to improve upon the standard of care and contribute to a functional curative combination treatment regimen;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necessary regulatory approvals;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adequate financing through a combination of financing activities and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returns and benefits from strategic alliances, licensing agreements, and development collaborations with third parties, and the timing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technology licensed to third parties, and the timing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revenue and expense fluctuation and guidance;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of announcing data from our ongoing clinical trials;</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net cash burn; and</w:t>
      </w:r>
    </w:p>
    <w:p>
      <w:pPr>
        <w:spacing w:after="0" w:line="7" w:lineRule="exact"/>
        <w:rPr>
          <w:rFonts w:ascii="Times New Roman" w:cs="Times New Roman" w:eastAsia="Times New Roman" w:hAnsi="Times New Roman"/>
          <w:sz w:val="14"/>
          <w:szCs w:val="14"/>
          <w:color w:val="auto"/>
        </w:rPr>
      </w:pPr>
    </w:p>
    <w:p>
      <w:pPr>
        <w:ind w:left="500" w:hanging="240"/>
        <w:spacing w:after="0" w:line="235" w:lineRule="auto"/>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our expectation for how long we can fund our operations with our existing cash resources,</w:t>
      </w:r>
    </w:p>
    <w:p>
      <w:pPr>
        <w:spacing w:after="0" w:line="1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well as other statements relating to our future operations, financial performance or financial condition, prospects or other future events. Forward-looking statements appear primarily in the sections of this Form 10-Q entitled “Part I, Item 1-Financial Statements (Unaudited),” and “Part I, Item 2-Management’s Discussion and Analysis of Financial Condition and Results of Operations.”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2024 (the Form 10-K), and in particular the risks and uncertainties discussed under “Item 1A-Risk Factors” of this Form 10-Q and the Form 10-K. As a result, you should not place undue reliance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9" w:right="319" w:bottom="1440" w:gutter="0" w:footer="0" w:header="0"/>
        </w:sectPr>
      </w:pPr>
    </w:p>
    <w:bookmarkStart w:id="20" w:name="page21"/>
    <w:bookmarkEnd w:id="20"/>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 (the SEC).</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foregoing cautionary statements are intended to qualify all forward-looking statements wherever they may appear in this Form 10-Q. For all forward-looking statements, we claim protection of the safe harbor contained in the Private Securities Litigation Reform Act of 1995.</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Form 10-Q also contains estimates, projections and other information concerning our industry, our business,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231140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Arbutus Biopharma Corporation (“Arbutus”, the “Company”, “we”, “us”, and “our”) is a clinical-stage biopharmaceutical company focused on infectious disease. We are currently developing imdusiran (AB-729), our proprietary, GalNAc-conjugated, subcutaneously-delivered ribonucleic acid interference (RNAi) therapeutic, and AB-101, our proprietary oral PD-L1 inhibitor, for the treatment of chronic hepatitis B (cHBV).  </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continue to protect and defend our intellectual property, which is the subject of our ongoing lawsuits against Moderna Therapeutics, Inc. (Moderna) and against Pfizer Inc. and BioNTech SE (collectively, Pfizer/BioNTech) for their use of our patented lipid nanoparticle (LNP) delivery technology in their COVID-19 messenger ribonucleic acid interference (mRNA)-LNP vaccines. With respect to the Moderna lawsuit in the United States, a trial date has been set for September 29, 2025. With respect to the Pfizer/BioNTech lawsuit, the claim construction hearing occurred in December 2024. The court is expected to provide its ruling on the Pfizer/BioNTech lawsuit claim construction and issue a further scheduling order, including the date for trial, in 2025. On March 3, 2025, we announced that, along with Genevant Sciences Ltd. (Genevant), we have filed five international lawsuits against Moderna in connection with the use of our LNP technology in Moderna’s COVID-19 mRNA-LNP vaccines and, in the Unified Patent Court, also Moderna’s respiratory syncytial virus (RSV) vaccines.</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2024, we streamlined the organization to focus our efforts on advancing the clinical development of imdusiran and AB-101, and therefore ceased all discovery efforts, discontinued our IM-PROVE III clinical trial and reduced our workforce by 40%. In the first quarter of 2025, we announced the appointment of five new members of our Board of Directors (our Board) to replace all of the former directors, as well as the appointment of a new President, Chief Executive Officer and Chairperson of our Board and a new Chief Financial Officer. Additionally, our Board took action to reduce our workforce by an additional 57% resulting in a total workforce after reductions of 19 employees. Our Board also decided to exit our corporate headquarters in Warminster, Pennsylvania and to discontinue in-house scientific research. In connection with these actions, we incurred a one-time restructuring charge in the first quarter of 2025 of $12.4 million. With these organizational changes and our ongoing cost management efforts, we expect to significantly reduce our net cash burn in 2025 when compared to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strategy is focused on maximizing opportunities for our cHBV development programs and our in-house developed LNP delivery technology.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LNP delivery technology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February 28, 2022 and April 4, 2023, we filed patent infringement lawsuits in the United States against Moderna and Pfizer/BioNTech, respectively, seeking compensation for their unlicensed use of our patented technologies in their COVID-19 mRNA-LNP vaccines. It is well established in the scientific literature that the most significant technological hurdle to developing and deploying medicines using mRNA is engineering a safe and effective way to deliver the mRNA to human cells. Scientists at Arbutus and Genevant have spent years developing and refining LNP delivery technology, which has been licensed for various applications to many different third parties. Our and Genevant’s LNP technology relies on microscopic particles built from four carefully selected types of fat-like molecules to shelter and protect ribonucleic acid (RNA) molecules. With this technology, the RNA can travel through the human body to a target cell and through the target cell’s membrane before releasing the RNA. Without this crucial delivery technology, the RNA would quickly degrade in the body and be ineffective. We remain committed to taking all legal actions necessary to defend and protect our intellectual property.</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With respect to the Moderna lawsuit in the United States, the claim construction hearing occurred on February 8, 2024. On April 3, 2024, the court provided its claim construction ruling in which it construed the disputed claim terms and agreed with our position on most of the disputed claim terms. A trial date for the Moderna lawsuit in the United States has been set for September 29, 2025. With respect to the Pfizer/BioNTech lawsuit, the claim construction hearing occurred on December 18, 2024. The court is expected to provide its ruling on the claim construction and issue a further scheduling order, including the date for trial, in 2025. On March 3, 2025, we announced that, along with Genevant, we have filed five international lawsuits against Moderna in connection with Moderna’s use of our LNP technology in Moderna’s COVID-19 mRNA-LNP vaccines and, in the Unified Patent Court, also Moderna’s RSV vaccines.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cHBV programs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current HBV strategy is to develop a functional cure for patients with cHBV infection with imdusiran as a potential cornerstone in a combination therapy. We believe that a combination of compounds that can suppress hepatitis B virus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2" w:name="page23"/>
    <w:bookmarkEnd w:id="22"/>
    <w:p>
      <w:pPr>
        <w:jc w:val="both"/>
        <w:spacing w:after="0" w:line="264" w:lineRule="auto"/>
        <w:rPr>
          <w:sz w:val="20"/>
          <w:szCs w:val="20"/>
          <w:color w:val="auto"/>
        </w:rPr>
      </w:pPr>
      <w:r>
        <w:rPr>
          <w:rFonts w:ascii="Times New Roman" w:cs="Times New Roman" w:eastAsia="Times New Roman" w:hAnsi="Times New Roman"/>
          <w:sz w:val="14"/>
          <w:szCs w:val="14"/>
          <w:color w:val="auto"/>
        </w:rPr>
        <w:t>deoxyribonucleic acid (HBV DNA) replication and hepatitis B surface antigen (HBsAg) expression as well as boost patients’ HBV-specific immune response could address the most important elements to achieving a functional cure. Functional cure is defined as sustained HBsAg loss and HBV DNA less than the lower limit of quantification (&lt;LLOQ) after 24 weeks off treatment, with or without anti-hepatitis B surface antibodies (anti-HBs). By providing a functional cure for patients with cHBV, we aim to prevent complications of disease progression, to decrease HBV burden by minimizing patient stigma and to address the need for finite and more efficacious HBV treatments that further improve long-term outcomes and reduce associated healthcare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HBV product pipeline includes the following:</w:t>
      </w:r>
    </w:p>
    <w:p>
      <w:pPr>
        <w:spacing w:after="0" w:line="200" w:lineRule="exact"/>
        <w:rPr>
          <w:sz w:val="20"/>
          <w:szCs w:val="20"/>
          <w:color w:val="auto"/>
        </w:rPr>
      </w:pPr>
    </w:p>
    <w:p>
      <w:pPr>
        <w:jc w:val="both"/>
        <w:ind w:left="520" w:hanging="260"/>
        <w:spacing w:after="0" w:line="261"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is our proprietary, GalNAc-conjugated, subcutaneously-delivered RNAi therapeutic product candidate that suppresses all HBV antigens, including HBsAg, which is thought to be a key prerequisite to enable reawakening of a patient’s immune system to respond to HBV. Over 250 patients with cHBV infection have been dosed with imdusiran in our Phase 1 and Phase 2a clinical trials. Clinical data generated thus far has shown imdusiran provides meaningful reductions in HBsAg and HBV DNA and leads to functional cure in some patients, while being generally safe and well-tolerated. To date, eight patients have reached functional cure, off all treatment, in combination therapy that includes imdusiran, including two patients who did not receive any pegylated interferon alfa-2a (IFN) as part of the combination therapy.</w:t>
      </w:r>
    </w:p>
    <w:p>
      <w:pPr>
        <w:spacing w:after="0" w:line="164"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8"/>
        </w:numPr>
        <w:rPr>
          <w:rFonts w:ascii="Arial" w:cs="Arial" w:eastAsia="Arial" w:hAnsi="Arial"/>
          <w:sz w:val="14"/>
          <w:szCs w:val="14"/>
          <w:color w:val="auto"/>
        </w:rPr>
      </w:pPr>
      <w:r>
        <w:rPr>
          <w:rFonts w:ascii="Times New Roman" w:cs="Times New Roman" w:eastAsia="Times New Roman" w:hAnsi="Times New Roman"/>
          <w:sz w:val="14"/>
          <w:szCs w:val="14"/>
          <w:color w:val="auto"/>
        </w:rPr>
        <w:t>AB-101 is our proprietary oral PD-L1 inhibitor that has the potential to reawaken patients’ HBV-specific immune response by inhibiting PD-L1. AB-101 is currently in a Phase 1a/1b clinical trial (AB-101-001) evaluating the safety, tolerability, pharmacokinetics (PK), and pharmacodynamics (PD) of single- and multiple-ascending oral doses in healthy subjects and patients with cHBV infection. The data from healthy subjects in Parts 1 and 2 and cHBV patients to date in Part 3 of this clinical trial have showed that AB-101 was generally well-tolerated with evidence of high receptor occupancy.</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To help position imdusiran as a potential cornerstone in a combination therapy, we fully enrolled two Phase 2a clinical trials that combined imdusiran with other agents. The intent of these trials was to initially lower HBsAg levels with imdusiran and then administer a complementary agent, an immune modulator or a therapeutic vaccine, to further lower HBsAg levels and promote anti-HBV immunity. We believe that if we can lower HBsAg and promote immunity, we may achieve sustained HBsAg loss and HBV DNA &lt;LLOQ, potentially leading to a functional cure in many patients with cHBV.</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date, we have reported a total of eight patients with cHBV who have been functionally cured following treatment with imdusiran and ongoing NA therapy in combination with either IFN or with low dose nivolumab plus an immunotherapeutic. Two of the patients who reached functional cure did not receive any IFN as part of the combination therapy. Seven of the eight patients who achieved functional cure had HBsAg less than 1000 IU/mL at baseline. According to the literature, patients with HBsAg levels &lt;1000 IU/mL represent a significant portion of the cHBV population.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imdusiran development program includes the following two Phase 2a clinical trials:</w:t>
      </w:r>
    </w:p>
    <w:p>
      <w:pPr>
        <w:spacing w:after="0" w:line="94" w:lineRule="exact"/>
        <w:rPr>
          <w:sz w:val="20"/>
          <w:szCs w:val="20"/>
          <w:color w:val="auto"/>
        </w:rPr>
      </w:pPr>
    </w:p>
    <w:p>
      <w:pPr>
        <w:jc w:val="both"/>
        <w:ind w:left="520" w:hanging="260"/>
        <w:spacing w:after="0" w:line="245"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in combination with Peg-IFNα-2a (IFN), a standard-of-care immunomodulator, and ongoing standard-of-care nucleoside analogue (NA) therapy in patients with cHBV infection (IM-PROVE I). At the American Association for the Study of Liver Diseases (AASLD) – The Liver Meeting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November 2024, we presented new data from our IM-PROVE I Phase 2a clinical trial showing that six doses of imdusiran and 24 weeks of IFN added to ongoing NA therapy led to a functional cure rate of 50% (3/6) in HBeAg-negative patients with baseline HBsAg levels less than 1000 IU/mL, and an overall functional cure rate of 25% (3/12). Additionally, three cHBV patients from other cohorts in the IM-PROVE I clinical trial achieved functional cure. Those patients who achieved a functional cure also seroconverted. These data from the IM-PROVE I trial suggest that the combination of imdusiran, 24 weeks of IFN and NA therapy was generally safe and well-tolerated.</w:t>
      </w:r>
    </w:p>
    <w:p>
      <w:pPr>
        <w:spacing w:after="0" w:line="70" w:lineRule="exact"/>
        <w:rPr>
          <w:rFonts w:ascii="Times New Roman" w:cs="Times New Roman" w:eastAsia="Times New Roman" w:hAnsi="Times New Roman"/>
          <w:sz w:val="14"/>
          <w:szCs w:val="14"/>
          <w:color w:val="auto"/>
        </w:rPr>
      </w:pPr>
    </w:p>
    <w:p>
      <w:pPr>
        <w:jc w:val="both"/>
        <w:ind w:left="520" w:hanging="260"/>
        <w:spacing w:after="0" w:line="241"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in combination with VTP-300, Barinthus Biotherapeutics plc’s (Barinthus) HBV immunotherapy, ongoing NA therapy in patients with cHBV infection, including a cohort with the addition of low dose nivolumab (Opdivo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(IM-PROVE II). At the European Association for the Study of the Liver (EASL) Congress in May 2025, we presented data from this clinical trial showing that 25% (2/8) of the patients with low dose nivolumab added to the treatment regimen and with baseline HBsAg levels less than 1000 IU/mL reached functional cure. These data from the IM-PROVE II trial suggest that the combination of imdusiran, VTP-300, NA therapy and low dose nivolumab was generally safe and well-tolerated.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Our Product Candidates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pipeline consists of two product candidates that are designed to suppress HBV DNA, reduce HBsAg and/or boost HBV-specific immune responses,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14605</wp:posOffset>
            </wp:positionV>
            <wp:extent cx="3166745" cy="1791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66745"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continue to explore expansion opportunities for our pipeline through potential strategic alliances.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RNAi therapeutic (imdusiran, AB-729)</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RNAi therapeutics represent a significant advancement in drug development. RNAi therapeutics utilize a natural pathway within cells to effectively silence genes by eliminating the disease-causing proteins that they code for. We are developing an RNAi therapeutic, imdusiran (AB-729), that is designed to reduce HBsAg and other HBV antigen expression in people with cHBV infection. Reducing HBsAg is widely believed to be a key prerequisite to enable a patient’s immune system to reawaken and respond against the virus.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Imdusiran (AB-729) has the following advantages over other RNAi therapeutics in development for cHBV infection:</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  </w:t>
      </w:r>
      <w:r>
        <w:rPr>
          <w:rFonts w:ascii="Times New Roman" w:cs="Times New Roman" w:eastAsia="Times New Roman" w:hAnsi="Times New Roman"/>
          <w:sz w:val="14"/>
          <w:szCs w:val="14"/>
          <w:color w:val="auto"/>
        </w:rPr>
        <w:t>Targeted to hepatocytes using our proprietary covalently conjugated GalNAc delivery technology which provides highly efficient liver-targeted uptake and enables subcutaneous dosing.</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Unique nucleotide sequence that is single trigger and targets all HBV transcripts including HBx from cccDNA and integrated DNA.</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Specific chemical modifications that reduce off-target effects while maintaining potency and providing durable liver exposure.</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Delivered at a lower dose and less frequently.</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Immune activation properties with HBV-specific T-cell immune restoration and a decrease in exhausted T-cells in key responder patients.</w:t>
      </w:r>
    </w:p>
    <w:p>
      <w:pPr>
        <w:spacing w:after="0" w:line="59" w:lineRule="exact"/>
        <w:rPr>
          <w:sz w:val="20"/>
          <w:szCs w:val="20"/>
          <w:color w:val="auto"/>
        </w:rPr>
      </w:pPr>
    </w:p>
    <w:p>
      <w:pPr>
        <w:ind w:left="520" w:hanging="255"/>
        <w:spacing w:after="0" w:line="244" w:lineRule="auto"/>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In combination with IFN and NA therapy, has provided the highest functional cure rates in cHBV patients to date with a 50% (3/6) functional cure rate in patients with HBsAg&lt;1000 IU/mL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at baseline.</w:t>
      </w:r>
    </w:p>
    <w:p>
      <w:pPr>
        <w:spacing w:after="0" w:line="40" w:lineRule="exact"/>
        <w:rPr>
          <w:sz w:val="20"/>
          <w:szCs w:val="20"/>
          <w:color w:val="auto"/>
        </w:rPr>
      </w:pPr>
    </w:p>
    <w:p>
      <w:pPr>
        <w:ind w:left="520" w:hanging="255"/>
        <w:spacing w:after="0" w:line="227" w:lineRule="auto"/>
        <w:rPr>
          <w:sz w:val="20"/>
          <w:szCs w:val="20"/>
          <w:color w:val="auto"/>
        </w:rPr>
      </w:pPr>
      <w:r>
        <w:rPr>
          <w:rFonts w:ascii="Arial" w:cs="Arial" w:eastAsia="Arial" w:hAnsi="Arial"/>
          <w:sz w:val="17"/>
          <w:szCs w:val="17"/>
          <w:color w:val="auto"/>
        </w:rPr>
        <w:t xml:space="preserve">– </w:t>
      </w:r>
      <w:r>
        <w:rPr>
          <w:rFonts w:ascii="Times New Roman" w:cs="Times New Roman" w:eastAsia="Times New Roman" w:hAnsi="Times New Roman"/>
          <w:sz w:val="14"/>
          <w:szCs w:val="14"/>
          <w:color w:val="auto"/>
        </w:rPr>
        <w:t>Achieved a 25% (2/8) functional cure rate in patients with HBsAg&lt;1000 IU/mL at baseline in an IFN-free treatment regimen consisting of imdusiran, VTP-300, ongoing NA therapy and low</w:t>
      </w:r>
      <w:r>
        <w:rPr>
          <w:rFonts w:ascii="Arial" w:cs="Arial" w:eastAsia="Arial" w:hAnsi="Arial"/>
          <w:sz w:val="17"/>
          <w:szCs w:val="17"/>
          <w:color w:val="auto"/>
        </w:rPr>
        <w:t xml:space="preserve"> </w:t>
      </w:r>
      <w:r>
        <w:rPr>
          <w:rFonts w:ascii="Times New Roman" w:cs="Times New Roman" w:eastAsia="Times New Roman" w:hAnsi="Times New Roman"/>
          <w:sz w:val="14"/>
          <w:szCs w:val="14"/>
          <w:color w:val="auto"/>
        </w:rPr>
        <w:t>dose nivolumab.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IM-PROVE I Phase 2a proof-of-concept clinical trial evaluating imdusiran in combination with IFN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completed enrollment in IM-PROVE I, a randomized, open label, multicenter Phase 2a proof-of-concept clinical trial investigating the safety and antiviral activity of imdusiran in combination with a short course of IFN and ongoing NA therapy in 43 stably NA-suppressed, HBeAg negative, non-cirrhotic patients with cHBV infection. The primary objective of this trial was to initially lower HBsAg levels with imdusiran and then administer IFN as an immunomodulator to promote anti-HBV</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5" w:right="31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4"/>
          <w:szCs w:val="14"/>
          <w:color w:val="auto"/>
        </w:rPr>
        <w:t>immune reawakening. We believe that if we can lower HBsAg and promote immune reawakening, we may achieve sustained HBsAg loss and HBV DNA &lt;LLOQ, potentially leading to a functional cure. After 24-weeks of dosing with imdusiran (60mg every 8 weeks, 4 doses) plus ongoing NA therapy, patients were randomized into one of four cohorts to receive a short course of IFN plus ongoing NA therapy for either 12 or 24 weeks, with or without up to two additional doses of imdusiran. After completion of the assigned IFN treatment period, all patients remained on NA therapy for the initial 24-week follow-up period, and then discontinued NA treatment, provided they met protocol-defined stopping criteria. Patients who stopped NA therapy entered an intensive follow-up period for 48 weeks.</w:t>
      </w:r>
    </w:p>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Select key data from 12 patients in Cohort A1 of this Phase 2a clinical trial who received 6 doses of imdusiran, 24 weeks of IFN and ongoing NA therapy, as presented at the AASLD – The Liver Meeting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November 2024, include:</w:t>
      </w:r>
    </w:p>
    <w:p>
      <w:pPr>
        <w:spacing w:after="0" w:line="89" w:lineRule="exact"/>
        <w:rPr>
          <w:sz w:val="20"/>
          <w:szCs w:val="20"/>
          <w:color w:val="auto"/>
        </w:rPr>
      </w:pPr>
    </w:p>
    <w:p>
      <w:pPr>
        <w:ind w:left="440" w:hanging="180"/>
        <w:spacing w:after="0"/>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(3/6) of patients with baseline HBsAg &lt;1000 IU/mL achieved a functional cure.</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25% (3/12) of patients achieved a functional cure.</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patients that achieved a functional cure also seroconverted with anti-HBs levels increasing as patients lost HBsAg.</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At the EASL Congress in May 2025, we presented a poster characterizing the demographics and virological markers of the six cHBV patients across dosing cohorts in the IM-PROVE I Phase 2a clinical trial who achieved functional cure. The data showed that HBsAg at baseline was the only apparent marker in common associated with functional cure. In a second poster, we reported that patients who achieved functional cure in the 24-week IFN treatment cohorts experienced HBsAg loss that was associated with transient HBV RNA elevations that were preceded by or coincided with increases in immunological markers.</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data from the IM-PROVE I trial suggest that the combination of imdusiran and 24 weeks of IFN was generally safe and well-tolerated. There were no serious adverse events related to imdusiran, IFN or NA therapy, and no adverse events leading to discontinuation. The most common imdusiran-related treatment emergent adverse events (TEAEs) were transient alanine aminotransferase elevations and injection site bruising. The IFN-related TEAEs were consistent with the known safety profile of IFN.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IM-PROVE II Phase 2a proof-of-concept clinical trial evaluating imdusiran in combination with Barinthus’ VTP-300</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Through a clinical collaboration agreement with Barinthus that we entered into in July 2021, we have completed enrollment in IM-PROVE II, a Phase 2a proof-of-concept clinical trial evaluating the safety, antiviral activity and immunogenicity of a combination treatment with Barinthus’ VTP-300, an HBV immunotherapy, administered after imdusiran in patients with cHBV infection. The initial trial design enrolled 40 NA-suppressed, HBeAg negative or positive, non-cirrhotic cHBV infected patients. The primary objective of this trial was to initially lower HBsAg levels with imdusiran and then administer VTP-300 as an immunomodulator to promote anti-HBV immune reawakening. All patients received imdusiran (60mg every 8 weeks, 4 doses) plus NA therapy for 24 weeks. After week 24, treatment with imdusiran was stopped. Patients continued only on NA therapy and were randomized to receive VTP-300 or placebo at week 26 and week 30. At week 48, all patients were evaluated for eligibility to discontinue NA therapy and are being followed for an additional 24 to 48 weeks. Subsequently, we amended the IM-PROVE II clinical trial protocol to include another cohort that received imdusiran, VTP-300, NA therapy and low dose nivolumab (Opdivo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 approved PD-1 inhibitor in oncology. In this additional cohort, patients received imdusiran (60mg every 8 weeks, 4 doses) plus NA therapy for 24 weeks, followed by administration of VTP-300 plus up to two low doses of nivolumab while remaining on NA therapy. At week 48, all patients were evaluated for eligibility to discontinue NA therapy, and are being followed for an additional 24 to 48 weeks.</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cohort that included low dose nivolumab was the best performing cohort in the IM-PROVE II clinical trial. At the AASLD – The Liver Meeting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November 2024, we presented data from this clinical trial showing that the addition of low dose nivolumab increased rates of HBsAg loss in cHBV patients and that 23% (3/13) of patients who received the treatment regimen with low dose nivolumab achieved HBsAg loss by week 48. At the EASL Congress in May 2025, we presented data showing that 25% (2/8) of patients with low dose nivolumab added to the treatment regimen and with baseline HBsAg&lt;1000 IU/mL reached functional cure. Treatment with imdusiran, VTP-300, NA therapy and low dose nivolumab in this clinical trial was generally safe and well-tolerated. There were no serious adverse events, Grade 3 or 4 adverse events, immune-related adverse events, or discontinuations due to adverse events.</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IM-PROVE II clinical trial is being managed by us, subject to oversight by a joint development committee comprised of representatives from both companies. We and Barinthus retain full rights to our respective product candidates and are splitting all costs associated with the clinical trial. Pursuant to the agreement, the parties could have undertaken a larger Phase 2b clinical trial depending on the results of the initial Phase 2a clinical trial. However, in January 2025, Barinthus announced a shift in its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5" w:name="page26"/>
    <w:bookmarkEnd w:id="25"/>
    <w:p>
      <w:pPr>
        <w:jc w:val="both"/>
        <w:spacing w:after="0" w:line="287" w:lineRule="auto"/>
        <w:rPr>
          <w:sz w:val="20"/>
          <w:szCs w:val="20"/>
          <w:color w:val="auto"/>
        </w:rPr>
      </w:pPr>
      <w:r>
        <w:rPr>
          <w:rFonts w:ascii="Times New Roman" w:cs="Times New Roman" w:eastAsia="Times New Roman" w:hAnsi="Times New Roman"/>
          <w:sz w:val="14"/>
          <w:szCs w:val="14"/>
          <w:color w:val="auto"/>
        </w:rPr>
        <w:t>strategic business focus that included postponing further development of VTP-300 after its ongoing VTP-300 clinical trials have concluded. The parties do not intend to undertake a larger Phase 2b with this combination treatment regimen.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Oral PD-L1 Inhibitor (AB-101)</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PD-L1 inhibitors complement our pipeline of agents and could potentially be an important part of a combination therapy for the treatment of HBV by reawakening the immune system. Highly functional HBV-specific T-cells within our immune system are believed to be required for long-term HBV viral resolution. However, HBV-specific T-cells become functionally defective, and greatly reduced in number during cHBV infection. One approach to boost HBV-specific T-cells is to prevent PD-L1 proteins from binding to PD-1, which would otherwise lead to inhibition of the HBV-specific immune function of T-cells.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AB-101 is our proprietary oral small-molecule PD-L1 inhibitor candidate that we believe will allow for controlled checkpoint blockade while minimizing the systemic safety issues often seen with checkpoint inhibitor antibody therapies. AB-101 is differentiated from monoclonal antibody checkpoint inhibitors such as durvalumab (anti-PD-L1) and nivolumab (anti-PD-1) because it is liver centric, has a much shorter duration of effect in preclinical models (which may provide dosing and safety advantages), and has a novel mechanism of action as it binds to PD-L1 on the surface of cells causing dimerization, internalization and degradation of the PD-L1 protein.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Phase 1a/1b clinical trial to evaluate safety, tolerability and PK/PD of AB-101 (AB-101-001)</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AB-101-001 is a Phase 1a/1b clinical trial designed to investigate the safety, tolerability and PK/PD of single and multiple-ascending oral doses of AB-101 for up to 28 days in healthy subjects and patients with cHBV infection. The trial consists of three parts starting with single ascending doses in healthy subjects, followed by multiple ascending doses in healthy subjects and culminating with multiple doses in patients with cHBV infection. Safety and PK/PD assessments are performed prior to dose escalation in all parts of the clinical trial.</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Part 1 of this clinical trial enrolled five sequential cohorts of eight healthy subjects each (6 active: 2 placebo) receiving a single dose of AB-101 at increasing dose levels. In Part 1, all five evaluable subjects in the 40mg cohort showed evidence of 100% receptor occupancy. Part 2 of this clinical trial enrolled three sequential cohorts of ten healthy subjects that each received 10, 25 or 40 mg of AB-101 (8 active: 2 placebo) daily for seven days. In Part 2, all subjects in the 40mg cohort showed evidence of high receptor occupancy between 74-100%, with six of the eight subjects demonstrating 100% receptor occupancy during the seven-day dosing period. Across Parts 1 and 2, eleven of the thirteen evaluable healthy subjects that received either single or multiple doses of 40mg of AB-101 achieved 100% receptor occupancy. The data from Part 1 and Part 2 showed that AB-101 was well-tolerated with evidence of high receptor occupancy.</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moved into Part 3 of this clinical trial which evaluates repeat doses of AB-101 for 28 days in patients with cHBV. At the EASL Congress in May 2025, we presented data showing that a single dose of 10 mg of AB-101 for 28 days in cHBV patients was well tolerated with PD-L1 receptor occupancy similar to that seen in healthy subjects at this dose. Treatment with AB-101 in Part 3 of this clinical trial was generally safe and well-tolerated. There were no serious adverse events or early discontinuations due to AB-101 and no evidence of liver dysfunction to date. Part 3 of this clinical trial is ongoing.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Collaborations, Royalty Entitlements and Intellectual Property Litigation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Collaboration with Qilu Pharmaceutical Co., Ltd. (Qilu)</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imdusiran, including pharmaceutical products that include imdusiran, for the treatment or prevention of hepatitis B in China, Hong Kong, Macau and Taiwan (Greater China and Taiwan).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partial consideration for the rights granted by us, Qilu paid us a one-time upfront cash payment of $40 million on January 5, 2022 and agreed to pay us up to $245 million, net of withholding taxes, upon the achievement of certain technology transfer, development, regulatory and commercialization milestones. Qilu also agreed to pay us double-digit royalties into the low twenties percent based upon annual net sales of imdusiran in Greater China and Taiwan. The royalties are payable on a product-by-product and region-by-region basis,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6" w:name="page27"/>
    <w:bookmarkEnd w:id="26"/>
    <w:p>
      <w:pPr>
        <w:jc w:val="both"/>
        <w:spacing w:after="0" w:line="259" w:lineRule="auto"/>
        <w:rPr>
          <w:sz w:val="20"/>
          <w:szCs w:val="20"/>
          <w:color w:val="auto"/>
        </w:rPr>
      </w:pPr>
      <w:r>
        <w:rPr>
          <w:rFonts w:ascii="Times New Roman" w:cs="Times New Roman" w:eastAsia="Times New Roman" w:hAnsi="Times New Roman"/>
          <w:sz w:val="14"/>
          <w:szCs w:val="14"/>
          <w:color w:val="auto"/>
        </w:rPr>
        <w:t>Qilu is responsible for all costs related to developing, obtaining regulatory approval for, and commercializing imdusiran for the treatment or prevention of hepatitis B in Greater China and Taiwan. Qilu is required to use commercially reasonable efforts to develop, seek regulatory approval for, and commercialize at least one imdusiran product candidate in Greater China and Taiwan.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imdusiran necessary for Qilu to develop and commercialize in Greater China and Taiwan until we have completed manufacturing technology transfer to Qilu and Qilu has received all approvals required for it or its designated contract manufacturing organization to manufacture imdusiran in Greater China and Taiwan.</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Alnylam Pharmaceuticals, Inc. (Alnylam) and Acuitas Therapeutics, Inc. (Acuitas)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two royalty entitlements to Alnylam’s global net sales of ONPATTRO.</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2012, we entered into a license agreement with Alnylam that entitles Alnylam to develop and commercialize products with our LNP delivery technology. 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it fails to collect any such future royalties. If this royalty entitlement reverts to us, it has the potential to provide an active royalty stream or to be otherwise monetized again in full or in part. From the inception of the royalty sale through March 31, 2025, an aggregate of $25.3 million of royalties have been earned by OMERS.</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have rights to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Genevant Sciences, Ltd.</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April 2018, we entered into an agreement with Roivant Sciences Ltd. (Roivant), our largest shareholder, to launch Genevant, a company focused on nucleic acid- and gene editing-based therapeutics enabled by our LNP and ligand conjugate delivery technologies. We licensed rights to our LNP and ligand conjugate delivery platforms to Genevant outside of HBV, except to the extent certain rights had already been licensed to other third parties (the Genevant License). We retained all rights to our LNP and conjugate delivery platforms for HBV.</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Genevant License, as amended, if a third-party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if Genevant receives proceeds from an action for infringement by any third parties of our intellectual property licensed to Genevant, we would be entitled to receive, after deduction of litigation costs, 20% of the proceeds received by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Genevant or, if less, tiered low single-digit royalties on net sales of the infringing product (inclusive of the proceeds from litigation or settlement, which would be treated as net sales).</w:t>
      </w:r>
    </w:p>
    <w:p>
      <w:pPr>
        <w:spacing w:after="0" w:line="2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Notwithstanding the preceding, in March 2025, we and Genevant agreed that we would be entitled to any award of damages in (or any proceeds of settlement of) certain pending patent litigation against Moderna and certain affiliates that specifically accuses Moderna of infringement related to Moderna’s vaccine for RSV known as mRESVIA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that, in the event there is no such specific allocation to mRESVIA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such award or settlement, the parties will discuss an appropriate allocation in good faith.</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the right to have a non-voting observer attend meetings of Genevant’s Board of Directors.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31, 2025,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Moderna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States: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February 14, 2023, the U.S. Department of Justice filed a Statement of Interest in the action. On February 16, 2023, the court held an Initial Pretrial Conference after which it issued an Order directing the parties and the U.S. Government to submit letters regarding the impact of the Government’s Statement of Interest. On March 10, 2023, the court reaffirmed its denial of Moderna’s motion to dismiss. The claim construction hearing was held on February 8, 2024. On April 3,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Trial is currently scheduled for September 29, 2025. Expert discovery has concluded and the case is entering the summary judgement stage.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International:</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March 3, 2025, we and Genevant filed five international lawsuits against Moderna seeking to enforce patents protecting our patented lipid nanoparticle technology. These five lawsuits target alleged infringing activities by Moderna in 30 countries, including Austria, Belgium, Bulgaria, Denmark, Estonia, Finland, France, Germany, Greece, Hungary, Iceland, Ireland, Italy, Latvia, Lithuania, Luxembourg, Malta, Monaco, Netherlands, Norway, Poland, Portugal, Romania, Slovenia, Spain, Sweden, Switzerland, and Turkey. We and Genevant are seeking monetary relief and injunctions against Moderna’s COVID-19 vaccine and, in the Unified Patent Court, additional Moderna products, which Moderna has represented use the same lipid nanoparticle technology as the COVID-19 vaccine, including its RSV vaccine. Where permitted to do so at this stage, we and Genevant submitted evidence from testing of commercial Moderna product samples sourced from the</w:t>
      </w:r>
    </w:p>
    <w:p>
      <w:pPr>
        <w:spacing w:after="0" w:line="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U.S. and European Union indicating the samples contain lipid nanoparticles falling under the protective scope of the claims of our lipid composition patents. The five international lawsuits are as follows:</w:t>
      </w:r>
    </w:p>
    <w:p>
      <w:pPr>
        <w:spacing w:after="0" w:line="18" w:lineRule="exact"/>
        <w:rPr>
          <w:sz w:val="20"/>
          <w:szCs w:val="20"/>
          <w:color w:val="auto"/>
        </w:rPr>
      </w:pPr>
    </w:p>
    <w:p>
      <w:pPr>
        <w:ind w:left="640" w:hanging="190"/>
        <w:spacing w:after="0" w:line="303" w:lineRule="auto"/>
        <w:tabs>
          <w:tab w:leader="none" w:pos="54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Canada: Federal Court of Canada File No. T-704-25, seeking a permanent injunction and damages or, if Genevant so elects, an accounting of Moderna’s profits, attributable to infringement of Canadian Patent No. 2,721,333.</w:t>
      </w:r>
    </w:p>
    <w:p>
      <w:pPr>
        <w:spacing w:after="0" w:line="7" w:lineRule="exact"/>
        <w:rPr>
          <w:rFonts w:ascii="Times New Roman" w:cs="Times New Roman" w:eastAsia="Times New Roman" w:hAnsi="Times New Roman"/>
          <w:sz w:val="14"/>
          <w:szCs w:val="14"/>
          <w:color w:val="auto"/>
        </w:rPr>
      </w:pPr>
    </w:p>
    <w:p>
      <w:pPr>
        <w:ind w:left="540" w:hanging="90"/>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Japan: Tokyo District Court Case No. 2025 (Wa) 70079, seeking a permanent injunction and reasonable royalty for infringement of Japanese Patent No. 5,475,753.</w:t>
      </w:r>
    </w:p>
    <w:p>
      <w:pPr>
        <w:spacing w:after="0" w:line="83" w:lineRule="exact"/>
        <w:rPr>
          <w:rFonts w:ascii="Times New Roman" w:cs="Times New Roman" w:eastAsia="Times New Roman" w:hAnsi="Times New Roman"/>
          <w:sz w:val="14"/>
          <w:szCs w:val="14"/>
          <w:color w:val="auto"/>
        </w:rPr>
      </w:pPr>
    </w:p>
    <w:p>
      <w:pPr>
        <w:ind w:left="640" w:hanging="190"/>
        <w:spacing w:after="0" w:line="287" w:lineRule="auto"/>
        <w:tabs>
          <w:tab w:leader="none" w:pos="54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Switzerland: a case seeking a permanent injunction and monetary relief, which upon later choice of Genevant and Arbutus can include surrender of profits, damages or a reasonable royalty, for infringement of EP 2 279 254.</w:t>
      </w:r>
    </w:p>
    <w:p>
      <w:pPr>
        <w:spacing w:after="0" w:line="28" w:lineRule="exact"/>
        <w:rPr>
          <w:rFonts w:ascii="Times New Roman" w:cs="Times New Roman" w:eastAsia="Times New Roman" w:hAnsi="Times New Roman"/>
          <w:sz w:val="14"/>
          <w:szCs w:val="14"/>
          <w:color w:val="auto"/>
        </w:rPr>
      </w:pPr>
    </w:p>
    <w:p>
      <w:pPr>
        <w:ind w:left="640" w:hanging="190"/>
        <w:spacing w:after="0" w:line="287" w:lineRule="auto"/>
        <w:tabs>
          <w:tab w:leader="none" w:pos="56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Unified Patent Court: Case 10280/2025, seeking permanent and provisional injunctions, as well as monetary damages, which can include recovery of Moderna’s unfair profits, from infringement of EP 2 279 254.</w:t>
      </w:r>
    </w:p>
    <w:p>
      <w:pPr>
        <w:spacing w:after="0" w:line="28" w:lineRule="exact"/>
        <w:rPr>
          <w:rFonts w:ascii="Times New Roman" w:cs="Times New Roman" w:eastAsia="Times New Roman" w:hAnsi="Times New Roman"/>
          <w:sz w:val="14"/>
          <w:szCs w:val="14"/>
          <w:color w:val="auto"/>
        </w:rPr>
      </w:pPr>
    </w:p>
    <w:p>
      <w:pPr>
        <w:ind w:left="640" w:hanging="190"/>
        <w:spacing w:after="0" w:line="303" w:lineRule="auto"/>
        <w:tabs>
          <w:tab w:leader="none" w:pos="56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Unified Patent Court: Case 10280/2025, seeking permanent and provisional injunctions, as well as monetary damages, which can include recovery of Moderna’s unfair profits, from infringement of EP 4 241 767.</w:t>
      </w:r>
    </w:p>
    <w:p>
      <w:pPr>
        <w:spacing w:after="0" w:line="12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The five complaints have been or are being served on Moderna pursuant to the service of process rules of the respective courts. In the Unified Patent Court, Moderna’s Statement of Defense is due on July 8,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Pfizer and BioNTech</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The claim construction hearing occurred in December 2024. The court is expected to provide its ruling on the claim construction and issue a further scheduling order, including the date for trial, in 2025. Fact discovery in the action is ongoing.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Moderna and Merck European Oppositions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 November 3, 2023, we responded to the summons and on January 15, 2024, Moderna and Merck filed their reply to the written opinion of the Opposition Division, as well as to our written submission of November 3, 2023. We responded to Moderna 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9" w:name="page30"/>
    <w:bookmarkEnd w:id="29"/>
    <w:p>
      <w:pPr>
        <w:spacing w:after="0" w:line="287" w:lineRule="auto"/>
        <w:rPr>
          <w:sz w:val="20"/>
          <w:szCs w:val="20"/>
          <w:color w:val="auto"/>
        </w:rPr>
      </w:pPr>
      <w:r>
        <w:rPr>
          <w:rFonts w:ascii="Times New Roman" w:cs="Times New Roman" w:eastAsia="Times New Roman" w:hAnsi="Times New Roman"/>
          <w:sz w:val="14"/>
          <w:szCs w:val="14"/>
          <w:color w:val="auto"/>
        </w:rPr>
        <w:t>Merck’s reply on April 5, 2024. Oral proceedings were held on June 6, 2024, and the Opposition Division upheld the ’254 Patent but declined our and Genevant’s request to broaden certain claims in the ’254 Patent. Both parties appealed the Opposition Division’s decision and on March 21, 2025, the Board of Appeals scheduled oral proceedings for January 15 and 16,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29, 2025, Moderna filed a revocation action on EPO patent EP 4 241 767 (the ’767 patent) with the EPO, requesting that the patent be revoked in its entirety for all contracting states.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Moderna’s deadline to provide facts, arguments, and evidence in support of invalidity is July 23,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we are the patent owner, the ’254 Patent, the ’767 Patent, and the other patents in our LNP portfolio have been licensed to Genevant under the Genevant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SIGNIFICANT JUDGEMENTS AND ESTIMATES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management’s discussion and analysis of our financial condition and results of operations is based on our condensed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Please refer to Note 2 to our condensed consolidated financial statements included in “Part I, Item 1-Financial Statements (Unaudited)” of this Form 10-Q for a description of recent accounting pronouncements applicable to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results of our operations for the periods shown:</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7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80" w:type="dxa"/>
            <w:vAlign w:val="bottom"/>
            <w:tcBorders>
              <w:bottom w:val="single" w:sz="8" w:color="auto"/>
            </w:tcBorders>
          </w:tcPr>
          <w:p>
            <w:pPr>
              <w:spacing w:after="0"/>
              <w:rPr>
                <w:sz w:val="13"/>
                <w:szCs w:val="13"/>
                <w:color w:val="auto"/>
              </w:rPr>
            </w:pPr>
          </w:p>
        </w:tc>
      </w:tr>
      <w:tr>
        <w:trPr>
          <w:trHeight w:val="160"/>
        </w:trPr>
        <w:tc>
          <w:tcPr>
            <w:tcW w:w="770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154"/>
        </w:trPr>
        <w:tc>
          <w:tcPr>
            <w:tcW w:w="7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80" w:type="dxa"/>
            <w:vAlign w:val="bottom"/>
            <w:gridSpan w:val="3"/>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3"/>
                <w:szCs w:val="13"/>
                <w:color w:val="auto"/>
              </w:rPr>
            </w:pPr>
          </w:p>
        </w:tc>
      </w:tr>
      <w:tr>
        <w:trPr>
          <w:trHeight w:val="18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1,532</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27,463</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20,895</w:t>
            </w:r>
          </w:p>
        </w:tc>
      </w:tr>
      <w:tr>
        <w:trPr>
          <w:trHeight w:val="17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from operations</w:t>
            </w:r>
          </w:p>
        </w:tc>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(25,699)</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(19,363)</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9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1,488</w:t>
            </w:r>
          </w:p>
        </w:tc>
      </w:tr>
      <w:tr>
        <w:trPr>
          <w:trHeight w:val="17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(24,526)</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Revenues are summarized in the following tables: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54"/>
        </w:trPr>
        <w:tc>
          <w:tcPr>
            <w:tcW w:w="5180" w:type="dxa"/>
            <w:vAlign w:val="bottom"/>
          </w:tcPr>
          <w:p>
            <w:pPr>
              <w:spacing w:after="0"/>
              <w:rPr>
                <w:sz w:val="13"/>
                <w:szCs w:val="13"/>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160" w:type="dxa"/>
            <w:vAlign w:val="bottom"/>
            <w:tcBorders>
              <w:bottom w:val="single" w:sz="8" w:color="auto"/>
            </w:tcBorders>
          </w:tcPr>
          <w:p>
            <w:pPr>
              <w:spacing w:after="0"/>
              <w:rPr>
                <w:sz w:val="13"/>
                <w:szCs w:val="13"/>
                <w:color w:val="auto"/>
              </w:rPr>
            </w:pPr>
          </w:p>
        </w:tc>
      </w:tr>
      <w:tr>
        <w:trPr>
          <w:trHeight w:val="150"/>
        </w:trPr>
        <w:tc>
          <w:tcPr>
            <w:tcW w:w="5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5"/>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collaborations and licenses</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Qilu Pharmaceutical Co., Ltd.</w:t>
            </w: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royalty revenue</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8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100" w:type="dxa"/>
            <w:vAlign w:val="bottom"/>
          </w:tcPr>
          <w:p>
            <w:pPr>
              <w:spacing w:after="0"/>
              <w:rPr>
                <w:sz w:val="15"/>
                <w:szCs w:val="15"/>
                <w:color w:val="auto"/>
              </w:rPr>
            </w:pP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1,532</w:t>
            </w:r>
          </w:p>
        </w:tc>
        <w:tc>
          <w:tcPr>
            <w:tcW w:w="1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r>
    </w:tbl>
    <w:p>
      <w:pPr>
        <w:spacing w:after="0" w:line="3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Total revenue increased $0.2 million for the three months ended March 31, 2025 compared to the same period in 2024, due primarily to an increase in license revenue recognized related to our progress towards the satisfaction of our performance obligations with respect to the technology transfer and licensing agreement with Qilu, partially offset by a decrease in license royalty revenue from Alnylam and Acuitas due to lower sales of ONPATTRO in the 2025 period compared to the 2024 period.</w:t>
      </w: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expenses are summarized in the following tables: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5"/>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54"/>
        </w:trPr>
        <w:tc>
          <w:tcPr>
            <w:tcW w:w="50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160" w:type="dxa"/>
            <w:vAlign w:val="bottom"/>
            <w:tcBorders>
              <w:bottom w:val="single" w:sz="8" w:color="auto"/>
            </w:tcBorders>
          </w:tcPr>
          <w:p>
            <w:pPr>
              <w:spacing w:after="0"/>
              <w:rPr>
                <w:sz w:val="13"/>
                <w:szCs w:val="13"/>
                <w:color w:val="auto"/>
              </w:rPr>
            </w:pPr>
          </w:p>
        </w:tc>
      </w:tr>
      <w:tr>
        <w:trPr>
          <w:trHeight w:val="150"/>
        </w:trPr>
        <w:tc>
          <w:tcPr>
            <w:tcW w:w="5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5"/>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15,403</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12,373</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1"/>
        </w:trPr>
        <w:tc>
          <w:tcPr>
            <w:tcW w:w="50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6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27,463</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20,895</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consist primarily of personnel expenses, fees paid to clinical research organizations and contract manufacturers, consumables and materials, consulting, and other third-party expenses to support our clinical and preclinical activities, as well as a portion of stock-based compensation and general overhead costs.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decreased $6.4 million for the three months ended March 31, 2025, compared to the same period in 2024. The decrease was due primarily to our decision in the third quarter of 2024 to cease all discovery efforts, discontinue our IM-PROVE III clinical trial and implement a 40% reduction in our workforce to streamline the organization to focus our efforts on advancing the clinical development of imdusiran and AB-101. In connection with our cessation of all discovery efforts in August 2024 and an additional 57% reduction in our workforce in the first quarter of 2025, we expect our research expenses to continue to be reduced in future periods.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increased $0.5 million for the three months ended March 31, 2025, as compared to the same period in 2024, due primarily to an increase in litigation-related legal fees, partially offset by a decrease in employee compensation-related expenses.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color w:val="auto"/>
        </w:rPr>
        <w:t>Change in fair value of contingent consideration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cHBV. As imdusiran continues to progress through clinical trials, we will adjust our assumptions regarding probability of success commensurate with the progression of the program, which will increase the fair value of the liability.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March 2025, our Board took action to reduce our workforce by 57%, resulting in a total workforce after reductions of 19 employees. The Board also decided to exit our corporate headquarters in Warminster, Pennsylvania and to discontinue in-house scientific research. In connection with these actions, we incurred a one-time restructuring charge in the first quarter of 2025 of $12.4 million, which includes approximately $6.0 million of cash severance and continued benefits paid, $2.3 million of non-cash expense related to the modification of equity awards, non-cash impairment charges for leasehold improvements and laboratory equipment of $1.9 million and $0.9 million, respectively, $0.9 million related to impairment of the right-of-use asset associated with the lease of our corporate headquarters and a $0.4 million accrual of lease-related operating expenses.</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March 31, 2025, there was $5.6 million of accrued restructuring costs for severance payments and a $0.4 million accrual of lease-related operating expenses included in accounts payable and accrued liabilities.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our other income (loss) are summarized in the following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40" w:type="dxa"/>
            <w:vAlign w:val="bottom"/>
          </w:tcPr>
          <w:p>
            <w:pPr>
              <w:spacing w:after="0"/>
              <w:rPr>
                <w:sz w:val="12"/>
                <w:szCs w:val="12"/>
                <w:color w:val="auto"/>
              </w:rPr>
            </w:pPr>
          </w:p>
        </w:tc>
      </w:tr>
      <w:tr>
        <w:trPr>
          <w:trHeight w:val="30"/>
        </w:trPr>
        <w:tc>
          <w:tcPr>
            <w:tcW w:w="7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45"/>
        </w:trPr>
        <w:tc>
          <w:tcPr>
            <w:tcW w:w="7560" w:type="dxa"/>
            <w:vAlign w:val="bottom"/>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50"/>
        </w:trPr>
        <w:tc>
          <w:tcPr>
            <w:tcW w:w="7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20" w:type="dxa"/>
            <w:vAlign w:val="bottom"/>
            <w:gridSpan w:val="3"/>
          </w:tcPr>
          <w:p>
            <w:pPr>
              <w:jc w:val="right"/>
              <w:ind w:right="3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40" w:type="dxa"/>
            <w:vAlign w:val="bottom"/>
          </w:tcPr>
          <w:p>
            <w:pPr>
              <w:spacing w:after="0"/>
              <w:rPr>
                <w:sz w:val="13"/>
                <w:szCs w:val="13"/>
                <w:color w:val="auto"/>
              </w:rPr>
            </w:pPr>
          </w:p>
        </w:tc>
      </w:tr>
      <w:tr>
        <w:trPr>
          <w:trHeight w:val="18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r>
      <w:tr>
        <w:trPr>
          <w:trHeight w:val="180"/>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gain/(loss)</w:t>
            </w:r>
          </w:p>
        </w:tc>
        <w:tc>
          <w:tcPr>
            <w:tcW w:w="10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7"/>
        </w:trPr>
        <w:tc>
          <w:tcPr>
            <w:tcW w:w="7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other income</w:t>
            </w:r>
          </w:p>
        </w:tc>
        <w:tc>
          <w:tcPr>
            <w:tcW w:w="106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1,173</w:t>
            </w:r>
          </w:p>
        </w:tc>
        <w:tc>
          <w:tcPr>
            <w:tcW w:w="80" w:type="dxa"/>
            <w:vAlign w:val="bottom"/>
          </w:tcPr>
          <w:p>
            <w:pPr>
              <w:spacing w:after="0"/>
              <w:rPr>
                <w:sz w:val="15"/>
                <w:szCs w:val="15"/>
                <w:color w:val="auto"/>
              </w:rPr>
            </w:pPr>
          </w:p>
        </w:tc>
        <w:tc>
          <w:tcPr>
            <w:tcW w:w="7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1,488</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decrease in interest income for the three months ended March 31, 2025 compared to the same period in 2024 was due primarily to less interest earned on our cash and investment balances due to a lower average balance and a general decrease in market interest rates.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expense for the three months ended March 31, 2025 and 2024 consisted primarily of non-cash amortization of discount and issuance costs related to the sale of a portion of our ONPATTRO royalty interest to OMERS in July 2019. The decrease is related to the declining balance of the unamortized discount and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 activities for the periods indicated: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80" w:type="dxa"/>
            <w:vAlign w:val="bottom"/>
          </w:tcPr>
          <w:p>
            <w:pPr>
              <w:spacing w:after="0"/>
              <w:rPr>
                <w:sz w:val="12"/>
                <w:szCs w:val="12"/>
                <w:color w:val="auto"/>
              </w:rPr>
            </w:pPr>
          </w:p>
        </w:tc>
      </w:tr>
      <w:tr>
        <w:trPr>
          <w:trHeight w:val="30"/>
        </w:trPr>
        <w:tc>
          <w:tcPr>
            <w:tcW w:w="66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5"/>
        </w:trPr>
        <w:tc>
          <w:tcPr>
            <w:tcW w:w="6680" w:type="dxa"/>
            <w:vAlign w:val="bottom"/>
          </w:tcPr>
          <w:p>
            <w:pPr>
              <w:spacing w:after="0"/>
              <w:rPr>
                <w:sz w:val="12"/>
                <w:szCs w:val="12"/>
                <w:color w:val="auto"/>
              </w:rPr>
            </w:pP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6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40" w:type="dxa"/>
            <w:vAlign w:val="bottom"/>
            <w:gridSpan w:val="3"/>
          </w:tcPr>
          <w:p>
            <w:pPr>
              <w:jc w:val="right"/>
              <w:ind w:right="5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80" w:type="dxa"/>
            <w:vAlign w:val="bottom"/>
          </w:tcPr>
          <w:p>
            <w:pPr>
              <w:spacing w:after="0"/>
              <w:rPr>
                <w:sz w:val="13"/>
                <w:szCs w:val="13"/>
                <w:color w:val="auto"/>
              </w:rPr>
            </w:pPr>
          </w:p>
        </w:tc>
      </w:tr>
      <w:tr>
        <w:trPr>
          <w:trHeight w:val="18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(17,875)</w:t>
            </w:r>
          </w:p>
        </w:tc>
      </w:tr>
      <w:tr>
        <w:trPr>
          <w:trHeight w:val="180"/>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items</w:t>
            </w:r>
          </w:p>
        </w:tc>
        <w:tc>
          <w:tcPr>
            <w:tcW w:w="1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r>
      <w:tr>
        <w:trPr>
          <w:trHeight w:val="18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license revenue</w:t>
            </w:r>
          </w:p>
        </w:tc>
        <w:tc>
          <w:tcPr>
            <w:tcW w:w="1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18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change in operating items</w:t>
            </w:r>
          </w:p>
        </w:tc>
        <w:tc>
          <w:tcPr>
            <w:tcW w:w="1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6,081</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(2,615)</w:t>
            </w:r>
          </w:p>
        </w:tc>
      </w:tr>
      <w:tr>
        <w:trPr>
          <w:trHeight w:val="17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3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(13,391)</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(19,295)</w:t>
            </w:r>
          </w:p>
        </w:tc>
      </w:tr>
      <w:tr>
        <w:trPr>
          <w:trHeight w:val="180"/>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1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11,349</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11,694</w:t>
            </w:r>
          </w:p>
        </w:tc>
      </w:tr>
      <w:tr>
        <w:trPr>
          <w:trHeight w:val="18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the Open Market Sale Agreement</w:t>
            </w:r>
          </w:p>
        </w:tc>
        <w:tc>
          <w:tcPr>
            <w:tcW w:w="1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21,765</w:t>
            </w:r>
          </w:p>
        </w:tc>
      </w:tr>
      <w:tr>
        <w:trPr>
          <w:trHeight w:val="18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provided by other financing activities</w:t>
            </w:r>
          </w:p>
        </w:tc>
        <w:tc>
          <w:tcPr>
            <w:tcW w:w="1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2,665</w:t>
            </w:r>
          </w:p>
        </w:tc>
      </w:tr>
      <w:tr>
        <w:trPr>
          <w:trHeight w:val="17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3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2,784</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24,430</w:t>
            </w:r>
          </w:p>
        </w:tc>
      </w:tr>
      <w:tr>
        <w:trPr>
          <w:trHeight w:val="18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in cash and cash equivalents</w:t>
            </w:r>
          </w:p>
        </w:tc>
        <w:tc>
          <w:tcPr>
            <w:tcW w:w="13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746</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16,816</w:t>
            </w:r>
          </w:p>
        </w:tc>
      </w:tr>
      <w:tr>
        <w:trPr>
          <w:trHeight w:val="18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26,285</w:t>
            </w:r>
          </w:p>
        </w:tc>
      </w:tr>
      <w:tr>
        <w:trPr>
          <w:trHeight w:val="17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38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37,076</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43,101</w:t>
            </w: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2025, $13.4 million of cash was used in operating activities compared to $19.3 million used in operating activities for the three months ended March 31, 2024, a decrease of $5.9 million. The decrease was due primarily to our decisions in the third quarter of 2024 to cease all discovery efforts, discontinue our IM-PROVE III clinical trial, and decrease our workforce by 40% to further streamline the organization to focus our efforts on advancing the clinical development of imdusiran and AB-101.</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2025, net cash provided by investing activities was $11.3 million, resulting primarily from maturities of investments in marketable securities of $46.1 million, partially offset by additional investments in marketable securities of $34.7 million. For the three months ended March 31, 2024, net cash provided by investing activities was $11.7 million, which resulted primarily from maturities of investments in marketable securities of $37.2 million, partially offset by additional investments in marketable securities of $25.4 million.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2025, net cash provided by financing activities was $2.8 million, which was primarily related to $2.7 million in proceeds from the issuance of common shares pursuant to the exercise of stock options. For the three months ended March 31, 2024, net cash provided by financing activities was $24.4 million, which included $21.8 million in proceeds from sales of common shares pursuant to the Sale Agreement (as defined below) and $2.5 million in proceeds from the issuance of common shares pursuant to the exercise of stock options.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Sources of Liquidity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2025, we had cash, cash equivalents and investments in marketable securities of $112.7 million. We had no outstanding debt as of March 31,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color w:val="auto"/>
        </w:rPr>
        <w:t>Open Market Sale Agreement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Effective March 26, 2025, we terminated our Open Market Sale Agreement with Jefferies dated December 20, 2018, as amended (the Sale Agreement), under which we could offer and sell common shares, from time to time.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Prior to the termination of the Sale Agreement, we did not issue any common shares pursuant to the Sale Agreement during the three months ended March 31, 2025. For the three months ended March 31, 2024, we issued 8,666,077 common shares pursuant to the Sale Agreement, resulting in net proceeds of approximately $21.8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Royalty Entitlements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it fails to collect any such future royalties. From the inception of the royalty sale through March 31, 2025, we have recorded an aggregate of $25.3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2021, we entered into a technology transfer and exclusive licensing agreement with Qilu pursuant to which we granted Qilu an exclusive (with certain exceptions), sublicensable, royalty-bearing license, under certain intellectual property owned by us, to develop, manufacture and commercialize imdusiran for the treatment or prevention of cHBV infection in Greater China and Taiwan. In partial consideration for the rights granted by us, Qilu paid us a one-time upfront cash payment of $40 million and made an equity investment of $15.0 million, both received in January 2022, and agreed to pay us up to $245 million, net of withholding taxes, upon the achievement of certain technology transfer, development, regulatory and commercialization milestones. Qilu also agreed to pay us double digit royalties into the low twenties percent based upon annual net sales of imdusiran in Greater China and Taiwan.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requirements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With the organizational changes announced during the first quarter of 2025, and our ongoing cost management efforts, we expect to significantly reduce our net cash burn in 2025 when compared to 2024. In the future, substantial additional funds would be required to continue with the active development of our pipeline products and technologies. In particular, our funding needs may vary depending on a number of factors including:</w:t>
      </w:r>
    </w:p>
    <w:p>
      <w:pPr>
        <w:spacing w:after="0" w:line="199" w:lineRule="exact"/>
        <w:rPr>
          <w:sz w:val="20"/>
          <w:szCs w:val="20"/>
          <w:color w:val="auto"/>
        </w:rPr>
      </w:pPr>
    </w:p>
    <w:p>
      <w:pPr>
        <w:ind w:left="520" w:hanging="197"/>
        <w:spacing w:after="0" w:line="284"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prosecuting and enforcing our patent claims and other intellectual property rights, including our ongoing patent infringement matters against Moderna and Pfizer/BioNTech;</w:t>
      </w:r>
    </w:p>
    <w:p>
      <w:pPr>
        <w:ind w:left="520" w:hanging="197"/>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earned from our legacy collaborative partnerships and licensing agreements, including potential royalty payments from Alnylam’s ONPATTRO;</w:t>
      </w:r>
    </w:p>
    <w:p>
      <w:pPr>
        <w:spacing w:after="0" w:line="51"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earned from ongoing collaborative partnerships, including milestone and royalty payments;</w:t>
      </w:r>
    </w:p>
    <w:p>
      <w:pPr>
        <w:spacing w:after="0" w:line="51"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requirement to make milestone payments related to our legacy agreements;</w:t>
      </w:r>
    </w:p>
    <w:p>
      <w:pPr>
        <w:spacing w:after="0" w:line="51" w:lineRule="exact"/>
        <w:rPr>
          <w:rFonts w:ascii="Times New Roman" w:cs="Times New Roman" w:eastAsia="Times New Roman" w:hAnsi="Times New Roman"/>
          <w:sz w:val="14"/>
          <w:szCs w:val="14"/>
          <w:color w:val="auto"/>
        </w:rPr>
      </w:pPr>
    </w:p>
    <w:p>
      <w:pPr>
        <w:ind w:left="520" w:hanging="197"/>
        <w:spacing w:after="0" w:line="284"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continue the development of our product candidates, add new product candidates to our pipeline, or form collaborative relationships or licensing arrangements to advance our product candidates;</w:t>
      </w:r>
    </w:p>
    <w:p>
      <w:pPr>
        <w:ind w:left="520" w:hanging="197"/>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development of our product candidates due to preclinical and clinical findings;</w:t>
      </w:r>
    </w:p>
    <w:p>
      <w:pPr>
        <w:spacing w:after="0" w:line="51"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decisions to in-license or acquire additional products, product candidates or technology for development;</w:t>
      </w:r>
    </w:p>
    <w:p>
      <w:pPr>
        <w:spacing w:after="0" w:line="51" w:lineRule="exact"/>
        <w:rPr>
          <w:rFonts w:ascii="Times New Roman" w:cs="Times New Roman" w:eastAsia="Times New Roman" w:hAnsi="Times New Roman"/>
          <w:sz w:val="14"/>
          <w:szCs w:val="14"/>
          <w:color w:val="auto"/>
        </w:rPr>
      </w:pPr>
    </w:p>
    <w:p>
      <w:pPr>
        <w:ind w:left="520" w:hanging="197"/>
        <w:spacing w:after="0" w:line="284"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development or commercialization partners, and their effectiveness in carrying out the development and ultimate commercialization of one or more of our product candidates;</w:t>
      </w:r>
    </w:p>
    <w:p>
      <w:pPr>
        <w:ind w:left="520" w:hanging="197"/>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batches of product candidates that we manufacture fail to meet specifications resulting in clinical trial delays and investigational and remanufacturing costs;</w:t>
      </w:r>
    </w:p>
    <w:p>
      <w:pPr>
        <w:spacing w:after="0" w:line="51"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decisions, and the timing of decisions, made by health regulatory agencies regarding our technology and product candidates;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5" w:name="page36"/>
    <w:bookmarkEnd w:id="35"/>
    <w:p>
      <w:pPr>
        <w:ind w:left="320"/>
        <w:spacing w:after="0"/>
        <w:tabs>
          <w:tab w:leader="none" w:pos="500" w:val="left"/>
        </w:tabs>
        <w:rPr>
          <w:sz w:val="20"/>
          <w:szCs w:val="20"/>
          <w:color w:val="auto"/>
        </w:rPr>
      </w:pPr>
      <w:r>
        <w:rPr>
          <w:rFonts w:ascii="Times New Roman" w:cs="Times New Roman" w:eastAsia="Times New Roman" w:hAnsi="Times New Roman"/>
          <w:sz w:val="14"/>
          <w:szCs w:val="14"/>
          <w:color w:val="auto"/>
        </w:rPr>
        <w:t>•</w:t>
        <w:tab/>
        <w:t>competing products, product candidates and technological and market developments.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seek funding to maintain and advance our business from a variety of sources including public or private equity or debt financing, potential monetization transactions, collaborative or licensing arrangements with pharmaceutical companies and government grants and contracts. If we seek additional funding, there can be no assurance that funding will be available at all or on acceptable terms to maintain and advance our business.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decide to seek funding and such adequate funding is not available, we may be required to delay, reduce or eliminate one or more of our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under this item is not required to be provided by smaller reporting companies.</w:t>
      </w:r>
    </w:p>
    <w:p>
      <w:pPr>
        <w:spacing w:after="0" w:line="19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evaluated the effectiveness of our disclosure controls and procedures as of March 31,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March 31, 2025, our principal executive officer and principal financial officer concluded that, as of such date, our disclosure controls and procedures were effective at the reasonable assurance level.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under the Exchange Act)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39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Moderna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States: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February 14, 2023, the U.S. Department of Justice filed a Statement of Interest in the action. On February 16, 2023, the court held an Initial Pretrial Conference after which it issued an Order directing the parties and the U.S. Government to submit letters regarding the impact of the Government’s Statement of Interest. On March 10, 2023, the court reaffirmed its denial of Moderna’s motion to dismiss. The claim construction hearing was held on February 8, 2024. On April 3,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Trial is currently scheduled for September 29, 2025. Expert discovery has concluded and the case is entering the summary judgement stage.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March 3, 2025, we and Genevant filed five international lawsuits against Moderna seeking to enforce patents protecting our patented lipid nanoparticle technology. These five lawsuits target alleged infringing activities by Moderna in 30 countries, including Austria, Belgium, Bulgaria, Denmark, Estonia, Finland, France, Germany, Greece, Hungary, Iceland, Ireland, Italy, Latvia, Lithuania, Luxembourg, Malta, Monaco, Netherlands, Norway, Poland, Portugal, Romania, Slovenia, Spain, Sweden, Switzerland, and Turkey. We and Genevant are seeking monetary relief and injunctions against Moderna’s COVID-19 vaccine and, in the Unified Patent Court, additional Moderna products, which Moderna has represented use the same lipid nanoparticle technology as the COVID-19 vaccine, including its RSV vaccine. Where permitted to do so at this stage, we and Genevant submitted evidence from testing of commercial Moderna product samples sourced from the</w:t>
      </w:r>
    </w:p>
    <w:p>
      <w:pPr>
        <w:spacing w:after="0" w:line="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U.S. and European Union indicating the samples contain lipid nanoparticles falling under the protective scope of the claims of our lipid composition patents. The five international lawsuits are as follows:</w:t>
      </w:r>
    </w:p>
    <w:p>
      <w:pPr>
        <w:spacing w:after="0" w:line="61" w:lineRule="exact"/>
        <w:rPr>
          <w:sz w:val="20"/>
          <w:szCs w:val="20"/>
          <w:color w:val="auto"/>
        </w:rPr>
      </w:pPr>
    </w:p>
    <w:p>
      <w:pPr>
        <w:ind w:left="640" w:hanging="190"/>
        <w:spacing w:after="0" w:line="287" w:lineRule="auto"/>
        <w:tabs>
          <w:tab w:leader="none" w:pos="54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Canada: Federal Court of Canada File No. T-704-25, seeking a permanent injunction and damages or, if Genevant so elects, an accounting of Moderna’s profits, attributable to infringement of Canadian Patent No. 2,721,333.</w:t>
      </w:r>
    </w:p>
    <w:p>
      <w:pPr>
        <w:spacing w:after="0" w:line="71" w:lineRule="exact"/>
        <w:rPr>
          <w:rFonts w:ascii="Times New Roman" w:cs="Times New Roman" w:eastAsia="Times New Roman" w:hAnsi="Times New Roman"/>
          <w:sz w:val="14"/>
          <w:szCs w:val="14"/>
          <w:color w:val="auto"/>
        </w:rPr>
      </w:pPr>
    </w:p>
    <w:p>
      <w:pPr>
        <w:ind w:left="540" w:hanging="90"/>
        <w:spacing w:after="0"/>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Japan: Tokyo District Court Case No. 2025 (Wa) 70079, seeking a permanent injunction and reasonable royalty for infringement of Japanese Patent No. 5,475,753.</w:t>
      </w:r>
    </w:p>
    <w:p>
      <w:pPr>
        <w:spacing w:after="0" w:line="125" w:lineRule="exact"/>
        <w:rPr>
          <w:rFonts w:ascii="Times New Roman" w:cs="Times New Roman" w:eastAsia="Times New Roman" w:hAnsi="Times New Roman"/>
          <w:sz w:val="14"/>
          <w:szCs w:val="14"/>
          <w:color w:val="auto"/>
        </w:rPr>
      </w:pPr>
    </w:p>
    <w:p>
      <w:pPr>
        <w:ind w:left="640" w:hanging="190"/>
        <w:spacing w:after="0" w:line="287" w:lineRule="auto"/>
        <w:tabs>
          <w:tab w:leader="none" w:pos="54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Switzerland: a case seeking a permanent injunction and monetary relief, which upon later choice of Genevant and Arbutus can include surrender of profits, damages or a reasonable royalty, for infringement of EP 2 279 254.</w:t>
      </w:r>
    </w:p>
    <w:p>
      <w:pPr>
        <w:spacing w:after="0" w:line="71" w:lineRule="exact"/>
        <w:rPr>
          <w:rFonts w:ascii="Times New Roman" w:cs="Times New Roman" w:eastAsia="Times New Roman" w:hAnsi="Times New Roman"/>
          <w:sz w:val="14"/>
          <w:szCs w:val="14"/>
          <w:color w:val="auto"/>
        </w:rPr>
      </w:pPr>
    </w:p>
    <w:p>
      <w:pPr>
        <w:ind w:left="640" w:hanging="190"/>
        <w:spacing w:after="0" w:line="287" w:lineRule="auto"/>
        <w:tabs>
          <w:tab w:leader="none" w:pos="56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Unified Patent Court: Case 10280/2025, seeking permanent and provisional injunctions, as well as monetary damages, which can include recovery of Moderna’s unfair profits, from infringement of EP 2 279 254.</w:t>
      </w:r>
    </w:p>
    <w:p>
      <w:pPr>
        <w:spacing w:after="0" w:line="71" w:lineRule="exact"/>
        <w:rPr>
          <w:rFonts w:ascii="Times New Roman" w:cs="Times New Roman" w:eastAsia="Times New Roman" w:hAnsi="Times New Roman"/>
          <w:sz w:val="14"/>
          <w:szCs w:val="14"/>
          <w:color w:val="auto"/>
        </w:rPr>
      </w:pPr>
    </w:p>
    <w:p>
      <w:pPr>
        <w:ind w:left="640" w:hanging="190"/>
        <w:spacing w:after="0" w:line="287" w:lineRule="auto"/>
        <w:tabs>
          <w:tab w:leader="none" w:pos="56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Unified Patent Court: Case 10280/2025, seeking permanent and provisional injunctions, as well as monetary damages, which can include recovery of Moderna’s unfair profits, from infringement of EP 4 241 767.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37" w:name="page38"/>
    <w:bookmarkEnd w:id="37"/>
    <w:p>
      <w:pPr>
        <w:jc w:val="both"/>
        <w:spacing w:after="0" w:line="271" w:lineRule="auto"/>
        <w:rPr>
          <w:sz w:val="20"/>
          <w:szCs w:val="20"/>
          <w:color w:val="auto"/>
        </w:rPr>
      </w:pPr>
      <w:r>
        <w:rPr>
          <w:rFonts w:ascii="Times New Roman" w:cs="Times New Roman" w:eastAsia="Times New Roman" w:hAnsi="Times New Roman"/>
          <w:sz w:val="14"/>
          <w:szCs w:val="14"/>
          <w:color w:val="auto"/>
        </w:rPr>
        <w:t>The five complaints have been or are being served on Moderna pursuant to the service of process rules of the respective courts. In the Unified Patent Court, Moderna’s Statement of Defense is due on July 8,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Pfizer and BioNTech</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The claim construction hearing occurred in December 2024. The court is expected to provide its ruling on the claim construction and issue a further scheduling order, including the date for trial, in 2025. Fact discovery in the action is ongoing.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Moderna and Merck European Oppositions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 November 3, 2023, we responded to the summons and on January 15, 2024, Moderna and Merck filed their reply to the written opinion of the Opposition Division, as well as to our written submission of November 3, 2023. We responded to Moderna and Merck’s reply on April 5, 2024. Oral proceedings were held on June 6, 2024, and the Opposition Division upheld the ’254 Patent but declined our and Genevant’s request to broaden certain claims in the ’254 Patent. Both parties appealed the Opposition Division’s decision and on March 21, 2025, the Board of Appeals scheduled oral proceedings for January 15 and 16, 2026.</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29, 2025, Moderna filed a revocation action on EPO patent EP 4 241 767 (the ’767 patent) with the EPO, requesting that the patent be revoked in its entirety for all contracting states.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Moderna’s deadline to provide facts, arguments, and evidence in support of invalidity is July 23,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we are the patent owner, the ’254 Patent, the ’767 Patent, and the other patents in our LNP portfolio have been licensed to Genevant under the Genevant License.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Matters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231140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38" w:name="page39"/>
    <w:bookmarkEnd w:id="38"/>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in our risk factors from those disclosed in our Annual Report on Form 10-K for the fiscal year ended December 31, 2024.</w:t>
      </w:r>
    </w:p>
    <w:p>
      <w:pPr>
        <w:spacing w:after="0" w:line="19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Plans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2025, none of our directors or officers adopted, modified or terminated a “Rule 10b5-1 trading arrangement” or a “non-Rule 10b5-1 trading arrangement” as such terms are defined under Item 408 of Regulation S-K, except as follows:</w:t>
      </w:r>
    </w:p>
    <w:p>
      <w:pPr>
        <w:spacing w:after="0" w:line="135" w:lineRule="exact"/>
        <w:rPr>
          <w:sz w:val="20"/>
          <w:szCs w:val="20"/>
          <w:color w:val="auto"/>
        </w:rPr>
      </w:pPr>
    </w:p>
    <w:p>
      <w:pPr>
        <w:jc w:val="both"/>
        <w:ind w:left="520" w:hanging="260"/>
        <w:spacing w:after="0" w:line="239"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28, 2025, Tuan Nguyen, our Chief Financial Officer, entered into a sell-to-cover instruction letter (the Sell-to-Cover Instruction Letter) which constitutes a “Rule 10b5-1 trading arrangement,” intended to satisfy the affirmative defense of Rule 10b5-1(c) of the Securities Exchange Act of 1934, as amended. The Sell-to-Cover Instruction Letter, which applies to grants of restricted stock units (RSUs) whether vesting is based on the passage of time and/or the achievement of performance criteria, provides for the automatic sale of common shares as soon as practicable on or after each settlement date of a covered RSU in an amount sufficient to satisfy the applicable tax withholding obligation, with the proceeds of the sale delivered to us in satisfaction of the applicable tax withholding obligation. The number of common shares subject to covered RSUs that will be sold to satisfy the applicable tax withholding obligations upon vesting is unknown as the number will vary based on the extent to which vesting conditions are satisfied, the market price of the common shares at the time of settlement and the potential future grants of RSUs subject to the Sell-to-Cover Instruction Letter. The expiration date of the Sell-to-Cover Instruction Letter is the date on which the tax withholding obligation arising from the vesting of all covered RSUs and the related issuance of common shares has been satisfied. Mr Nguyen does not currently hold any RSUs, but he may become eligible to receive grants of RSUs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231140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9" w:name="page40"/>
    <w:bookmarkEnd w:id="39"/>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900" w:type="dxa"/>
            <w:vAlign w:val="bottom"/>
            <w:gridSpan w:val="14"/>
          </w:tcPr>
          <w:p>
            <w:pPr>
              <w:ind w:left="6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65"/>
        </w:trPr>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900" w:type="dxa"/>
            <w:vAlign w:val="bottom"/>
            <w:gridSpan w:val="14"/>
          </w:tcPr>
          <w:p>
            <w:pPr>
              <w:ind w:left="1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39"/>
        </w:trPr>
        <w:tc>
          <w:tcPr>
            <w:tcW w:w="9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2"/>
                <w:szCs w:val="12"/>
                <w:color w:val="auto"/>
              </w:rPr>
            </w:pPr>
          </w:p>
        </w:tc>
        <w:tc>
          <w:tcPr>
            <w:tcW w:w="10340" w:type="dxa"/>
            <w:vAlign w:val="bottom"/>
            <w:tcBorders>
              <w:top w:val="single" w:sz="8" w:color="auto"/>
            </w:tcBorders>
            <w:gridSpan w:val="18"/>
          </w:tcPr>
          <w:p>
            <w:pPr>
              <w:spacing w:after="0" w:line="139" w:lineRule="exact"/>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Notice of Articles and Articles of the Company, as amended (incorporated herein by reference to Exhibit 3.1 to the Registrant’s Annual Report on Form 10-K for the year ended</w:t>
              </w:r>
            </w:hyperlink>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December 31, 2017, filed with the SEC on March 16, 2018).</w:t>
              </w:r>
            </w:hyperlink>
          </w:p>
        </w:tc>
        <w:tc>
          <w:tcPr>
            <w:tcW w:w="680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100" w:type="dxa"/>
            <w:vAlign w:val="bottom"/>
          </w:tcPr>
          <w:p>
            <w:pPr>
              <w:spacing w:after="0"/>
              <w:rPr>
                <w:sz w:val="17"/>
                <w:szCs w:val="17"/>
                <w:color w:val="auto"/>
              </w:rPr>
            </w:pPr>
          </w:p>
        </w:tc>
        <w:tc>
          <w:tcPr>
            <w:tcW w:w="10340" w:type="dxa"/>
            <w:vAlign w:val="bottom"/>
            <w:gridSpan w:val="18"/>
          </w:tcPr>
          <w:p>
            <w:pPr>
              <w:spacing w:after="0"/>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Amendment to Articles of the Company (incorporated herein by reference to Exhibit 3.1 to the Registrant’s Quarterly Report on Form 10-Q for the quarter ended September 30,</w:t>
              </w:r>
            </w:hyperlink>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6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2018, filed with the SEC on November 7, 2018).</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103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Executive Employment Agreement, dated February 25, 2025, by and between Arbutus Biopharma, Inc. and Lindsay Androski.</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7"/>
                <w:szCs w:val="17"/>
                <w:color w:val="auto"/>
              </w:rPr>
            </w:pPr>
          </w:p>
        </w:tc>
        <w:tc>
          <w:tcPr>
            <w:tcW w:w="10340" w:type="dxa"/>
            <w:vAlign w:val="bottom"/>
            <w:gridSpan w:val="18"/>
          </w:tcPr>
          <w:p>
            <w:pPr>
              <w:spacing w:after="0"/>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Agreement, dated March 2, 2025, by and between the Company and Genevant Sciences GmbH (incorporated herein by reference to Exhibit 10.1 to the Registrant’s Current Report</w:t>
              </w:r>
            </w:hyperlink>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30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on Form 8-K, filed with the SEC on March 3, 2025).</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7"/>
                <w:szCs w:val="17"/>
                <w:color w:val="auto"/>
              </w:rPr>
            </w:pPr>
          </w:p>
        </w:tc>
        <w:tc>
          <w:tcPr>
            <w:tcW w:w="6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Executive Employment Agreement, dated March 25, 2025, by and between Arbutus Biopharma, Inc. and Tuan Nguyen.</w:t>
            </w:r>
          </w:p>
        </w:tc>
        <w:tc>
          <w:tcPr>
            <w:tcW w:w="3540" w:type="dxa"/>
            <w:vAlign w:val="bottom"/>
            <w:gridSpan w:val="12"/>
          </w:tcPr>
          <w:p>
            <w:pPr>
              <w:spacing w:after="0"/>
              <w:rPr>
                <w:sz w:val="17"/>
                <w:szCs w:val="17"/>
                <w:color w:val="auto"/>
              </w:rPr>
            </w:pP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103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Separation Agreement and General Release, dated effective March 25, 2025, by and between Arbutus Biopharma, Inc. and Michael J. McElhaugh.</w:t>
            </w: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7"/>
                <w:szCs w:val="17"/>
                <w:color w:val="auto"/>
              </w:rPr>
            </w:pPr>
          </w:p>
        </w:tc>
        <w:tc>
          <w:tcPr>
            <w:tcW w:w="59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Consulting Agreement, dated March 28, 2025, by and between Arbutus Biopharma, Inc. and Karen Sims.</w:t>
            </w:r>
          </w:p>
        </w:tc>
        <w:tc>
          <w:tcPr>
            <w:tcW w:w="2320" w:type="dxa"/>
            <w:vAlign w:val="bottom"/>
            <w:tcBorders>
              <w:top w:val="single" w:sz="8" w:color="0000FF"/>
            </w:tcBorders>
            <w:gridSpan w:val="5"/>
          </w:tcPr>
          <w:p>
            <w:pPr>
              <w:spacing w:after="0"/>
              <w:rPr>
                <w:sz w:val="17"/>
                <w:szCs w:val="17"/>
                <w:color w:val="auto"/>
              </w:rPr>
            </w:pPr>
          </w:p>
        </w:tc>
        <w:tc>
          <w:tcPr>
            <w:tcW w:w="2040" w:type="dxa"/>
            <w:vAlign w:val="bottom"/>
            <w:gridSpan w:val="8"/>
          </w:tcPr>
          <w:p>
            <w:pPr>
              <w:spacing w:after="0"/>
              <w:rPr>
                <w:sz w:val="17"/>
                <w:szCs w:val="17"/>
                <w:color w:val="auto"/>
              </w:rPr>
            </w:pP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7"/>
                <w:szCs w:val="17"/>
                <w:color w:val="auto"/>
              </w:rPr>
            </w:pPr>
          </w:p>
        </w:tc>
        <w:tc>
          <w:tcPr>
            <w:tcW w:w="103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Separation Agreement and General Release, dated effective April 1, 2025, by and between Arbutus Biopharma, Inc. and Karen Sims.</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4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7"/>
                <w:szCs w:val="17"/>
                <w:color w:val="auto"/>
              </w:rPr>
            </w:pPr>
          </w:p>
        </w:tc>
        <w:tc>
          <w:tcPr>
            <w:tcW w:w="7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Separation Agreement and General Release, dated effective April 2, 2025, by and between Arbutus Biopharma, Inc. and David Hastings.</w:t>
            </w:r>
          </w:p>
        </w:tc>
        <w:tc>
          <w:tcPr>
            <w:tcW w:w="2580" w:type="dxa"/>
            <w:vAlign w:val="bottom"/>
            <w:gridSpan w:val="9"/>
          </w:tcPr>
          <w:p>
            <w:pPr>
              <w:spacing w:after="0"/>
              <w:rPr>
                <w:sz w:val="17"/>
                <w:szCs w:val="17"/>
                <w:color w:val="auto"/>
              </w:rPr>
            </w:pP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7"/>
                <w:szCs w:val="17"/>
                <w:color w:val="auto"/>
              </w:rPr>
            </w:pPr>
          </w:p>
        </w:tc>
        <w:tc>
          <w:tcPr>
            <w:tcW w:w="103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 13a-14(a) or 15d-14(a) of the Securities Exchange Act of 1934, as adopted pursuant to Section 302 of the Sarbanes-</w:t>
            </w: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9"/>
              </w:rPr>
              <w:t>Oxley Act of 2002.</w:t>
            </w:r>
          </w:p>
        </w:tc>
        <w:tc>
          <w:tcPr>
            <w:tcW w:w="9180" w:type="dxa"/>
            <w:vAlign w:val="bottom"/>
            <w:tcBorders>
              <w:top w:val="single" w:sz="8" w:color="0000FF"/>
            </w:tcBorders>
            <w:gridSpan w:val="1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7"/>
                <w:szCs w:val="17"/>
                <w:color w:val="auto"/>
              </w:rPr>
            </w:pPr>
          </w:p>
        </w:tc>
        <w:tc>
          <w:tcPr>
            <w:tcW w:w="103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 13a-14(a) or 15d-14(a) of the Securities Exchange Act of 1934, as adopted pursuant to Section 302 of the Sarbanes-</w:t>
            </w:r>
          </w:p>
        </w:tc>
      </w:tr>
      <w:tr>
        <w:trPr>
          <w:trHeight w:val="129"/>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9"/>
              </w:rPr>
              <w:t>Oxley Act of 2002.</w:t>
            </w:r>
          </w:p>
        </w:tc>
        <w:tc>
          <w:tcPr>
            <w:tcW w:w="922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7"/>
                <w:szCs w:val="17"/>
                <w:color w:val="auto"/>
              </w:rPr>
            </w:pPr>
          </w:p>
        </w:tc>
        <w:tc>
          <w:tcPr>
            <w:tcW w:w="8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 adopted pursuant to Section 906 of the Sarbanes-Oxley Act of 2002.</w:t>
            </w:r>
          </w:p>
        </w:tc>
        <w:tc>
          <w:tcPr>
            <w:tcW w:w="1740" w:type="dxa"/>
            <w:vAlign w:val="bottom"/>
            <w:gridSpan w:val="6"/>
          </w:tcPr>
          <w:p>
            <w:pPr>
              <w:spacing w:after="0"/>
              <w:rPr>
                <w:sz w:val="17"/>
                <w:szCs w:val="17"/>
                <w:color w:val="auto"/>
              </w:rPr>
            </w:pPr>
          </w:p>
        </w:tc>
      </w:tr>
      <w:tr>
        <w:trPr>
          <w:trHeight w:val="20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7"/>
                <w:szCs w:val="17"/>
                <w:color w:val="auto"/>
              </w:rPr>
            </w:pPr>
          </w:p>
        </w:tc>
        <w:tc>
          <w:tcPr>
            <w:tcW w:w="85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 adopted pursuant to Section 906 of the Sarbanes-Oxley Act of 2002.</w:t>
            </w:r>
          </w:p>
        </w:tc>
        <w:tc>
          <w:tcPr>
            <w:tcW w:w="1780" w:type="dxa"/>
            <w:vAlign w:val="bottom"/>
            <w:gridSpan w:val="7"/>
          </w:tcPr>
          <w:p>
            <w:pPr>
              <w:spacing w:after="0"/>
              <w:rPr>
                <w:sz w:val="17"/>
                <w:szCs w:val="17"/>
                <w:color w:val="auto"/>
              </w:rPr>
            </w:pPr>
          </w:p>
        </w:tc>
      </w:tr>
    </w:tbl>
    <w:p>
      <w:pPr>
        <w:spacing w:after="0" w:line="60" w:lineRule="exact"/>
        <w:rPr>
          <w:sz w:val="20"/>
          <w:szCs w:val="20"/>
          <w:color w:val="auto"/>
        </w:rPr>
      </w:pPr>
    </w:p>
    <w:p>
      <w:pPr>
        <w:jc w:val="both"/>
        <w:ind w:left="1020" w:right="20" w:hanging="665"/>
        <w:spacing w:after="0" w:line="226"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materials from Arbutus Biopharma Corporation’s Quarterly Report on Form 10-Q for the quarter ended March 31, 2025,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41" w:lineRule="exact"/>
        <w:rPr>
          <w:sz w:val="20"/>
          <w:szCs w:val="20"/>
          <w:color w:val="auto"/>
        </w:rPr>
      </w:pPr>
    </w:p>
    <w:p>
      <w:pPr>
        <w:ind w:right="4160" w:firstLine="355"/>
        <w:spacing w:after="0" w:line="601" w:lineRule="auto"/>
        <w:tabs>
          <w:tab w:leader="none" w:pos="102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and included in Exhibit 101). * Filed herewith.</w:t>
      </w:r>
    </w:p>
    <w:p>
      <w:pPr>
        <w:ind w:left="280" w:hanging="275"/>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1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Arrangement</w:t>
      </w:r>
    </w:p>
    <w:p>
      <w:pPr>
        <w:spacing w:after="0" w:line="125" w:lineRule="exact"/>
        <w:rPr>
          <w:sz w:val="20"/>
          <w:szCs w:val="20"/>
          <w:color w:val="auto"/>
        </w:rPr>
      </w:pPr>
    </w:p>
    <w:p>
      <w:pPr>
        <w:ind w:left="220" w:right="40" w:hanging="508"/>
        <w:spacing w:after="0" w:line="287" w:lineRule="auto"/>
        <w:tabs>
          <w:tab w:leader="none" w:pos="200" w:val="left"/>
        </w:tabs>
        <w:rPr>
          <w:sz w:val="20"/>
          <w:szCs w:val="20"/>
          <w:color w:val="auto"/>
        </w:rPr>
      </w:pPr>
      <w:r>
        <w:rPr>
          <w:rFonts w:ascii="Times New Roman" w:cs="Times New Roman" w:eastAsia="Times New Roman" w:hAnsi="Times New Roman"/>
          <w:sz w:val="14"/>
          <w:szCs w:val="14"/>
          <w:color w:val="auto"/>
        </w:rPr>
        <w:t>+</w:t>
        <w:tab/>
        <w:t>Certain schedules to this agreement have been omitted in accordance with Item 601(a)(5) of Regulation S-K. A copy of any omitted schedules will be furnished supplementally to the SEC upon request.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231140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5" w:right="319" w:bottom="1440" w:gutter="0" w:footer="0" w:header="0"/>
        </w:sectPr>
      </w:pPr>
    </w:p>
    <w:bookmarkStart w:id="40" w:name="page41"/>
    <w:bookmarkEnd w:id="40"/>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ind w:right="80" w:firstLine="48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 on May 14, 2025.</w:t>
      </w:r>
    </w:p>
    <w:p>
      <w:pPr>
        <w:spacing w:after="0" w:line="3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64" w:lineRule="exact"/>
        <w:rPr>
          <w:sz w:val="20"/>
          <w:szCs w:val="20"/>
          <w:color w:val="auto"/>
        </w:rPr>
      </w:pPr>
    </w:p>
    <w:tbl>
      <w:tblPr>
        <w:tblLayout w:type="fixed"/>
        <w:tblInd w:w="558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Lindsay Androski</w:t>
            </w:r>
          </w:p>
        </w:tc>
      </w:tr>
      <w:tr>
        <w:trPr>
          <w:trHeight w:val="167"/>
        </w:trPr>
        <w:tc>
          <w:tcPr>
            <w:tcW w:w="760" w:type="dxa"/>
            <w:vAlign w:val="bottom"/>
          </w:tcPr>
          <w:p>
            <w:pPr>
              <w:spacing w:after="0"/>
              <w:rPr>
                <w:sz w:val="14"/>
                <w:szCs w:val="14"/>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Lindsay Androski</w:t>
            </w:r>
          </w:p>
        </w:tc>
      </w:tr>
      <w:tr>
        <w:trPr>
          <w:trHeight w:val="178"/>
        </w:trPr>
        <w:tc>
          <w:tcPr>
            <w:tcW w:w="760" w:type="dxa"/>
            <w:vAlign w:val="bottom"/>
          </w:tcPr>
          <w:p>
            <w:pPr>
              <w:spacing w:after="0"/>
              <w:rPr>
                <w:sz w:val="15"/>
                <w:szCs w:val="15"/>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76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58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Tuan Nguyen</w:t>
            </w:r>
          </w:p>
        </w:tc>
      </w:tr>
      <w:tr>
        <w:trPr>
          <w:trHeight w:val="167"/>
        </w:trPr>
        <w:tc>
          <w:tcPr>
            <w:tcW w:w="760" w:type="dxa"/>
            <w:vAlign w:val="bottom"/>
          </w:tcPr>
          <w:p>
            <w:pPr>
              <w:spacing w:after="0"/>
              <w:rPr>
                <w:sz w:val="14"/>
                <w:szCs w:val="14"/>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Tuan Nguyen</w:t>
            </w:r>
          </w:p>
        </w:tc>
      </w:tr>
      <w:tr>
        <w:trPr>
          <w:trHeight w:val="178"/>
        </w:trPr>
        <w:tc>
          <w:tcPr>
            <w:tcW w:w="760" w:type="dxa"/>
            <w:vAlign w:val="bottom"/>
          </w:tcPr>
          <w:p>
            <w:pPr>
              <w:spacing w:after="0"/>
              <w:rPr>
                <w:sz w:val="15"/>
                <w:szCs w:val="15"/>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76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r>
      <w:tr>
        <w:trPr>
          <w:trHeight w:val="43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39</w:t>
            </w:r>
          </w:p>
        </w:tc>
        <w:tc>
          <w:tcPr>
            <w:tcW w:w="5020" w:type="dxa"/>
            <w:vAlign w:val="bottom"/>
          </w:tcPr>
          <w:p>
            <w:pPr>
              <w:spacing w:after="0"/>
              <w:rPr>
                <w:sz w:val="24"/>
                <w:szCs w:val="24"/>
                <w:color w:val="auto"/>
              </w:rPr>
            </w:pPr>
          </w:p>
        </w:tc>
      </w:tr>
    </w:tbl>
    <w:p>
      <w:pPr>
        <w:sectPr>
          <w:pgSz w:w="11900" w:h="16838" w:orient="portrait"/>
          <w:cols w:equalWidth="0" w:num="1">
            <w:col w:w="11360"/>
          </w:cols>
          <w:pgMar w:left="300" w:top="1258" w:right="239" w:bottom="1440"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OR 15d-14(a) OF THE SECURITIES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ACT OF 1934, AS ADOPTED PURSUANT TO SECTION 302 OF THE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Lindsay Androski, certify that:</w:t>
      </w:r>
    </w:p>
    <w:p>
      <w:pPr>
        <w:spacing w:after="0" w:line="83" w:lineRule="exact"/>
        <w:rPr>
          <w:sz w:val="20"/>
          <w:szCs w:val="20"/>
          <w:color w:val="auto"/>
        </w:rPr>
      </w:pPr>
    </w:p>
    <w:p>
      <w:pPr>
        <w:ind w:left="960" w:hanging="319"/>
        <w:spacing w:after="0"/>
        <w:tabs>
          <w:tab w:leader="none" w:pos="9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Arbutus Biopharma Corporation;</w:t>
      </w:r>
    </w:p>
    <w:p>
      <w:pPr>
        <w:spacing w:after="0" w:line="72" w:lineRule="exact"/>
        <w:rPr>
          <w:rFonts w:ascii="Times New Roman" w:cs="Times New Roman" w:eastAsia="Times New Roman" w:hAnsi="Times New Roman"/>
          <w:sz w:val="14"/>
          <w:szCs w:val="14"/>
          <w:color w:val="auto"/>
        </w:rPr>
      </w:pPr>
    </w:p>
    <w:p>
      <w:pPr>
        <w:ind w:left="960" w:hanging="319"/>
        <w:spacing w:after="0" w:line="287" w:lineRule="auto"/>
        <w:tabs>
          <w:tab w:leader="none" w:pos="9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960" w:hanging="319"/>
        <w:spacing w:after="0" w:line="287" w:lineRule="auto"/>
        <w:tabs>
          <w:tab w:leader="none" w:pos="9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960" w:hanging="319"/>
        <w:spacing w:after="0"/>
        <w:tabs>
          <w:tab w:leader="none" w:pos="9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9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4"/>
          <w:szCs w:val="14"/>
          <w:color w:val="auto"/>
        </w:rPr>
      </w:pPr>
    </w:p>
    <w:p>
      <w:pPr>
        <w:jc w:val="both"/>
        <w:ind w:left="1340" w:hanging="317"/>
        <w:spacing w:after="0" w:line="270" w:lineRule="auto"/>
        <w:tabs>
          <w:tab w:leader="none" w:pos="133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4"/>
          <w:szCs w:val="14"/>
          <w:color w:val="auto"/>
        </w:rPr>
      </w:pPr>
    </w:p>
    <w:p>
      <w:pPr>
        <w:jc w:val="both"/>
        <w:ind w:left="1340" w:hanging="317"/>
        <w:spacing w:after="0" w:line="270" w:lineRule="auto"/>
        <w:tabs>
          <w:tab w:leader="none" w:pos="1335"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4"/>
          <w:szCs w:val="14"/>
          <w:color w:val="auto"/>
        </w:rPr>
      </w:pPr>
    </w:p>
    <w:p>
      <w:pPr>
        <w:ind w:left="1340" w:hanging="317"/>
        <w:spacing w:after="0" w:line="287" w:lineRule="auto"/>
        <w:tabs>
          <w:tab w:leader="none" w:pos="133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jc w:val="both"/>
        <w:ind w:left="1340" w:hanging="317"/>
        <w:spacing w:after="0" w:line="270" w:lineRule="auto"/>
        <w:tabs>
          <w:tab w:leader="none" w:pos="1335"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4"/>
          <w:szCs w:val="14"/>
          <w:color w:val="auto"/>
        </w:rPr>
      </w:pPr>
    </w:p>
    <w:p>
      <w:pPr>
        <w:ind w:left="960" w:hanging="319"/>
        <w:spacing w:after="0" w:line="287" w:lineRule="auto"/>
        <w:tabs>
          <w:tab w:leader="none" w:pos="9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1340" w:hanging="317"/>
        <w:spacing w:after="0" w:line="287" w:lineRule="auto"/>
        <w:tabs>
          <w:tab w:leader="none" w:pos="133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1340" w:hanging="317"/>
        <w:spacing w:after="0"/>
        <w:tabs>
          <w:tab w:leader="none" w:pos="134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14, 2025</w:t>
      </w:r>
    </w:p>
    <w:p>
      <w:pPr>
        <w:spacing w:after="0" w:line="11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14605</wp:posOffset>
            </wp:positionV>
            <wp:extent cx="32607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Name: Lindsay Androski</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ectPr>
          <w:pgSz w:w="11900" w:h="16838" w:orient="portrait"/>
          <w:cols w:equalWidth="0" w:num="1">
            <w:col w:w="11280"/>
          </w:cols>
          <w:pgMar w:left="300" w:top="802"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OR 15d-14(a) OF THE SECURITIES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ACT OF 1934, AS ADOPTED PURSUANT TO SECTION 302 OF THE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Tuan Nguyen, certify that:</w:t>
      </w:r>
    </w:p>
    <w:p>
      <w:pPr>
        <w:spacing w:after="0" w:line="83" w:lineRule="exact"/>
        <w:rPr>
          <w:sz w:val="20"/>
          <w:szCs w:val="20"/>
          <w:color w:val="auto"/>
        </w:rPr>
      </w:pPr>
    </w:p>
    <w:p>
      <w:pPr>
        <w:ind w:left="960" w:hanging="319"/>
        <w:spacing w:after="0"/>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Arbutus Biopharma Corporation;</w:t>
      </w:r>
    </w:p>
    <w:p>
      <w:pPr>
        <w:spacing w:after="0" w:line="72" w:lineRule="exact"/>
        <w:rPr>
          <w:rFonts w:ascii="Times New Roman" w:cs="Times New Roman" w:eastAsia="Times New Roman" w:hAnsi="Times New Roman"/>
          <w:sz w:val="14"/>
          <w:szCs w:val="14"/>
          <w:color w:val="auto"/>
        </w:rPr>
      </w:pPr>
    </w:p>
    <w:p>
      <w:pPr>
        <w:ind w:left="960" w:hanging="319"/>
        <w:spacing w:after="0" w:line="287" w:lineRule="auto"/>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960" w:hanging="319"/>
        <w:spacing w:after="0" w:line="287" w:lineRule="auto"/>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960" w:hanging="319"/>
        <w:spacing w:after="0"/>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9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4"/>
          <w:szCs w:val="14"/>
          <w:color w:val="auto"/>
        </w:rPr>
      </w:pPr>
    </w:p>
    <w:p>
      <w:pPr>
        <w:jc w:val="both"/>
        <w:ind w:left="1340" w:hanging="317"/>
        <w:spacing w:after="0" w:line="270" w:lineRule="auto"/>
        <w:tabs>
          <w:tab w:leader="none" w:pos="1338"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4"/>
          <w:szCs w:val="14"/>
          <w:color w:val="auto"/>
        </w:rPr>
      </w:pPr>
    </w:p>
    <w:p>
      <w:pPr>
        <w:jc w:val="both"/>
        <w:ind w:left="1340" w:hanging="317"/>
        <w:spacing w:after="0" w:line="270" w:lineRule="auto"/>
        <w:tabs>
          <w:tab w:leader="none" w:pos="1335"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4"/>
          <w:szCs w:val="14"/>
          <w:color w:val="auto"/>
        </w:rPr>
      </w:pPr>
    </w:p>
    <w:p>
      <w:pPr>
        <w:ind w:left="1340" w:hanging="317"/>
        <w:spacing w:after="0" w:line="287" w:lineRule="auto"/>
        <w:tabs>
          <w:tab w:leader="none" w:pos="1338"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jc w:val="both"/>
        <w:ind w:left="1340" w:hanging="317"/>
        <w:spacing w:after="0" w:line="270" w:lineRule="auto"/>
        <w:tabs>
          <w:tab w:leader="none" w:pos="1335"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4"/>
          <w:szCs w:val="14"/>
          <w:color w:val="auto"/>
        </w:rPr>
      </w:pPr>
    </w:p>
    <w:p>
      <w:pPr>
        <w:ind w:left="960" w:hanging="319"/>
        <w:spacing w:after="0" w:line="287" w:lineRule="auto"/>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1340" w:hanging="317"/>
        <w:spacing w:after="0" w:line="287" w:lineRule="auto"/>
        <w:tabs>
          <w:tab w:leader="none" w:pos="1338"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1340" w:hanging="317"/>
        <w:spacing w:after="0"/>
        <w:tabs>
          <w:tab w:leader="none" w:pos="13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14, 2025</w:t>
      </w:r>
    </w:p>
    <w:p>
      <w:pPr>
        <w:spacing w:after="0" w:line="11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/s/ Tuan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14605</wp:posOffset>
            </wp:positionV>
            <wp:extent cx="32607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Name: Tuan Nguyen</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11280"/>
          </w:cols>
          <w:pgMar w:left="300" w:top="802"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Arbutus Biopharma Corporation (the “Company”) for the quarter ended March 31, 2025, as filed with the Securities and Exchange Commission on the date hereof (the “Report”), I, Lindsay Androski, President and Chief Executive Officer of the Company, certify, pursuant to 18 U.S.C. Section 1350, as adopted pursuant to Section 906 of the Sarbanes-Oxley Act of 2002, that to the best of my knowledge:</w:t>
      </w:r>
    </w:p>
    <w:p>
      <w:pPr>
        <w:spacing w:after="0" w:line="178" w:lineRule="exact"/>
        <w:rPr>
          <w:sz w:val="20"/>
          <w:szCs w:val="20"/>
          <w:color w:val="auto"/>
        </w:rPr>
      </w:pPr>
    </w:p>
    <w:p>
      <w:pPr>
        <w:ind w:left="1280" w:hanging="320"/>
        <w:spacing w:after="0"/>
        <w:tabs>
          <w:tab w:leader="none" w:pos="1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72" w:lineRule="exact"/>
        <w:rPr>
          <w:rFonts w:ascii="Times New Roman" w:cs="Times New Roman" w:eastAsia="Times New Roman" w:hAnsi="Times New Roman"/>
          <w:sz w:val="14"/>
          <w:szCs w:val="14"/>
          <w:color w:val="auto"/>
        </w:rPr>
      </w:pPr>
    </w:p>
    <w:p>
      <w:pPr>
        <w:ind w:left="1280" w:hanging="320"/>
        <w:spacing w:after="0"/>
        <w:tabs>
          <w:tab w:leader="none" w:pos="1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14, 2025</w:t>
      </w:r>
    </w:p>
    <w:p>
      <w:pPr>
        <w:spacing w:after="0" w:line="10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14605</wp:posOffset>
            </wp:positionV>
            <wp:extent cx="32607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Name: Lindsay Androski</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ectPr>
          <w:pgSz w:w="11900" w:h="16838" w:orient="portrait"/>
          <w:cols w:equalWidth="0" w:num="1">
            <w:col w:w="11280"/>
          </w:cols>
          <w:pgMar w:left="300" w:top="802" w:right="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Arbutus Biopharma Corporation (the “Company”) for the quarter ended March 31, 2025, as filed with the Securities and Exchange Commission on the date hereof (the “Report”), I, Tuan Nguyen, Chief Financial Officer of the Company, certify, pursuant to 18 U.S.C. Section 1350, as adopted pursuant to Section 906 of the Sarbanes-Oxley Act of 2002, that to the best of my knowledge:</w:t>
      </w:r>
    </w:p>
    <w:p>
      <w:pPr>
        <w:spacing w:after="0" w:line="178" w:lineRule="exact"/>
        <w:rPr>
          <w:sz w:val="20"/>
          <w:szCs w:val="20"/>
          <w:color w:val="auto"/>
        </w:rPr>
      </w:pPr>
    </w:p>
    <w:p>
      <w:pPr>
        <w:ind w:left="1280" w:hanging="320"/>
        <w:spacing w:after="0"/>
        <w:tabs>
          <w:tab w:leader="none" w:pos="1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72" w:lineRule="exact"/>
        <w:rPr>
          <w:rFonts w:ascii="Times New Roman" w:cs="Times New Roman" w:eastAsia="Times New Roman" w:hAnsi="Times New Roman"/>
          <w:sz w:val="14"/>
          <w:szCs w:val="14"/>
          <w:color w:val="auto"/>
        </w:rPr>
      </w:pPr>
    </w:p>
    <w:p>
      <w:pPr>
        <w:ind w:left="1280" w:hanging="320"/>
        <w:spacing w:after="0"/>
        <w:tabs>
          <w:tab w:leader="none" w:pos="1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14, 2025</w:t>
      </w:r>
    </w:p>
    <w:p>
      <w:pPr>
        <w:spacing w:after="0" w:line="10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/s/ Tuan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14605</wp:posOffset>
            </wp:positionV>
            <wp:extent cx="32607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Name: Tuan Nguyen</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Title: Chief Financial Officer</w:t>
      </w:r>
    </w:p>
    <w:sectPr>
      <w:pgSz w:w="11900" w:h="16838" w:orient="portrait"/>
      <w:cols w:equalWidth="0" w:num="1">
        <w:col w:w="11280"/>
      </w:cols>
      <w:pgMar w:left="300" w:top="80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endash "/>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01"/>
    </w:lvl>
  </w:abstractNum>
  <w:abstractNum w:abstractNumId="16">
    <w:nsid w:val="257130A3"/>
    <w:multiLevelType w:val="hybridMultilevel"/>
    <w:lvl w:ilvl="0">
      <w:lvlJc w:val="left"/>
      <w:lvlText w:val="*"/>
      <w:numFmt w:val="bullet"/>
      <w:start w:val="1"/>
    </w:lvl>
    <w:lvl w:ilvl="1">
      <w:lvlJc w:val="left"/>
      <w:lvlText w:val="%2"/>
      <w:numFmt w:val="decimal"/>
      <w:start w:val="104"/>
    </w:lvl>
  </w:abstractNum>
  <w:abstractNum w:abstractNumId="17">
    <w:nsid w:val="62BBD95A"/>
    <w:multiLevelType w:val="hybridMultilevel"/>
    <w:lvl w:ilvl="0">
      <w:lvlJc w:val="left"/>
      <w:lvlText w:val="**"/>
      <w:numFmt w:val="bullet"/>
      <w:start w:val="1"/>
    </w:lvl>
    <w:lvl w:ilvl="1">
      <w:lvlJc w:val="left"/>
      <w:lvlText w:val="%2"/>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62" Type="http://schemas.openxmlformats.org/officeDocument/2006/relationships/hyperlink" Target="https://www.sec.gov/Archives/edgar/data/1447028/000162828018003276/exhibit31_articlesandartic.htm" TargetMode="External"/><Relationship Id="rId63" Type="http://schemas.openxmlformats.org/officeDocument/2006/relationships/hyperlink" Target="https://www.sec.gov/Archives/edgar/data/1447028/000162828018013909/exhibit31amendmenttoarticl.htm" TargetMode="External"/><Relationship Id="rId64" Type="http://schemas.openxmlformats.org/officeDocument/2006/relationships/hyperlink" Target="https://www.sec.gov/Archives/edgar/data/1447028/000117184325001188/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2025-05-14T16:51:12Z</dcterms:created>
  <dcterms:modified xsi:type="dcterms:W3CDTF">2025-05-14T16:51:12Z</dcterms:modified>
</cp:coreProperties>
</file>