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p>
    <w:p>
      <w:pPr>
        <w:pStyle w:val="TextBody"/>
        <w:bidi w:val="0"/>
        <w:spacing w:before="160" w:after="283"/>
        <w:jc w:val="center"/>
        <w:rPr/>
      </w:pPr>
      <w:r>
        <w:rPr/>
      </w:r>
    </w:p>
    <w:p>
      <w:pPr>
        <w:pStyle w:val="TextBody"/>
        <w:bidi w:val="0"/>
        <w:spacing w:before="160" w:after="283"/>
        <w:jc w:val="center"/>
        <w:rPr/>
      </w:pPr>
      <w:r>
        <w:rPr/>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160" w:after="283"/>
        <w:jc w:val="both"/>
        <w:rPr>
          <w:color w:val="000000"/>
        </w:rPr>
      </w:pPr>
      <w:r>
        <w:rPr>
          <w:color w:val="000000"/>
        </w:rPr>
        <w:t xml:space="preserve">☒      </w:t>
      </w:r>
      <w:r>
        <w:rPr>
          <w:rFonts w:ascii="Times New Roman;sans-serif" w:hAnsi="Times New Roman;sans-serif"/>
          <w:b w:val="false"/>
          <w:color w:val="000000"/>
          <w:sz w:val="20"/>
        </w:rPr>
        <w:t>QUARTERLY REPORT PURSUANT TO SECTION 13 OR 15(d) OF THE SECURITIES EXCHANGE ACT OF 1934</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March 31,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bidi w:val="0"/>
        <w:spacing w:lineRule="auto" w:line="288" w:before="160" w:after="283"/>
        <w:jc w:val="both"/>
        <w:rPr>
          <w:color w:val="000000"/>
        </w:rPr>
      </w:pPr>
      <w:r>
        <w:rPr>
          <w:color w:val="000000"/>
        </w:rPr>
        <w:t xml:space="preserve">☐   </w:t>
      </w:r>
      <w:r>
        <w:rPr>
          <w:rFonts w:ascii="Times New Roman;sans-serif" w:hAnsi="Times New Roman;sans-serif"/>
          <w:b w:val="false"/>
          <w:color w:val="000000"/>
          <w:sz w:val="20"/>
        </w:rPr>
        <w:t>TRANSITION REPORT PURSUANT TO SECTION 13 OR 15(d) OF THE SECURITIES EXCHANGE ACT OF 1934</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to          </w:t>
      </w:r>
    </w:p>
    <w:p>
      <w:pPr>
        <w:pStyle w:val="TextBody"/>
        <w:bidi w:val="0"/>
        <w:spacing w:lineRule="auto" w:line="288" w:before="160" w:after="283"/>
        <w:jc w:val="center"/>
        <w:rPr/>
      </w:pPr>
      <w:r>
        <w:rPr>
          <w:rFonts w:ascii="Times New Roman;sans-serif" w:hAnsi="Times New Roman;sans-serif"/>
          <w:b w:val="false"/>
          <w:color w:val="000000"/>
          <w:sz w:val="20"/>
        </w:rPr>
        <w:t xml:space="preserve">Commission File Number: </w:t>
      </w:r>
      <w:r>
        <w:rPr>
          <w:rFonts w:ascii="Times New Roman;sans-serif" w:hAnsi="Times New Roman;sans-serif"/>
          <w:b/>
          <w:color w:val="000000"/>
          <w:sz w:val="20"/>
          <w:u w:val="single"/>
        </w:rPr>
        <w:t>001-34949</w:t>
      </w:r>
    </w:p>
    <w:p>
      <w:pPr>
        <w:pStyle w:val="TextBody"/>
        <w:bidi w:val="0"/>
        <w:spacing w:lineRule="auto" w:line="288" w:before="160" w:after="283"/>
        <w:jc w:val="center"/>
        <w:rPr>
          <w:rFonts w:ascii="Times New Roman;sans-serif" w:hAnsi="Times New Roman;sans-serif"/>
          <w:b/>
          <w:color w:val="000000"/>
          <w:sz w:val="36"/>
          <w:u w:val="single"/>
        </w:rPr>
      </w:pPr>
      <w:r>
        <w:rPr>
          <w:rFonts w:ascii="Times New Roman;sans-serif" w:hAnsi="Times New Roman;sans-serif"/>
          <w:b/>
          <w:color w:val="000000"/>
          <w:sz w:val="36"/>
          <w:u w:val="single"/>
        </w:rPr>
        <w:t>ARBUTUS BIOPHARMA CORPORATION</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4585" w:type="dxa"/>
        <w:jc w:val="center"/>
        <w:tblInd w:w="0" w:type="dxa"/>
        <w:tblLayout w:type="fixed"/>
        <w:tblCellMar>
          <w:top w:w="28" w:type="dxa"/>
          <w:left w:w="28" w:type="dxa"/>
          <w:bottom w:w="28" w:type="dxa"/>
          <w:right w:w="28" w:type="dxa"/>
        </w:tblCellMar>
      </w:tblPr>
      <w:tblGrid>
        <w:gridCol w:w="945"/>
        <w:gridCol w:w="829"/>
        <w:gridCol w:w="835"/>
        <w:gridCol w:w="109"/>
        <w:gridCol w:w="109"/>
        <w:gridCol w:w="109"/>
        <w:gridCol w:w="481"/>
        <w:gridCol w:w="481"/>
        <w:gridCol w:w="687"/>
      </w:tblGrid>
      <w:tr>
        <w:trPr/>
        <w:tc>
          <w:tcPr>
            <w:tcW w:w="94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British Columbia, 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98-0597776</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p>
      <w:pPr>
        <w:pStyle w:val="TextBody"/>
        <w:bidi w:val="0"/>
        <w:spacing w:lineRule="auto" w:line="288" w:before="6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701 Veterans Circle, Warminster, PA 18974</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and Zip Code)</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267-469-0914</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279" w:type="dxa"/>
        <w:jc w:val="center"/>
        <w:tblInd w:w="0" w:type="dxa"/>
        <w:tblLayout w:type="fixed"/>
        <w:tblCellMar>
          <w:top w:w="28" w:type="dxa"/>
          <w:left w:w="28" w:type="dxa"/>
          <w:bottom w:w="28" w:type="dxa"/>
          <w:right w:w="28" w:type="dxa"/>
        </w:tblCellMar>
      </w:tblPr>
      <w:tblGrid>
        <w:gridCol w:w="1070"/>
        <w:gridCol w:w="937"/>
        <w:gridCol w:w="948"/>
        <w:gridCol w:w="539"/>
        <w:gridCol w:w="539"/>
        <w:gridCol w:w="541"/>
        <w:gridCol w:w="1085"/>
        <w:gridCol w:w="1085"/>
        <w:gridCol w:w="1535"/>
      </w:tblGrid>
      <w:tr>
        <w:trPr/>
        <w:tc>
          <w:tcPr>
            <w:tcW w:w="107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each exchange on which registered</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without par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ABUS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The Nasdaq Stock Market LLC</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958" w:type="dxa"/>
        <w:jc w:val="left"/>
        <w:tblInd w:w="0" w:type="dxa"/>
        <w:tblLayout w:type="fixed"/>
        <w:tblCellMar>
          <w:top w:w="28" w:type="dxa"/>
          <w:left w:w="28" w:type="dxa"/>
          <w:bottom w:w="28" w:type="dxa"/>
          <w:right w:w="28" w:type="dxa"/>
        </w:tblCellMar>
      </w:tblPr>
      <w:tblGrid>
        <w:gridCol w:w="711"/>
        <w:gridCol w:w="626"/>
        <w:gridCol w:w="628"/>
        <w:gridCol w:w="479"/>
        <w:gridCol w:w="479"/>
        <w:gridCol w:w="481"/>
        <w:gridCol w:w="614"/>
        <w:gridCol w:w="614"/>
        <w:gridCol w:w="616"/>
        <w:gridCol w:w="769"/>
        <w:gridCol w:w="769"/>
        <w:gridCol w:w="772"/>
        <w:gridCol w:w="703"/>
        <w:gridCol w:w="703"/>
        <w:gridCol w:w="99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Large accelerated filer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44" w:type="dxa"/>
            <w:gridSpan w:val="3"/>
            <w:tcBorders/>
            <w:tcMar>
              <w:top w:w="0" w:type="dxa"/>
              <w:left w:w="0" w:type="dxa"/>
              <w:bottom w:w="0" w:type="dxa"/>
              <w:right w:w="0" w:type="dxa"/>
            </w:tcMar>
            <w:vAlign w:val="center"/>
          </w:tcPr>
          <w:p>
            <w:pPr>
              <w:pStyle w:val="TableContents"/>
              <w:bidi w:val="0"/>
              <w:spacing w:lineRule="auto" w:line="240" w:before="16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160" w:after="283"/>
              <w:jc w:val="center"/>
              <w:rPr>
                <w:color w:val="000000"/>
              </w:rPr>
            </w:pPr>
            <w:r>
              <w:rPr>
                <w:color w:val="000000"/>
              </w:rPr>
              <w:t>☒</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shell company (as defined in Rule 12b-2 of the Exchange Act).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Yes  ☐     No ☒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30, 2024, the registrant had 188,717,409 common shares, without par value,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ARBUTUS BIOPHARMA CORPORATION</w:t>
      </w:r>
    </w:p>
    <w:tbl>
      <w:tblPr>
        <w:tblW w:w="10205" w:type="dxa"/>
        <w:jc w:val="left"/>
        <w:tblInd w:w="0" w:type="dxa"/>
        <w:tblLayout w:type="fixed"/>
        <w:tblCellMar>
          <w:top w:w="28" w:type="dxa"/>
          <w:left w:w="28" w:type="dxa"/>
          <w:bottom w:w="28" w:type="dxa"/>
          <w:right w:w="28" w:type="dxa"/>
        </w:tblCellMar>
      </w:tblPr>
      <w:tblGrid>
        <w:gridCol w:w="593"/>
        <w:gridCol w:w="504"/>
        <w:gridCol w:w="468"/>
        <w:gridCol w:w="2730"/>
        <w:gridCol w:w="2674"/>
        <w:gridCol w:w="2661"/>
        <w:gridCol w:w="167"/>
        <w:gridCol w:w="167"/>
        <w:gridCol w:w="241"/>
      </w:tblGrid>
      <w:tr>
        <w:trPr/>
        <w:tc>
          <w:tcPr>
            <w:tcW w:w="59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1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3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6f73da238b94080857d68489b588ff9_10">
              <w:r>
                <w:rPr>
                  <w:rStyle w:val="InternetLink"/>
                  <w:rFonts w:ascii="Times New Roman;sans-serif" w:hAnsi="Times New Roman;sans-serif"/>
                  <w:b w:val="false"/>
                  <w:color w:val="0000FF"/>
                  <w:sz w:val="20"/>
                  <w:u w:val="single"/>
                </w:rPr>
                <w:t>PART I. FINANCIAL INFORMATION</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6f73da238b94080857d68489b588ff9_10">
              <w:r>
                <w:rPr>
                  <w:rStyle w:val="InternetLink"/>
                  <w:rFonts w:ascii="Times New Roman;sans-serif" w:hAnsi="Times New Roman;sans-serif"/>
                  <w:b w:val="false"/>
                  <w:color w:val="0000FF"/>
                  <w:sz w:val="20"/>
                  <w:u w:val="single"/>
                </w:rPr>
                <w:t>1</w:t>
              </w:r>
            </w:hyperlink>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6f73da238b94080857d68489b588ff9_13">
              <w:r>
                <w:rPr>
                  <w:rStyle w:val="InternetLink"/>
                  <w:strike w:val="false"/>
                  <w:dstrike w:val="false"/>
                  <w:color w:val="0000FF"/>
                  <w:u w:val="none"/>
                  <w:effect w:val="none"/>
                </w:rPr>
                <w:t>           </w:t>
              </w:r>
            </w:hyperlink>
            <w:hyperlink w:anchor="ia6f73da238b94080857d68489b588ff9_13">
              <w:r>
                <w:rPr>
                  <w:rStyle w:val="InternetLink"/>
                  <w:rFonts w:ascii="Times New Roman;sans-serif" w:hAnsi="Times New Roman;sans-serif"/>
                  <w:b w:val="false"/>
                  <w:strike w:val="false"/>
                  <w:dstrike w:val="false"/>
                  <w:color w:val="0000FF"/>
                  <w:sz w:val="20"/>
                  <w:u w:val="none"/>
                  <w:effect w:val="none"/>
                </w:rPr>
                <w:t>ITEM 1.</w:t>
              </w:r>
            </w:hyperlink>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6f73da238b94080857d68489b588ff9_13">
              <w:r>
                <w:rPr>
                  <w:rStyle w:val="InternetLink"/>
                  <w:rFonts w:ascii="Times New Roman;sans-serif" w:hAnsi="Times New Roman;sans-serif"/>
                  <w:b w:val="false"/>
                  <w:color w:val="0000FF"/>
                  <w:sz w:val="20"/>
                  <w:u w:val="single"/>
                </w:rPr>
                <w:t>FINANCIAL STATEMENTS (UNAUDITED)</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6f73da238b94080857d68489b588ff9_13">
              <w:r>
                <w:rPr>
                  <w:rStyle w:val="InternetLink"/>
                  <w:rFonts w:ascii="Times New Roman;sans-serif" w:hAnsi="Times New Roman;sans-serif"/>
                  <w:b w:val="false"/>
                  <w:color w:val="0000FF"/>
                  <w:sz w:val="20"/>
                  <w:u w:val="single"/>
                </w:rPr>
                <w:t>1</w:t>
              </w:r>
            </w:hyperlink>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a6f73da238b94080857d68489b588ff9_64">
              <w:r>
                <w:rPr>
                  <w:rStyle w:val="InternetLink"/>
                  <w:strike w:val="false"/>
                  <w:dstrike w:val="false"/>
                  <w:color w:val="0000FF"/>
                  <w:u w:val="none"/>
                  <w:effect w:val="none"/>
                </w:rPr>
                <w:t>   </w:t>
              </w:r>
            </w:hyperlink>
            <w:hyperlink w:anchor="ia6f73da238b94080857d68489b588ff9_64">
              <w:r>
                <w:rPr>
                  <w:rStyle w:val="InternetLink"/>
                  <w:rFonts w:ascii="Times New Roman;sans-serif" w:hAnsi="Times New Roman;sans-serif"/>
                  <w:b w:val="false"/>
                  <w:strike w:val="false"/>
                  <w:dstrike w:val="false"/>
                  <w:color w:val="0000FF"/>
                  <w:sz w:val="20"/>
                  <w:u w:val="none"/>
                  <w:effect w:val="none"/>
                </w:rPr>
                <w:t>ITEM 2.</w:t>
              </w:r>
            </w:hyperlink>
          </w:p>
        </w:tc>
        <w:tc>
          <w:tcPr>
            <w:tcW w:w="8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6f73da238b94080857d68489b588ff9_64">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6f73da238b94080857d68489b588ff9_64">
              <w:r>
                <w:rPr>
                  <w:rStyle w:val="InternetLink"/>
                  <w:rFonts w:ascii="Times New Roman;sans-serif" w:hAnsi="Times New Roman;sans-serif"/>
                  <w:b w:val="false"/>
                  <w:color w:val="0000FF"/>
                  <w:sz w:val="20"/>
                  <w:u w:val="single"/>
                </w:rPr>
                <w:t>17</w:t>
              </w:r>
            </w:hyperlink>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a6f73da238b94080857d68489b588ff9_88">
              <w:r>
                <w:rPr>
                  <w:rStyle w:val="InternetLink"/>
                  <w:rFonts w:ascii="Times New Roman;sans-serif" w:hAnsi="Times New Roman;sans-serif"/>
                  <w:b w:val="false"/>
                  <w:strike w:val="false"/>
                  <w:dstrike w:val="false"/>
                  <w:color w:val="0000FF"/>
                  <w:sz w:val="20"/>
                  <w:u w:val="none"/>
                  <w:effect w:val="none"/>
                </w:rPr>
                <w:t>ITEM 3.</w:t>
              </w:r>
            </w:hyperlink>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6f73da238b94080857d68489b588ff9_88">
              <w:r>
                <w:rPr>
                  <w:rStyle w:val="InternetLink"/>
                  <w:rFonts w:ascii="Times New Roman;sans-serif" w:hAnsi="Times New Roman;sans-serif"/>
                  <w:b w:val="false"/>
                  <w:color w:val="0000FF"/>
                  <w:sz w:val="20"/>
                  <w:u w:val="single"/>
                </w:rPr>
                <w:t>QUANTITATIVE AND QUALITATIVE DISCLOSURES ABOUT MARKET RISK</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6f73da238b94080857d68489b588ff9_88">
              <w:r>
                <w:rPr>
                  <w:rStyle w:val="InternetLink"/>
                  <w:rFonts w:ascii="Times New Roman;sans-serif" w:hAnsi="Times New Roman;sans-serif"/>
                  <w:b w:val="false"/>
                  <w:color w:val="0000FF"/>
                  <w:sz w:val="20"/>
                  <w:u w:val="single"/>
                </w:rPr>
                <w:t>33</w:t>
              </w:r>
            </w:hyperlink>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a6f73da238b94080857d68489b588ff9_91">
              <w:r>
                <w:rPr>
                  <w:rStyle w:val="InternetLink"/>
                  <w:rFonts w:ascii="Times New Roman;sans-serif" w:hAnsi="Times New Roman;sans-serif"/>
                  <w:b w:val="false"/>
                  <w:strike w:val="false"/>
                  <w:dstrike w:val="false"/>
                  <w:color w:val="0000FF"/>
                  <w:sz w:val="20"/>
                  <w:u w:val="none"/>
                  <w:effect w:val="none"/>
                </w:rPr>
                <w:t>ITEM 4.</w:t>
              </w:r>
            </w:hyperlink>
          </w:p>
        </w:tc>
        <w:tc>
          <w:tcPr>
            <w:tcW w:w="8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6f73da238b94080857d68489b588ff9_91">
              <w:r>
                <w:rPr>
                  <w:rStyle w:val="InternetLink"/>
                  <w:rFonts w:ascii="Times New Roman;sans-serif" w:hAnsi="Times New Roman;sans-serif"/>
                  <w:b w:val="false"/>
                  <w:color w:val="0000FF"/>
                  <w:sz w:val="20"/>
                  <w:u w:val="single"/>
                </w:rPr>
                <w:t>CONTROLS AND PROCEDURES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6f73da238b94080857d68489b588ff9_91">
              <w:r>
                <w:rPr>
                  <w:rStyle w:val="InternetLink"/>
                  <w:rFonts w:ascii="Times New Roman;sans-serif" w:hAnsi="Times New Roman;sans-serif"/>
                  <w:b w:val="false"/>
                  <w:color w:val="0000FF"/>
                  <w:sz w:val="20"/>
                  <w:u w:val="single"/>
                </w:rPr>
                <w:t>33</w:t>
              </w:r>
            </w:hyperlink>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63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6f73da238b94080857d68489b588ff9_94">
              <w:r>
                <w:rPr>
                  <w:rStyle w:val="InternetLink"/>
                  <w:rFonts w:ascii="Times New Roman;sans-serif" w:hAnsi="Times New Roman;sans-serif"/>
                  <w:b w:val="false"/>
                  <w:color w:val="0000FF"/>
                  <w:sz w:val="20"/>
                  <w:u w:val="single"/>
                </w:rPr>
                <w:t>PART II. OTHER INFORMATION</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6f73da238b94080857d68489b588ff9_94">
              <w:r>
                <w:rPr>
                  <w:rStyle w:val="InternetLink"/>
                  <w:rFonts w:ascii="Times New Roman;sans-serif" w:hAnsi="Times New Roman;sans-serif"/>
                  <w:b w:val="false"/>
                  <w:color w:val="0000FF"/>
                  <w:sz w:val="20"/>
                  <w:u w:val="single"/>
                </w:rPr>
                <w:t>35</w:t>
              </w:r>
            </w:hyperlink>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a6f73da238b94080857d68489b588ff9_97">
              <w:r>
                <w:rPr>
                  <w:rStyle w:val="InternetLink"/>
                  <w:rFonts w:ascii="Times New Roman;sans-serif" w:hAnsi="Times New Roman;sans-serif"/>
                  <w:b w:val="false"/>
                  <w:strike w:val="false"/>
                  <w:dstrike w:val="false"/>
                  <w:color w:val="0000FF"/>
                  <w:sz w:val="20"/>
                  <w:u w:val="none"/>
                  <w:effect w:val="none"/>
                </w:rPr>
                <w:t>ITEM 1.</w:t>
              </w:r>
            </w:hyperlink>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6f73da238b94080857d68489b588ff9_97">
              <w:r>
                <w:rPr>
                  <w:rStyle w:val="InternetLink"/>
                  <w:rFonts w:ascii="Times New Roman;sans-serif" w:hAnsi="Times New Roman;sans-serif"/>
                  <w:b w:val="false"/>
                  <w:color w:val="0000FF"/>
                  <w:sz w:val="20"/>
                  <w:u w:val="single"/>
                </w:rPr>
                <w:t>LEGAL PROCEEDINGS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6f73da238b94080857d68489b588ff9_97">
              <w:r>
                <w:rPr>
                  <w:rStyle w:val="InternetLink"/>
                  <w:rFonts w:ascii="Times New Roman;sans-serif" w:hAnsi="Times New Roman;sans-serif"/>
                  <w:b w:val="false"/>
                  <w:color w:val="0000FF"/>
                  <w:sz w:val="20"/>
                  <w:u w:val="single"/>
                </w:rPr>
                <w:t>35</w:t>
              </w:r>
            </w:hyperlink>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a6f73da238b94080857d68489b588ff9_100">
              <w:r>
                <w:rPr>
                  <w:rStyle w:val="InternetLink"/>
                  <w:strike w:val="false"/>
                  <w:dstrike w:val="false"/>
                  <w:color w:val="0000FF"/>
                  <w:u w:val="none"/>
                  <w:effect w:val="none"/>
                </w:rPr>
                <w:t>  </w:t>
              </w:r>
            </w:hyperlink>
            <w:hyperlink w:anchor="ia6f73da238b94080857d68489b588ff9_100">
              <w:r>
                <w:rPr>
                  <w:rStyle w:val="InternetLink"/>
                  <w:rFonts w:ascii="Times New Roman;sans-serif" w:hAnsi="Times New Roman;sans-serif"/>
                  <w:b w:val="false"/>
                  <w:strike w:val="false"/>
                  <w:dstrike w:val="false"/>
                  <w:color w:val="0000FF"/>
                  <w:sz w:val="20"/>
                  <w:u w:val="none"/>
                  <w:effect w:val="none"/>
                </w:rPr>
                <w:t>ITEM 1A.</w:t>
              </w:r>
            </w:hyperlink>
          </w:p>
        </w:tc>
        <w:tc>
          <w:tcPr>
            <w:tcW w:w="8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6f73da238b94080857d68489b588ff9_100">
              <w:r>
                <w:rPr>
                  <w:rStyle w:val="InternetLink"/>
                  <w:rFonts w:ascii="Times New Roman;sans-serif" w:hAnsi="Times New Roman;sans-serif"/>
                  <w:b w:val="false"/>
                  <w:color w:val="0000FF"/>
                  <w:sz w:val="20"/>
                  <w:u w:val="single"/>
                </w:rPr>
                <w:t>RISK FACTORS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6f73da238b94080857d68489b588ff9_100">
              <w:r>
                <w:rPr>
                  <w:rStyle w:val="InternetLink"/>
                  <w:rFonts w:ascii="Times New Roman;sans-serif" w:hAnsi="Times New Roman;sans-serif"/>
                  <w:b w:val="false"/>
                  <w:color w:val="0000FF"/>
                  <w:sz w:val="20"/>
                  <w:u w:val="single"/>
                </w:rPr>
                <w:t>37</w:t>
              </w:r>
            </w:hyperlink>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a6f73da238b94080857d68489b588ff9_103">
              <w:r>
                <w:rPr>
                  <w:rStyle w:val="InternetLink"/>
                  <w:strike w:val="false"/>
                  <w:dstrike w:val="false"/>
                  <w:color w:val="0000FF"/>
                  <w:u w:val="none"/>
                  <w:effect w:val="none"/>
                </w:rPr>
                <w:t> </w:t>
              </w:r>
            </w:hyperlink>
            <w:hyperlink w:anchor="ia6f73da238b94080857d68489b588ff9_103">
              <w:r>
                <w:rPr>
                  <w:rStyle w:val="InternetLink"/>
                  <w:rFonts w:ascii="Times New Roman;sans-serif" w:hAnsi="Times New Roman;sans-serif"/>
                  <w:b w:val="false"/>
                  <w:strike w:val="false"/>
                  <w:dstrike w:val="false"/>
                  <w:color w:val="0000FF"/>
                  <w:sz w:val="20"/>
                  <w:u w:val="none"/>
                  <w:effect w:val="none"/>
                </w:rPr>
                <w:t>ITEM 2.</w:t>
              </w:r>
            </w:hyperlink>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6f73da238b94080857d68489b588ff9_103">
              <w:r>
                <w:rPr>
                  <w:rStyle w:val="InternetLink"/>
                  <w:rFonts w:ascii="Times New Roman;sans-serif" w:hAnsi="Times New Roman;sans-serif"/>
                  <w:b w:val="false"/>
                  <w:color w:val="0000FF"/>
                  <w:sz w:val="20"/>
                  <w:u w:val="single"/>
                </w:rPr>
                <w:t>UNREGISTERED SALES OF EQUITY SECURITIES AND USE OF PROCEEDS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6f73da238b94080857d68489b588ff9_103">
              <w:r>
                <w:rPr>
                  <w:rStyle w:val="InternetLink"/>
                  <w:rFonts w:ascii="Times New Roman;sans-serif" w:hAnsi="Times New Roman;sans-serif"/>
                  <w:b w:val="false"/>
                  <w:color w:val="0000FF"/>
                  <w:sz w:val="20"/>
                  <w:u w:val="single"/>
                </w:rPr>
                <w:t>37</w:t>
              </w:r>
            </w:hyperlink>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a6f73da238b94080857d68489b588ff9_106">
              <w:r>
                <w:rPr>
                  <w:rStyle w:val="InternetLink"/>
                  <w:rFonts w:ascii="Times New Roman;sans-serif" w:hAnsi="Times New Roman;sans-serif"/>
                  <w:b w:val="false"/>
                  <w:strike w:val="false"/>
                  <w:dstrike w:val="false"/>
                  <w:color w:val="0000FF"/>
                  <w:sz w:val="20"/>
                  <w:u w:val="none"/>
                  <w:effect w:val="none"/>
                </w:rPr>
                <w:t>ITEM 3.</w:t>
              </w:r>
            </w:hyperlink>
          </w:p>
        </w:tc>
        <w:tc>
          <w:tcPr>
            <w:tcW w:w="8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6f73da238b94080857d68489b588ff9_106">
              <w:r>
                <w:rPr>
                  <w:rStyle w:val="InternetLink"/>
                  <w:rFonts w:ascii="Times New Roman;sans-serif" w:hAnsi="Times New Roman;sans-serif"/>
                  <w:b w:val="false"/>
                  <w:color w:val="0000FF"/>
                  <w:sz w:val="20"/>
                  <w:u w:val="single"/>
                </w:rPr>
                <w:t>DEFAULTS UPON SENIOR SECURITIES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6f73da238b94080857d68489b588ff9_106">
              <w:r>
                <w:rPr>
                  <w:rStyle w:val="InternetLink"/>
                  <w:rFonts w:ascii="Times New Roman;sans-serif" w:hAnsi="Times New Roman;sans-serif"/>
                  <w:b w:val="false"/>
                  <w:color w:val="0000FF"/>
                  <w:sz w:val="20"/>
                  <w:u w:val="single"/>
                </w:rPr>
                <w:t>37</w:t>
              </w:r>
            </w:hyperlink>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a6f73da238b94080857d68489b588ff9_109">
              <w:r>
                <w:rPr>
                  <w:rStyle w:val="InternetLink"/>
                  <w:rFonts w:ascii="Times New Roman;sans-serif" w:hAnsi="Times New Roman;sans-serif"/>
                  <w:b w:val="false"/>
                  <w:strike w:val="false"/>
                  <w:dstrike w:val="false"/>
                  <w:color w:val="0000FF"/>
                  <w:sz w:val="20"/>
                  <w:u w:val="none"/>
                  <w:effect w:val="none"/>
                </w:rPr>
                <w:t>ITEM 4.</w:t>
              </w:r>
            </w:hyperlink>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6f73da238b94080857d68489b588ff9_109">
              <w:r>
                <w:rPr>
                  <w:rStyle w:val="InternetLink"/>
                  <w:rFonts w:ascii="Times New Roman;sans-serif" w:hAnsi="Times New Roman;sans-serif"/>
                  <w:b w:val="false"/>
                  <w:color w:val="0000FF"/>
                  <w:sz w:val="20"/>
                  <w:u w:val="single"/>
                </w:rPr>
                <w:t>MINE SAFETY DISCLOSURES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6f73da238b94080857d68489b588ff9_109">
              <w:r>
                <w:rPr>
                  <w:rStyle w:val="InternetLink"/>
                  <w:rFonts w:ascii="Times New Roman;sans-serif" w:hAnsi="Times New Roman;sans-serif"/>
                  <w:b w:val="false"/>
                  <w:color w:val="0000FF"/>
                  <w:sz w:val="20"/>
                  <w:u w:val="single"/>
                </w:rPr>
                <w:t>37</w:t>
              </w:r>
            </w:hyperlink>
          </w:p>
        </w:tc>
      </w:tr>
      <w:tr>
        <w:trPr/>
        <w:tc>
          <w:tcPr>
            <w:tcW w:w="1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a6f73da238b94080857d68489b588ff9_112">
              <w:r>
                <w:rPr>
                  <w:rStyle w:val="InternetLink"/>
                  <w:strike w:val="false"/>
                  <w:dstrike w:val="false"/>
                  <w:color w:val="0000FF"/>
                  <w:u w:val="none"/>
                  <w:effect w:val="none"/>
                </w:rPr>
                <w:t> </w:t>
              </w:r>
            </w:hyperlink>
            <w:hyperlink w:anchor="ia6f73da238b94080857d68489b588ff9_112">
              <w:r>
                <w:rPr>
                  <w:rStyle w:val="InternetLink"/>
                  <w:rFonts w:ascii="Times New Roman;sans-serif" w:hAnsi="Times New Roman;sans-serif"/>
                  <w:b w:val="false"/>
                  <w:strike w:val="false"/>
                  <w:dstrike w:val="false"/>
                  <w:color w:val="0000FF"/>
                  <w:sz w:val="20"/>
                  <w:u w:val="none"/>
                  <w:effect w:val="none"/>
                </w:rPr>
                <w:t>ITEM 5.</w:t>
              </w:r>
            </w:hyperlink>
          </w:p>
        </w:tc>
        <w:tc>
          <w:tcPr>
            <w:tcW w:w="8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6f73da238b94080857d68489b588ff9_112">
              <w:r>
                <w:rPr>
                  <w:rStyle w:val="InternetLink"/>
                  <w:rFonts w:ascii="Times New Roman;sans-serif" w:hAnsi="Times New Roman;sans-serif"/>
                  <w:b w:val="false"/>
                  <w:color w:val="0000FF"/>
                  <w:sz w:val="20"/>
                  <w:u w:val="single"/>
                </w:rPr>
                <w:t>OTHER INFORMATION</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6f73da238b94080857d68489b588ff9_112">
              <w:r>
                <w:rPr>
                  <w:rStyle w:val="InternetLink"/>
                  <w:rFonts w:ascii="Times New Roman;sans-serif" w:hAnsi="Times New Roman;sans-serif"/>
                  <w:b w:val="false"/>
                  <w:color w:val="0000FF"/>
                  <w:sz w:val="20"/>
                  <w:u w:val="single"/>
                </w:rPr>
                <w:t>37</w:t>
              </w:r>
            </w:hyperlink>
          </w:p>
        </w:tc>
      </w:tr>
      <w:tr>
        <w:trPr/>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a6f73da238b94080857d68489b588ff9_115">
              <w:r>
                <w:rPr>
                  <w:rStyle w:val="InternetLink"/>
                  <w:strike w:val="false"/>
                  <w:dstrike w:val="false"/>
                  <w:color w:val="0000FF"/>
                  <w:u w:val="none"/>
                  <w:effect w:val="none"/>
                </w:rPr>
                <w:t> </w:t>
              </w:r>
            </w:hyperlink>
            <w:hyperlink w:anchor="ia6f73da238b94080857d68489b588ff9_115">
              <w:r>
                <w:rPr>
                  <w:rStyle w:val="InternetLink"/>
                  <w:rFonts w:ascii="Times New Roman;sans-serif" w:hAnsi="Times New Roman;sans-serif"/>
                  <w:b w:val="false"/>
                  <w:strike w:val="false"/>
                  <w:dstrike w:val="false"/>
                  <w:color w:val="0000FF"/>
                  <w:sz w:val="20"/>
                  <w:u w:val="none"/>
                  <w:effect w:val="none"/>
                </w:rPr>
                <w:t>ITEM 6.</w:t>
              </w:r>
            </w:hyperlink>
          </w:p>
        </w:tc>
        <w:tc>
          <w:tcPr>
            <w:tcW w:w="8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6f73da238b94080857d68489b588ff9_115">
              <w:r>
                <w:rPr>
                  <w:rStyle w:val="InternetLink"/>
                  <w:rFonts w:ascii="Times New Roman;sans-serif" w:hAnsi="Times New Roman;sans-serif"/>
                  <w:b w:val="false"/>
                  <w:color w:val="0000FF"/>
                  <w:sz w:val="20"/>
                  <w:u w:val="single"/>
                </w:rPr>
                <w:t>EXHIBITS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6f73da238b94080857d68489b588ff9_115">
              <w:r>
                <w:rPr>
                  <w:rStyle w:val="InternetLink"/>
                  <w:rFonts w:ascii="Times New Roman;sans-serif" w:hAnsi="Times New Roman;sans-serif"/>
                  <w:b w:val="false"/>
                  <w:color w:val="0000FF"/>
                  <w:sz w:val="20"/>
                  <w:u w:val="singl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51460"/>
                <wp:effectExtent l="0" t="0" r="0" b="0"/>
                <wp:wrapNone/>
                <wp:docPr id="3"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ARBUTUS BIOPHARMA CORPORATION</w:t>
      </w: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of U.S. Dollars, except share amounts)</w:t>
      </w:r>
    </w:p>
    <w:tbl>
      <w:tblPr>
        <w:tblW w:w="8875" w:type="dxa"/>
        <w:jc w:val="center"/>
        <w:tblInd w:w="0" w:type="dxa"/>
        <w:tblLayout w:type="fixed"/>
        <w:tblCellMar>
          <w:top w:w="28" w:type="dxa"/>
          <w:left w:w="28" w:type="dxa"/>
          <w:bottom w:w="28" w:type="dxa"/>
          <w:right w:w="28" w:type="dxa"/>
        </w:tblCellMar>
      </w:tblPr>
      <w:tblGrid>
        <w:gridCol w:w="2070"/>
        <w:gridCol w:w="1826"/>
        <w:gridCol w:w="1849"/>
        <w:gridCol w:w="232"/>
        <w:gridCol w:w="908"/>
        <w:gridCol w:w="119"/>
        <w:gridCol w:w="109"/>
        <w:gridCol w:w="109"/>
        <w:gridCol w:w="109"/>
        <w:gridCol w:w="273"/>
        <w:gridCol w:w="1072"/>
        <w:gridCol w:w="199"/>
      </w:tblGrid>
      <w:tr>
        <w:trPr/>
        <w:tc>
          <w:tcPr>
            <w:tcW w:w="2070"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current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99,718 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135,872 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132,027 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of accumulated depreciation of $12,256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(December 31, 2023: $11,900)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non-current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150,290 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144,401 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license revenue, current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current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sale of future royalties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 non-current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unlimited number without par value</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180,192,227</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 169,867,414)</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1,377,315 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1,349,821 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81,270 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Deficit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(1,294,527)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(1,276,652)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114,637 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106,018 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150,290 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144,401 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ARBUTUS BIOPHARMA CORPORATION</w:t>
      </w: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Operations and Comprehensive Loss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of U.S. Dollars, except share and per share amounts)</w:t>
      </w:r>
    </w:p>
    <w:p>
      <w:pPr>
        <w:pStyle w:val="TextBody"/>
        <w:bidi w:val="0"/>
        <w:spacing w:before="0" w:after="0"/>
        <w:jc w:val="center"/>
        <w:rPr/>
      </w:pPr>
      <w:r>
        <w:rPr/>
      </w:r>
    </w:p>
    <w:tbl>
      <w:tblPr>
        <w:tblW w:w="7135" w:type="dxa"/>
        <w:jc w:val="center"/>
        <w:tblInd w:w="0" w:type="dxa"/>
        <w:tblLayout w:type="fixed"/>
        <w:tblCellMar>
          <w:top w:w="28" w:type="dxa"/>
          <w:left w:w="28" w:type="dxa"/>
          <w:bottom w:w="28" w:type="dxa"/>
          <w:right w:w="28" w:type="dxa"/>
        </w:tblCellMar>
      </w:tblPr>
      <w:tblGrid>
        <w:gridCol w:w="1466"/>
        <w:gridCol w:w="1293"/>
        <w:gridCol w:w="1305"/>
        <w:gridCol w:w="264"/>
        <w:gridCol w:w="922"/>
        <w:gridCol w:w="109"/>
        <w:gridCol w:w="109"/>
        <w:gridCol w:w="109"/>
        <w:gridCol w:w="109"/>
        <w:gridCol w:w="264"/>
        <w:gridCol w:w="922"/>
        <w:gridCol w:w="109"/>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Collaborations and licenses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royalty revenue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income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share</w:t>
            </w:r>
          </w:p>
        </w:tc>
        <w:tc>
          <w:tcPr>
            <w:tcW w:w="129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w:t>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175,625,552 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161,643,404 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available-for-sale securities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ARBUTUS BIOPHARMA CORPORATION</w:t>
      </w: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of U.S. Dollars, except share amounts)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25"/>
        <w:gridCol w:w="320"/>
        <w:gridCol w:w="322"/>
        <w:gridCol w:w="525"/>
        <w:gridCol w:w="526"/>
        <w:gridCol w:w="240"/>
        <w:gridCol w:w="109"/>
        <w:gridCol w:w="109"/>
        <w:gridCol w:w="109"/>
        <w:gridCol w:w="196"/>
        <w:gridCol w:w="871"/>
        <w:gridCol w:w="109"/>
        <w:gridCol w:w="109"/>
        <w:gridCol w:w="109"/>
        <w:gridCol w:w="109"/>
        <w:gridCol w:w="204"/>
        <w:gridCol w:w="674"/>
        <w:gridCol w:w="113"/>
        <w:gridCol w:w="109"/>
        <w:gridCol w:w="109"/>
        <w:gridCol w:w="109"/>
        <w:gridCol w:w="196"/>
        <w:gridCol w:w="888"/>
        <w:gridCol w:w="109"/>
        <w:gridCol w:w="109"/>
        <w:gridCol w:w="109"/>
        <w:gridCol w:w="109"/>
        <w:gridCol w:w="260"/>
        <w:gridCol w:w="879"/>
        <w:gridCol w:w="145"/>
        <w:gridCol w:w="109"/>
        <w:gridCol w:w="109"/>
        <w:gridCol w:w="109"/>
        <w:gridCol w:w="209"/>
        <w:gridCol w:w="787"/>
        <w:gridCol w:w="172"/>
      </w:tblGrid>
      <w:tr>
        <w:trPr/>
        <w:tc>
          <w:tcPr>
            <w:tcW w:w="82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169,867,414 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1,349,821 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81,270 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(1,276,652)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(48,421)</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106,018 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2,014 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2,014 </w:t>
            </w:r>
          </w:p>
        </w:tc>
        <w:tc>
          <w:tcPr>
            <w:tcW w:w="17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the Open Market Sale Agreement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8,666,077 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21,765 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exercise of options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1,126,691 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ESPP</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121,563 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upon vesting of RSUs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410,482 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available-for-sale securities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(17,875)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2024</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180,192,227 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1,377,315 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80,220 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(1,294,527)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(48,371)</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114,637 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146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25" w:type="dxa"/>
        <w:jc w:val="center"/>
        <w:tblInd w:w="0" w:type="dxa"/>
        <w:tblLayout w:type="fixed"/>
        <w:tblCellMar>
          <w:top w:w="28" w:type="dxa"/>
          <w:left w:w="28" w:type="dxa"/>
          <w:bottom w:w="28" w:type="dxa"/>
          <w:right w:w="28" w:type="dxa"/>
        </w:tblCellMar>
      </w:tblPr>
      <w:tblGrid>
        <w:gridCol w:w="784"/>
        <w:gridCol w:w="268"/>
        <w:gridCol w:w="269"/>
        <w:gridCol w:w="109"/>
        <w:gridCol w:w="109"/>
        <w:gridCol w:w="109"/>
        <w:gridCol w:w="525"/>
        <w:gridCol w:w="526"/>
        <w:gridCol w:w="231"/>
        <w:gridCol w:w="109"/>
        <w:gridCol w:w="109"/>
        <w:gridCol w:w="109"/>
        <w:gridCol w:w="196"/>
        <w:gridCol w:w="871"/>
        <w:gridCol w:w="109"/>
        <w:gridCol w:w="109"/>
        <w:gridCol w:w="109"/>
        <w:gridCol w:w="109"/>
        <w:gridCol w:w="196"/>
        <w:gridCol w:w="646"/>
        <w:gridCol w:w="109"/>
        <w:gridCol w:w="109"/>
        <w:gridCol w:w="109"/>
        <w:gridCol w:w="109"/>
        <w:gridCol w:w="196"/>
        <w:gridCol w:w="886"/>
        <w:gridCol w:w="109"/>
        <w:gridCol w:w="109"/>
        <w:gridCol w:w="109"/>
        <w:gridCol w:w="109"/>
        <w:gridCol w:w="246"/>
        <w:gridCol w:w="832"/>
        <w:gridCol w:w="138"/>
        <w:gridCol w:w="109"/>
        <w:gridCol w:w="109"/>
        <w:gridCol w:w="109"/>
        <w:gridCol w:w="203"/>
        <w:gridCol w:w="763"/>
        <w:gridCol w:w="160"/>
      </w:tblGrid>
      <w:tr>
        <w:trPr/>
        <w:tc>
          <w:tcPr>
            <w:tcW w:w="78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157,455,363 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1,318,737 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(1,203,803)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(50,488)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136,852 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2,131 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the Open Market Sale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7,423,622 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exercise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101,356 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shares pursuant to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151,852 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(16,339)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165,132,193 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1,339,453 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(1,220,142)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(49,634)</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143,915 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283"/>
        <w:jc w:val="center"/>
        <w:rPr/>
      </w:pPr>
      <w:r>
        <w:rPr/>
      </w:r>
    </w:p>
    <w:p>
      <w:pPr>
        <w:pStyle w:val="TextBody"/>
        <w:bidi w:val="0"/>
        <w:spacing w:before="160" w:after="283"/>
        <w:jc w:val="center"/>
        <w:rPr/>
      </w:pPr>
      <w:r>
        <w:rPr/>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ARBUTUS BIOPHARMA CORPORATION</w:t>
      </w: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of U.S. Dollars)</w:t>
      </w:r>
    </w:p>
    <w:tbl>
      <w:tblPr>
        <w:tblW w:w="7778" w:type="dxa"/>
        <w:jc w:val="center"/>
        <w:tblInd w:w="0" w:type="dxa"/>
        <w:tblLayout w:type="fixed"/>
        <w:tblCellMar>
          <w:top w:w="28" w:type="dxa"/>
          <w:left w:w="28" w:type="dxa"/>
          <w:bottom w:w="28" w:type="dxa"/>
          <w:right w:w="28" w:type="dxa"/>
        </w:tblCellMar>
      </w:tblPr>
      <w:tblGrid>
        <w:gridCol w:w="1932"/>
        <w:gridCol w:w="1698"/>
        <w:gridCol w:w="1709"/>
        <w:gridCol w:w="197"/>
        <w:gridCol w:w="727"/>
        <w:gridCol w:w="109"/>
        <w:gridCol w:w="109"/>
        <w:gridCol w:w="109"/>
        <w:gridCol w:w="109"/>
        <w:gridCol w:w="197"/>
        <w:gridCol w:w="727"/>
        <w:gridCol w:w="155"/>
      </w:tblGrid>
      <w:tr>
        <w:trPr/>
        <w:tc>
          <w:tcPr>
            <w:tcW w:w="1932"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items:</w:t>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contingent consideration</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royalty revenue</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accretion and amortization of investments in marketable securities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operating items:</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liabilities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deferred license revenue</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operating activities</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(27,301)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investments in marketable securities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Disposition of investments in marketable securities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property and equipment</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investing activities</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shares pursuant to the Open Market Sale Agreement</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shares pursuant to exercise of stock options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shares pursuant to exercise of ESPP</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financing activities</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exchange rate changes on cash and cash equivalents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Increase in cash and cash equivalents</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end of period</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40,574 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120" w:after="283"/>
        <w:jc w:val="left"/>
        <w:rPr/>
      </w:pPr>
      <w:r>
        <w:rPr/>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ARBUTUS BIOPHARMA CORPORATION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amounts in thousands of U.S. Dollars, except share and per share amounts) </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shd w:fill="FFFFFF" w:val="clear"/>
        </w:rPr>
        <w:t>1.    </w:t>
      </w:r>
      <w:r>
        <w:rPr>
          <w:rFonts w:ascii="Times New Roman;sans-serif" w:hAnsi="Times New Roman;sans-serif"/>
          <w:b/>
          <w:color w:val="000000"/>
          <w:sz w:val="20"/>
        </w:rPr>
        <w:t>Nature of business and future operations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Description of the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Arbutus Biopharma Corporation (“Arbutus” or “the Company”) is a clinical-stage biopharmaceutical company leveraging its extensive virology expertise to identify and develop novel therapeutics with distinct mechanisms of action, which can potentially be combined to provide a functional cure for patients with chronic hepatitis B virus (cHBV) infection. The Company believes the key to success in developing a functional cure involves suppressing hepatitis B virus deoxyribonucleic acid, reducing hepatitis B surface antigen and boosting HBV-specific immune responses. The Company’s pipeline of internally developed, proprietary compounds includes an RNAi therapeutic, imdusiran (AB-729), and an oral PD-L1 inhibitor, AB-101. Imdusiran has generated meaningful clinical data demonstrating an impact on both surface antigen reduction and reawakening of the HBV-specific immune response. Imdusiran is currently in three Phase 2a combination clinical trials. AB-101 is currently being evaluated in a Phase 1a/1b clinical trial.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protect and defend its intellectual property, which is the subject of the Company’s on-going lawsuits against Moderna and Pfizer/BioNTech for their use of its patented LNP technology in their COVID-19 vaccines. With respect to the Moderna lawsuit, the claim construction hearing occurred on February 8, 2024. On April 3, 2024, the Court provided its claim construction ruling, in which it construed the disputed claim terms and agreed with Arbutus’ position on most of the disputed claim terms. Fact discovery is on-going and next steps include expert reports and depositions. A trial date has been set for April 21, 2025, and is subject to change. The lawsuit against Pfizer/BioNTech is ongoing and a date for a claim construction hearing has not been set.  </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the Company had an aggregate of $137.9 million in cash, cash equivalents and investments in marketable securities. The Company had no outstanding debt as of March 31, 2024. The Company believes it has sufficient cash resources to fund its operations for at least the next 12 months.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the Company is dependent on obtaining the necessary regulatory approvals to bring its products to market and achieve profitable operations. The Company’s research and development activities and the commercialization of its products are dependent on its ability to successfully complete these activities and to obtain adequate financing through a combination of financing activities and operations. It is not possible to predict either the outcome of the Company’s existing or future research and development programs or the Company’s ability to continue to fund these programs in the future.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shd w:fill="FFFFFF" w:val="clear"/>
        </w:rPr>
        <w:t>2.    </w:t>
      </w:r>
      <w:r>
        <w:rPr>
          <w:rFonts w:ascii="Times New Roman;sans-serif" w:hAnsi="Times New Roman;sans-serif"/>
          <w:b/>
          <w:color w:val="000000"/>
          <w:sz w:val="20"/>
        </w:rPr>
        <w:t>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unaudited condensed consolidated financial statements have been prepared in accordance with United States generally accepted accounting principles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2023 included in the Company’s Annual Report on Form 10-K for the year ended December 31, 2023. These unaudited condensed consolidated financial statements include the accounts of Arbutus Biopharma Corporation and its one wholly-owned subsidiary, Arbutus Biopharma, Inc., and reflect, in the opinion of management, all adjustments and reclassifications necessary to fairly present the Company’s financial position as of March 31, 2024 and December 31, 2023, the Company’s results of operations for the three months ended March 31, 2024 and 2023, and the Company’s cash flows for the three months ended March 31, 2024 and 2023. Such adjustments are of a normal recurring nature. The results of operations for the three months ended March 31, 2024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2023, except as described below under Recent Accounting Pronouncements.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120" w:after="283"/>
        <w:jc w:val="left"/>
        <w:rPr/>
      </w:pPr>
      <w:r>
        <w:rPr/>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intercompany balances and transactions have been eliminated.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loss per share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per share is calculated based on the weighted average number of common shares outstanding. Diluted net loss per share does not differ from basic net loss per share for the three months ended March 31, 2024 and 2023, since the effect of including potential common shares would be anti-dilutive. For the three months ended March 31, 2024, potential common shares of 22.6 million pertaining to outstanding stock options and unvested restricted stock units were excluded from the calculation of net loss per share. A total of approximately 19.7 million outstanding stock options were excluded from the calculation for the three months ended March 31,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 from collaborations and licenses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generates revenue through certain collaboration agreements and license agreements. Such agreements may require the Company to deliver various rights and/or services, including intellectual property rights or licenses and research and development services. Under such agreements, the Company is generally eligible to receive non-refundable upfront payments, funding for research and development services, milestone payments and royalties.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Company’s collaboration agreements fall under the scope of Accounting Standards Codification (ASC) Topic 808, </w:t>
      </w:r>
      <w:r>
        <w:rPr>
          <w:rFonts w:ascii="Times New Roman;sans-serif" w:hAnsi="Times New Roman;sans-serif"/>
          <w:b w:val="false"/>
          <w:i/>
          <w:color w:val="000000"/>
          <w:sz w:val="20"/>
        </w:rPr>
        <w:t>Collaborative Arrangements</w:t>
      </w:r>
      <w:r>
        <w:rPr>
          <w:color w:val="000000"/>
        </w:rPr>
        <w:t xml:space="preserve"> </w:t>
      </w:r>
      <w:r>
        <w:rPr>
          <w:rFonts w:ascii="Times New Roman;sans-serif" w:hAnsi="Times New Roman;sans-serif"/>
          <w:b w:val="false"/>
          <w:color w:val="000000"/>
          <w:sz w:val="20"/>
        </w:rPr>
        <w:t xml:space="preserve">(ASC 808, when both parties are active participants in the arrangement and are exposed to significant risks and rewards. For certain arrangements under the scope of ASC 808, the Company analogizes to ASC Topic 606, </w:t>
      </w:r>
      <w:r>
        <w:rPr>
          <w:rFonts w:ascii="Times New Roman;sans-serif" w:hAnsi="Times New Roman;sans-serif"/>
          <w:b w:val="false"/>
          <w:i/>
          <w:color w:val="000000"/>
          <w:sz w:val="20"/>
        </w:rPr>
        <w:t xml:space="preserve">Revenue from Contracts with Customers </w:t>
      </w:r>
      <w:r>
        <w:rPr>
          <w:rFonts w:ascii="Times New Roman;sans-serif" w:hAnsi="Times New Roman;sans-serif"/>
          <w:b w:val="false"/>
          <w:color w:val="000000"/>
          <w:sz w:val="20"/>
        </w:rPr>
        <w:t>(ASC 606), for some aspects, including for the delivery of a good or service (i.e., a unit of account).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Deferred Revenue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When consideration is received or is unconditionally due from a customer, collaborator or licensee prior to the Company completing its performance obligation to the customer, collaborator or licensee under the terms of a contract, deferred revenue is recorded. Deferred revenue expected to be recognized as revenue within the 12 months following the balance sheet date is classified as a current liability. Deferred revenue not expected to be recognized as revenue within the 12 months following the balance sheet date is classified as a long-term liability. In accordance with ASC Topic 210-20, </w:t>
      </w:r>
      <w:r>
        <w:rPr>
          <w:rFonts w:ascii="Times New Roman;sans-serif" w:hAnsi="Times New Roman;sans-serif"/>
          <w:b w:val="false"/>
          <w:i/>
          <w:color w:val="000000"/>
          <w:sz w:val="20"/>
        </w:rPr>
        <w:t>Balance Sheet - Offsetting</w:t>
      </w:r>
      <w:r>
        <w:rPr>
          <w:color w:val="000000"/>
        </w:rPr>
        <w:t xml:space="preserve"> </w:t>
      </w:r>
      <w:r>
        <w:rPr>
          <w:rFonts w:ascii="Times New Roman;sans-serif" w:hAnsi="Times New Roman;sans-serif"/>
          <w:b w:val="false"/>
          <w:color w:val="000000"/>
          <w:sz w:val="20"/>
        </w:rPr>
        <w:t>(ASC 210-20) the Company’s deferred revenue is offset by a contract asset as further discussed in Note 9.</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as a single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120" w:after="283"/>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2016, the Financial Accounting Standards Board (FASB) issued Accounting Standards Update (ASU) 2016-13, Financial Instruments - Credit Losses: Measurement of Credit Losses in Financial Instruments (ASC 326). The guidance was effective for the Company beginning January 1, 2023 and it changed how entities account for credit losses on the financial assets and other instruments that are not measured at fair value through net income, including available-for-sale debt securities. The adoption of ASC 326 did not have a material impact on the Company’s results of operations or financial position.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FASB issued ASU No. 2023-07, Segment Reporting (Topic 280): Improvements to Reportable Segment Disclosures (ASU 2023-07), which requires disclosure of significant segment expenses and other segment items on an annual and interim basis under ASC 280. ASU 2023-07 is effective for fiscal years beginning after December 15, 2023, and for interim periods beginning after December 15, 2024. Early adoption is permitted and the amendments in this ASU should be applied on a retrospective basis to all periods presented. The Company has not determined the impact ASU 2023-07 may have on the Company’s financial statement disclosures.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FASB issued ASU No. 2023-09, Income Taxes (Topic 740): Improvements to Income Tax Disclosures (ASU 2023-09), which improves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ASU 2023-09 is effective for annual periods beginning after December 15, 2024. Early adoption is permitted. The ASU indicates that all entities will apply the guidance prospectively with an option for retroactive application to each period presented in the financial statements. The Company has not determined the impact ASU 2023-09 may have on the Company’s financial statement disclosures.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reviewed all other recently issued standards and has determined that such standards will not have a material impact on the Company’s financial statements or do not otherwise apply to the Company’s operations.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Fair value measurements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certain financial instruments and other items at fair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determine the fair value, the Company uses the fair value hierarchy for inputs used in measuring fair value that maximize the use of observable inputs and minimize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 </w:t>
      </w:r>
    </w:p>
    <w:p>
      <w:pPr>
        <w:pStyle w:val="TextBody"/>
        <w:bidi w:val="0"/>
        <w:spacing w:lineRule="auto" w:line="288" w:before="180" w:after="283"/>
        <w:ind w:left="0" w:right="0" w:hanging="540"/>
        <w:jc w:val="both"/>
        <w:rPr/>
      </w:pPr>
      <w:r>
        <w:rPr>
          <w:color w:val="000000"/>
        </w:rPr>
        <w:t>•</w:t>
      </w:r>
      <w:r>
        <w:rPr>
          <w:rFonts w:ascii="Times New Roman;sans-serif" w:hAnsi="Times New Roman;sans-serif"/>
          <w:b w:val="false"/>
          <w:color w:val="000000"/>
          <w:sz w:val="20"/>
        </w:rPr>
        <w:t>Level 1 inputs are quoted market prices for identical instruments available in active markets.</w:t>
      </w:r>
    </w:p>
    <w:p>
      <w:pPr>
        <w:pStyle w:val="TextBody"/>
        <w:bidi w:val="0"/>
        <w:spacing w:lineRule="auto" w:line="288" w:before="180" w:after="283"/>
        <w:ind w:left="0" w:right="0" w:hanging="540"/>
        <w:jc w:val="both"/>
        <w:rPr/>
      </w:pPr>
      <w:r>
        <w:rPr>
          <w:color w:val="000000"/>
        </w:rPr>
        <w:t>•</w:t>
      </w:r>
      <w:r>
        <w:rPr>
          <w:rFonts w:ascii="Times New Roman;sans-serif" w:hAnsi="Times New Roman;sans-serif"/>
          <w:b w:val="false"/>
          <w:color w:val="000000"/>
          <w:sz w:val="20"/>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pStyle w:val="TextBody"/>
        <w:bidi w:val="0"/>
        <w:spacing w:lineRule="auto" w:line="288" w:before="180" w:after="283"/>
        <w:ind w:left="0" w:right="0" w:hanging="540"/>
        <w:jc w:val="both"/>
        <w:rPr/>
      </w:pPr>
      <w:r>
        <w:rPr>
          <w:color w:val="000000"/>
        </w:rPr>
        <w:t>•</w:t>
      </w:r>
      <w:r>
        <w:rPr>
          <w:rFonts w:ascii="Times New Roman;sans-serif" w:hAnsi="Times New Roman;sans-serif"/>
          <w:b w:val="false"/>
          <w:color w:val="000000"/>
          <w:sz w:val="20"/>
        </w:rPr>
        <w:t>Level 3 inputs are unobservable inputs for the asset or liability and will reflect management’s assumptions about market assumptions that would be used to price the asset or liability.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of cash and cash equivalents, accounts receivable, accounts payable and accrued liabilities approximate their fair values due to the immediate or short-term maturity of these financial instruments.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determine the fair value of the contingent consideration (Note 8), the Company uses a probability weighted assessment of the likelihood the milestones would be met and the estimated timing of such payments, and then the potential contingent payments are discounted to their present value using a probability adjusted discount rate that reflects the early stage nature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development program, the time to complete the program development, and overall biotech indices. The Company determined the fair value of the contingent consideration was $7.8 million as of March 31, 2024 and the increase of $0.2 million from December 31, 2023 has been recorded as a component of total operating expenses in the statements of operations and comprehensive loss for the three months ended March 31, 2024. The assumptions used in the discounted cash flow model are level 3 inputs as defined above. The Company assessed the sensitivity of the fair value measurement to changes in these unobservable inputs, and determined that changes within a reasonable range would not result in a materially different assessment of fair value.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information about the Company’s assets and liabilities that are measured at fair value on a recurring basis, and indicates the fair value hierarchy of the valuation techniques used to determine such fair value:</w:t>
      </w:r>
    </w:p>
    <w:p>
      <w:pPr>
        <w:pStyle w:val="TextBody"/>
        <w:bidi w:val="0"/>
        <w:spacing w:before="0" w:after="0"/>
        <w:jc w:val="both"/>
        <w:rPr/>
      </w:pPr>
      <w:r>
        <w:rPr/>
      </w:r>
    </w:p>
    <w:tbl>
      <w:tblPr>
        <w:tblW w:w="9285" w:type="dxa"/>
        <w:jc w:val="left"/>
        <w:tblInd w:w="0" w:type="dxa"/>
        <w:tblLayout w:type="fixed"/>
        <w:tblCellMar>
          <w:top w:w="28" w:type="dxa"/>
          <w:left w:w="28" w:type="dxa"/>
          <w:bottom w:w="28" w:type="dxa"/>
          <w:right w:w="28" w:type="dxa"/>
        </w:tblCellMar>
      </w:tblPr>
      <w:tblGrid>
        <w:gridCol w:w="1480"/>
        <w:gridCol w:w="1300"/>
        <w:gridCol w:w="1315"/>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826"/>
        <w:gridCol w:w="154"/>
      </w:tblGrid>
      <w:tr>
        <w:trPr/>
        <w:tc>
          <w:tcPr>
            <w:tcW w:w="148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March 31, 2024</w:t>
            </w:r>
          </w:p>
        </w:tc>
        <w:tc>
          <w:tcPr>
            <w:tcW w:w="51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9389" w:type="dxa"/>
        <w:jc w:val="left"/>
        <w:tblInd w:w="0" w:type="dxa"/>
        <w:tblLayout w:type="fixed"/>
        <w:tblCellMar>
          <w:top w:w="28" w:type="dxa"/>
          <w:left w:w="28" w:type="dxa"/>
          <w:bottom w:w="28" w:type="dxa"/>
          <w:right w:w="28" w:type="dxa"/>
        </w:tblCellMar>
      </w:tblPr>
      <w:tblGrid>
        <w:gridCol w:w="1479"/>
        <w:gridCol w:w="1304"/>
        <w:gridCol w:w="1311"/>
        <w:gridCol w:w="211"/>
        <w:gridCol w:w="721"/>
        <w:gridCol w:w="109"/>
        <w:gridCol w:w="109"/>
        <w:gridCol w:w="109"/>
        <w:gridCol w:w="109"/>
        <w:gridCol w:w="211"/>
        <w:gridCol w:w="826"/>
        <w:gridCol w:w="109"/>
        <w:gridCol w:w="109"/>
        <w:gridCol w:w="109"/>
        <w:gridCol w:w="109"/>
        <w:gridCol w:w="211"/>
        <w:gridCol w:w="616"/>
        <w:gridCol w:w="109"/>
        <w:gridCol w:w="109"/>
        <w:gridCol w:w="109"/>
        <w:gridCol w:w="109"/>
        <w:gridCol w:w="211"/>
        <w:gridCol w:w="826"/>
        <w:gridCol w:w="154"/>
      </w:tblGrid>
      <w:tr>
        <w:trPr/>
        <w:tc>
          <w:tcPr>
            <w:tcW w:w="147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 2023</w:t>
            </w:r>
          </w:p>
        </w:tc>
        <w:tc>
          <w:tcPr>
            <w:tcW w:w="52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changes in fair value of the Company’s contingent consideration: </w:t>
      </w:r>
    </w:p>
    <w:tbl>
      <w:tblPr>
        <w:tblW w:w="10205" w:type="dxa"/>
        <w:jc w:val="left"/>
        <w:tblInd w:w="0" w:type="dxa"/>
        <w:tblLayout w:type="fixed"/>
        <w:tblCellMar>
          <w:top w:w="28" w:type="dxa"/>
          <w:left w:w="28" w:type="dxa"/>
          <w:bottom w:w="28" w:type="dxa"/>
          <w:right w:w="28" w:type="dxa"/>
        </w:tblCellMar>
      </w:tblPr>
      <w:tblGrid>
        <w:gridCol w:w="1036"/>
        <w:gridCol w:w="910"/>
        <w:gridCol w:w="914"/>
        <w:gridCol w:w="546"/>
        <w:gridCol w:w="1597"/>
        <w:gridCol w:w="282"/>
        <w:gridCol w:w="109"/>
        <w:gridCol w:w="109"/>
        <w:gridCol w:w="109"/>
        <w:gridCol w:w="586"/>
        <w:gridCol w:w="1295"/>
        <w:gridCol w:w="302"/>
        <w:gridCol w:w="109"/>
        <w:gridCol w:w="109"/>
        <w:gridCol w:w="109"/>
        <w:gridCol w:w="446"/>
        <w:gridCol w:w="1305"/>
        <w:gridCol w:w="332"/>
      </w:tblGrid>
      <w:tr>
        <w:trPr/>
        <w:tc>
          <w:tcPr>
            <w:tcW w:w="103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2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Liability at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fair value of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Liability at end of the period</w:t>
            </w:r>
          </w:p>
        </w:tc>
      </w:tr>
      <w:tr>
        <w:trPr/>
        <w:tc>
          <w:tcPr>
            <w:tcW w:w="2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2024</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7,780 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March 31, 2023</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4 for additional information regarding the fair value of the Company’s investments in marketable securities. </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120" w:after="283"/>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4.    Investments in marketable securities</w:t>
      </w:r>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marketable securities consisted of the following:</w:t>
      </w:r>
    </w:p>
    <w:tbl>
      <w:tblPr>
        <w:tblW w:w="10205" w:type="dxa"/>
        <w:jc w:val="left"/>
        <w:tblInd w:w="0" w:type="dxa"/>
        <w:tblLayout w:type="fixed"/>
        <w:tblCellMar>
          <w:top w:w="28" w:type="dxa"/>
          <w:left w:w="28" w:type="dxa"/>
          <w:bottom w:w="28" w:type="dxa"/>
          <w:right w:w="28" w:type="dxa"/>
        </w:tblCellMar>
      </w:tblPr>
      <w:tblGrid>
        <w:gridCol w:w="1238"/>
        <w:gridCol w:w="1054"/>
        <w:gridCol w:w="1065"/>
        <w:gridCol w:w="248"/>
        <w:gridCol w:w="850"/>
        <w:gridCol w:w="128"/>
        <w:gridCol w:w="109"/>
        <w:gridCol w:w="109"/>
        <w:gridCol w:w="109"/>
        <w:gridCol w:w="521"/>
        <w:gridCol w:w="1004"/>
        <w:gridCol w:w="271"/>
        <w:gridCol w:w="109"/>
        <w:gridCol w:w="109"/>
        <w:gridCol w:w="109"/>
        <w:gridCol w:w="456"/>
        <w:gridCol w:w="1060"/>
        <w:gridCol w:w="237"/>
        <w:gridCol w:w="109"/>
        <w:gridCol w:w="109"/>
        <w:gridCol w:w="109"/>
        <w:gridCol w:w="211"/>
        <w:gridCol w:w="721"/>
        <w:gridCol w:w="160"/>
      </w:tblGrid>
      <w:tr>
        <w:trPr/>
        <w:tc>
          <w:tcPr>
            <w:tcW w:w="123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Gross Unrealized Gain</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Gross Unrealized Loss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March 31, 2024</w:t>
            </w:r>
          </w:p>
        </w:tc>
        <w:tc>
          <w:tcPr>
            <w:tcW w:w="684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equivalents</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Investments in marketable short-term securities</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bonds</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corporate bonds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64,332 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Yankee bonds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3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86,305 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86,139 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Investments in marketable long-term securities</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3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corporate bonds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335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3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 xml:space="preserve">Gross unrealized gain (loss) is pre-tax and is reported in accumulated other comprehensive loss.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27"/>
        <w:gridCol w:w="1063"/>
        <w:gridCol w:w="1068"/>
        <w:gridCol w:w="248"/>
        <w:gridCol w:w="850"/>
        <w:gridCol w:w="128"/>
        <w:gridCol w:w="109"/>
        <w:gridCol w:w="109"/>
        <w:gridCol w:w="109"/>
        <w:gridCol w:w="521"/>
        <w:gridCol w:w="1004"/>
        <w:gridCol w:w="271"/>
        <w:gridCol w:w="109"/>
        <w:gridCol w:w="109"/>
        <w:gridCol w:w="109"/>
        <w:gridCol w:w="456"/>
        <w:gridCol w:w="1060"/>
        <w:gridCol w:w="236"/>
        <w:gridCol w:w="109"/>
        <w:gridCol w:w="109"/>
        <w:gridCol w:w="109"/>
        <w:gridCol w:w="211"/>
        <w:gridCol w:w="721"/>
        <w:gridCol w:w="160"/>
      </w:tblGrid>
      <w:tr>
        <w:trPr/>
        <w:tc>
          <w:tcPr>
            <w:tcW w:w="122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Gross Unrealized Gain</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Gross Unrealized Loss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As of December 31, 2023</w:t>
            </w:r>
          </w:p>
        </w:tc>
        <w:tc>
          <w:tcPr>
            <w:tcW w:w="684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equivalents</w:t>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Investments in marketable short-term securities</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bonds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corporate bonds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71,045 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70,886 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Yankee bonds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bonds</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99,964 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99,718 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Investments in marketable long-term securities</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3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corporate bonds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3358"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3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rPr>
        <w:t>Gross unrealized gain (loss) is pre-tax and is reported in accumulated other comprehensive loss.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contractual term to maturity of the $86.1 million of short-term marketable securities held by the Company as of March 31, 2024 is less than one year. As of March 31, 2024, the Company held $8.7 million of long-term marketable securities with contractual maturities of more than one year, but less than five years. As of December 31, 2023, the Company’s $99.7 million of short-term marketable securities had contractual maturities of less than one year, while the Company’s $6.3 million of long-term marketable securities had maturities of more than one year, but less than five years.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and December 31, 2023, the Company had 42 and 37, respectively, available-for-sale investment debt securities in an unrealized loss position without an allowance for credit losses. Unrealized losses on the Company’s investments in debt securities have not been recognized into income as the issuers’ bonds are of high credit quality and the decline in fair value is largely due to market conditions and/or changes in interest rates. The Company does not intend to sell and it is more likely than not that the Company will not be required to sell the securities prior to the anticipated recovery of their amortized cost basis. The issuers continue to make timely interest payments on the bonds. The fair value is expected to recover as the bonds approach maturity.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interest receivable on investments in marketable securities of $0.6 million at both March 31, 2024 and December 31, 2023 is included in prepaid expenses and other current assets.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realized gains of less than $0.1 million for the three months ended March 31, 2024 and no realized gains or losses for the same period in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3 for additional information regarding the fair value of the Company’s investments in marketable securities.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5.    Investment in Genevant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2018, the Company entered into an agreement with Roivant Sciences Ltd. (Roivant), its largest shareholder, to launch Genevant Sciences Ltd. (Genevant), a company focused on a broad range of RNA-based therapeutics enabled by the Company’s lipid nanoparticle (LNP) and ligand conjugate delivery technologies. The Company licensed rights to its LNP and ligand conjugate delivery platforms to Genevant for RNA-based applications outside of HBV, except to the extent certain rights had already been licensed to other third parties (the Genevant License). The Company retained all rights to its LNP and conjugate delivery platforms for HBV.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Genevant License, as amended, if a third party sublicensee of intellectual property licensed by Genevant from the Company commercializes a sublicensed product, the Company becomes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if Genevant receives proceeds from an action for infringement by any third parties of the Company’s intellectual property licensed to Genevant, the Company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a similar Genevant securities. As of March 31, 2024, the carrying value of the Company’s investment in Genevant was zero and the Company owned approximately 16% of the common equity of Genevant.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6.    Accounts payable and accrued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 are comprised of the following:</w:t>
      </w:r>
    </w:p>
    <w:tbl>
      <w:tblPr>
        <w:tblW w:w="7135" w:type="dxa"/>
        <w:jc w:val="left"/>
        <w:tblInd w:w="0" w:type="dxa"/>
        <w:tblLayout w:type="fixed"/>
        <w:tblCellMar>
          <w:top w:w="28" w:type="dxa"/>
          <w:left w:w="28" w:type="dxa"/>
          <w:bottom w:w="28" w:type="dxa"/>
          <w:right w:w="28" w:type="dxa"/>
        </w:tblCellMar>
      </w:tblPr>
      <w:tblGrid>
        <w:gridCol w:w="1448"/>
        <w:gridCol w:w="1276"/>
        <w:gridCol w:w="1280"/>
        <w:gridCol w:w="284"/>
        <w:gridCol w:w="829"/>
        <w:gridCol w:w="146"/>
        <w:gridCol w:w="109"/>
        <w:gridCol w:w="109"/>
        <w:gridCol w:w="109"/>
        <w:gridCol w:w="300"/>
        <w:gridCol w:w="1026"/>
        <w:gridCol w:w="219"/>
      </w:tblGrid>
      <w:tr>
        <w:trPr/>
        <w:tc>
          <w:tcPr>
            <w:tcW w:w="144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accruals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 accruals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accruals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accounts payable and accrued liabilities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120" w:after="283"/>
        <w:jc w:val="left"/>
        <w:rPr/>
      </w:pPr>
      <w:r>
        <w:rPr/>
      </w:r>
    </w:p>
    <w:p>
      <w:pPr>
        <w:pStyle w:val="TextBody"/>
        <w:bidi w:val="0"/>
        <w:spacing w:before="0" w:after="0"/>
        <w:ind w:left="0" w:right="0" w:hanging="540"/>
        <w:jc w:val="both"/>
        <w:rPr/>
      </w:pPr>
      <w:r>
        <w:rPr/>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 xml:space="preserve">7.    Sale of future royalties </w:t>
      </w:r>
    </w:p>
    <w:p>
      <w:pPr>
        <w:pStyle w:val="TextBody"/>
        <w:bidi w:val="0"/>
        <w:spacing w:lineRule="auto" w:line="288" w:before="240" w:after="283"/>
        <w:jc w:val="both"/>
        <w:rPr/>
      </w:pPr>
      <w:r>
        <w:rPr>
          <w:rFonts w:ascii="Times New Roman;sans-serif" w:hAnsi="Times New Roman;sans-serif"/>
          <w:b w:val="false"/>
          <w:color w:val="000000"/>
          <w:sz w:val="20"/>
        </w:rPr>
        <w:t>On July 2, 2019, the Company entered into a Purchase and Sale Agreement (the Agreement) with the Ontario Municipal Employees Retirement System (OMERS), pursuant to which the Company sold to OMERS part of its royalty interest on future global net sales of ONPATTRO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(Patisiran) (ONPATTRO), an RNA interference therapeutic currently being sold by Alnylam Pharmaceuticals, Inc. (Alnylam).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ONPATTRO utilizes the Company’s LNP technology, which was licensed to Alnylam pursuant to the Cross-License Agreement, dated November 12, 2012, by and between the Company and Alnylam (the LNP License Agreement). Under the terms of the LNP License Agreement, the Company is entitled to tiered royalty payments on global net sales of ONPATTRO ranging from 1.00% to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the Company. OMERS has assumed the risk of collecting up to $30 million of future royalty payments from Alnylam and the Company is not obligated to reimburse OMERS if they fail to collect any such future royalties.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$30 million in royalties to be paid to OMERS is accounted for as a liability, with the difference between the liability and the gross proceeds received accounted for as a discount. The discount, as well as $1.5 million of transaction costs, will be amortized as interest expense based on the projected balance of the liability as of the beginning of each period. As of March 31, 2024, the Company estimated an effective annual interest rate of approximately 2.0%. Over the course of the Agreement, the actual interest rate will be affected by the amount and timing of royalty revenue recognized and changes in the timing of forecasted royalty revenue. On a quarterly basis, the Company will reassess the expected timing of the royalty revenue, recalculate the amortization and effective interest rate and adjust the accounting prospectively as needed.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non-cash royalty revenue related to the sales of ONPATTRO during the term of the Agreement. As royalties are remitted to OMERS from Alnylam, the balance of the recognized liability is effectively repaid over the life of the Agreement. From the inception of the royalty sale through March 31, 2024, the Company has recorded an aggregate of $23.3 million of non-cash royalty revenue for royalties earned by OMERS. There are a number of factors that could materially affect the amount and timing of royalty payments from Alnylam, none of which are within the Company’s control.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the Company recognized non-cash royalty revenue of $0.6 million and related non-cash interest expense of less than $0.1 million. During the three months ended March 31, 2023, the Company recognized non-cash royalty revenue of $1.2 million and related non-cash interest expense of $0.2 million.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shows the activity related to the net liability for the three months ended March 31, 2024 and 2023:</w:t>
      </w:r>
    </w:p>
    <w:tbl>
      <w:tblPr>
        <w:tblW w:w="7871" w:type="dxa"/>
        <w:jc w:val="center"/>
        <w:tblInd w:w="0" w:type="dxa"/>
        <w:tblLayout w:type="fixed"/>
        <w:tblCellMar>
          <w:top w:w="28" w:type="dxa"/>
          <w:left w:w="28" w:type="dxa"/>
          <w:bottom w:w="28" w:type="dxa"/>
          <w:right w:w="28" w:type="dxa"/>
        </w:tblCellMar>
      </w:tblPr>
      <w:tblGrid>
        <w:gridCol w:w="1966"/>
        <w:gridCol w:w="1727"/>
        <w:gridCol w:w="1737"/>
        <w:gridCol w:w="219"/>
        <w:gridCol w:w="641"/>
        <w:gridCol w:w="113"/>
        <w:gridCol w:w="113"/>
        <w:gridCol w:w="113"/>
        <w:gridCol w:w="113"/>
        <w:gridCol w:w="219"/>
        <w:gridCol w:w="750"/>
        <w:gridCol w:w="160"/>
      </w:tblGrid>
      <w:tr>
        <w:trPr/>
        <w:tc>
          <w:tcPr>
            <w:tcW w:w="196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liability related to sale of future royalties - beginning balance</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royalty revenue</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liability related to sale of future royalties - ending balance</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royalty from the LNP License Agreement, the Company is also receiving a second royalty interest ranging from 0.75% to 1.125% on global net sales of ONPATTRO, with 0.75% applying to sales greater than $500 million, originating from a settlement agreement and subsequent license agreement with Acuitas Therapeutics, Inc. (Acuitas). The royalty from Acuitas has been retained by the Company and was not part of the royalty sale to OMERS.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8.    Contingencies and commitments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 Purchase Agreement with Enantigen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2014, Arbutus Inc., the Company’s wholly-owned subsidiary, acquired all of the outstanding shares of Enantigen Therapeutics, Inc. (Enantigen) pursuant to a stock purchase agreement. The amount paid to Enantigen’s selling shareholders could be up to an additional $102.5 million in sales performance milestones in connection with the sale of the first commercialized product by the Company for the treatment of HBV, regardless of whether such product is based upon assets acquired under this agreement, and a low single-digit royalty on net sales of such first commercialized HBV product, up to a maximum royalty payment of $1.0 million that, if paid, would be offset against the Company’s milestone payment obligations. Certain other development milestones related to the acquisition were tied to programs which are no longer under development by the Company, and therefore the contingency related to those development milestones is zero.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contingent consideration is a financial liability and is measured at its fair value at each reporting period, with any changes in fair value from the previous reporting period recorded in the statements of operations and comprehensive loss (see Note 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contingent consideration was $7.8 million as of March 31, 2024.</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9.    Collaborations, contracts and licensing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Collaborations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Qilu Pharmaceutical Co., Ltd.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the Company entered into a technology transfer and licensing agreement (the License Agreement) with Qilu Pharmaceutical Co., Ltd. (Qilu), pursuant to which the Company granted Qilu a sublicensable, royalty-bearing license, under certain intellectual property owned by the Company, which is non-exclusive as to development and manufacturing and exclusive with respect to commercialization of imdusiran, including pharmaceutical products that include imdusiran, for the treatment or prevention of hepatitis B in China, Hong Kong, Macau and Taiwan (the Territory).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partial consideration for the rights granted by the Company, Qilu paid the Company a one-time upfront cash payment of $40.0 million, net of withholding taxes, on January 5, 2022, and agreed to pay the Company milestone payments totaling up to $245.0 million, net of withholding taxes, upon the achievement of certain technology transfer, development, regulatory and commercialization milestones. Qilu paid $4.4 million of withholding taxes to the Chinese taxing authority on the Company’s behalf, related to the upfront cash payment. In addition, Qilu agreed to pay the Company double-digit royalties into the low twenties percent based upon annual net sales of imdusiran in the Territory. The royalties are payable on a product-by-product and region-by-region basis, subject to certain limitations.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Qilu is responsible for all costs related to developing, obtaining regulatory approval for, and commercializing imdusiran for the treatment or prevention of hepatitis B in the Territory. Qilu is required to use commercially reasonable efforts to develop, seek regulatory approval for, and commercialize at least one imdusiran product candidate in the Territory. A joint development committee has been established between the Company and Qilu to coordinate and review the development, manufacturing and commercialization plans. Both parties also have entered into a supply agreement and related quality agreement pursuant to which the Company will manufacture or have manufactured and supply Qilu with all quantities of imdusiran necessary for Qilu to develop and commercialize in the Territory until the Company has completed manufacturing technology transfer to Qilu and Qilu has received all approvals required for it or its designated contract manufacturing organization to manufacture imdusiran in the Territory.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 with the execution of the License Agreement, the Company entered into a Share Purchase Agreement (the Share Purchase Agreement) with Anchor Life Limited, a company established pursuant to the applicable laws and regulations of Hong Kong and an affiliate of Qilu (the Investor), pursuant to which the Investor purchased 3,579,952 of the Company’s common shares at a purchase price of USD $4.19 per share, which was a 15% premium on the thirty-day average closing price of the common shares as of the close of trading on December 10, 2021 (the Share Transaction). The Company received $15.0 million of gross proceeds from the Share Transaction on January 6, 2022. The common shares sold to the Investor in the Share Transaction represented approximately 2.5% of the common shares outstanding immediately prior to the execution of the Share Purchase Agreement.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License Agreement falls under the scope of ASC 808 as both parties are active participants in the arrangement and are exposed to significant risks and rewards. While this arrangement is in the scope of ASC 808, the Company analogizes to ASC 606 for some aspects of this arrangement, including for the delivery of a good or service (i.e., a unit of account). In accordance with the guidance, the Company identified the following commitments under the arrangement: (i) rights to develop, use, sell, have sold, offer for sale and import any product comprised of Licensed Product (as defined in the License Agreement) (the Qilu License) and (ii) drug supply obligations and manufacturing technology transfer (the Manufacturing Obligations). The Company determined that these two commitments are not distinct performance obligations for purposes of recognizing revenue as the manufacturing process is highly specialized and Qilu would not be able to benefit from the Qilu License without the Company’s involvement in the manufacturing activities until the transfer of the manufacturing know-how is complete. As such, the Company will combine these commitments into one performance obligation to which the transaction price will be allocated to and will recognize this transaction price associated with the bundled performance obligation over time using an inputs method based on labor hours expended by the Company on its Manufacturing Obligations.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initial transaction price of the combined performance obligation to be $50.4 million, which includes the $40.0 million upfront fee, $4.4 million of withholding taxes paid by Qilu on behalf of the Company, the premium paid for the Share Transaction of $4.1 million. The Company determined the milestone payments to be variable consideration subject to constraint at inception. At the end of each subsequent reporting period, the Company will reevaluate the probability of achievement of the future development, regulatory, and sales milestones subject to constraint and, if necessary, will adjust its estimate of the overall transaction price. Any such adjustments will be recorded on a cumulative catch-up basis, which would affect revenues and earnings in the period of adjustment.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outlines the transaction price and the changes to the related liability balance: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20"/>
        <w:gridCol w:w="895"/>
        <w:gridCol w:w="900"/>
        <w:gridCol w:w="277"/>
        <w:gridCol w:w="951"/>
        <w:gridCol w:w="143"/>
        <w:gridCol w:w="109"/>
        <w:gridCol w:w="109"/>
        <w:gridCol w:w="109"/>
        <w:gridCol w:w="687"/>
        <w:gridCol w:w="2347"/>
        <w:gridCol w:w="358"/>
        <w:gridCol w:w="109"/>
        <w:gridCol w:w="109"/>
        <w:gridCol w:w="109"/>
        <w:gridCol w:w="381"/>
        <w:gridCol w:w="1307"/>
        <w:gridCol w:w="285"/>
      </w:tblGrid>
      <w:tr>
        <w:trPr/>
        <w:tc>
          <w:tcPr>
            <w:tcW w:w="102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Transaction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Cumulative Collaboration Revenue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Deferred License Revenue</w:t>
            </w:r>
          </w:p>
        </w:tc>
      </w:tr>
      <w:tr>
        <w:trPr/>
        <w:tc>
          <w:tcPr>
            <w:tcW w:w="2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performance obligation</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36,925 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contract asset</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license revenue</w:t>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11,547 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$0.2 million of revenue based on labor hours expended by the Company on its Manufacturing Obligations during the three months ended March 31, 2024 and $4.1 million during the three months ended March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 balance of the deferred license revenue was $13.5 million, which, in accordance with ASC 210-20, was partially offset by the contract asset associated with the manufacturing cost reimbursement of $2.0 million, resulting in a net deferred license revenue liability of $11.5 million.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$0.6 million of incremental costs in obtaining the Qilu License, which the Company capitalized in other current assets and other assets and amortizes as a component of general and administrative expense commensurate with the recognition of the combined performance obligation. The Company recognized amortization expense of less than $0.1 million for both the three months ended March 31, 2024, and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reevaluates the transaction price and the total estimated labor hours expected to be incurred to satisfy the performance obligations and adjusts the deferred revenue at the end of each reporting period. Such changes will result in a change to the amount of collaboration revenue recognized and deferred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Barinthus Biotherapeutics plc</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July 2021, the Company entered into a clinical collaboration agreement with Barinthus Biotherapeutics plc (Barinthus), formerly Vaccitech plc, to evaluate imdusiran followed by Barinthus’ VTP-300, an HBV antigen specific immunotherapy, and ongoing nucleos(t)ide analogue therapy in patients with cHBV. Recently, the clinical trial was amended and is now dosing patients in an additional treatment arm that includes an approved PD-1 monoclonal antibody inhibitor, nivolumab (Opdivo</w:t>
      </w:r>
      <w:r>
        <w:rPr>
          <w:rFonts w:ascii="Times New Roman;sans-serif" w:hAnsi="Times New Roman;sans-serif"/>
          <w:b w:val="false"/>
          <w:color w:val="000000"/>
          <w:sz w:val="13"/>
        </w:rPr>
        <w:t>®</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responsible for managing this Phase 2a proof-of-concept clinical trial, subject to oversight by a joint development committee comprised of representatives from the Company and Barinthus. The Company and Barinthus retain full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rights to their respective product candidates and will split all costs associated with the clinical trial. The Company incurred $0.5 million and $0.6 million of expenses, net of Barinthus’s 50% share, during the three months ended March 31, 2024 and 2023, respectively, and reflected those costs in research and development in the statements of operations and comprehensive loss.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Royalty Entitlements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Alnylam Pharmaceuticals, Inc. and Acuitas Therapeutics, Inc.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two royalty entitlements to Alnylam’s global net sales of ONPATTRO.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In 2012, the Company entered into the LNP License Agreement with Alnylam that entitles Alnylam to develop and commercialize products with the Company’s LNP technology. Alnylam launched ONPATTRO, the first approved application of the Company’s LNP technology, in 2018. Under the terms of this license agreement, the Company is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back to the Company. OMERS has assumed the risk of collecting up to $30 million of future royalty payments from Alnylam and the Company is not obligated to reimburse OMERS if they fail to collect any such future royalties. If this royalty entitlement reverts to the Company, it has the potential to provide an active royalty stream or to be otherwise monetized again in full or in part. From the inception of the royalty sale through March 31, 2024, an aggregate of $23.3 million of</w:t>
      </w:r>
      <w:r>
        <w:rPr>
          <w:color w:val="000000"/>
        </w:rPr>
        <w:t xml:space="preserve"> </w:t>
      </w:r>
      <w:r>
        <w:rPr>
          <w:rFonts w:ascii="Times New Roman;sans-serif" w:hAnsi="Times New Roman;sans-serif"/>
          <w:b w:val="false"/>
          <w:color w:val="000000"/>
          <w:sz w:val="20"/>
        </w:rPr>
        <w:t xml:space="preserve">royalties have been earned by OMERS.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is receiving a second royalty interest of 0.75% to 1.125% on global net sales of ONPATTRO, with 0.75% applying to sales greater than $500 million, originating from a settlement agreement and subsequent license agreement with Acuitas.  This royalty entitlement from Acuitas has been retained by the Company and was not part of the royalty entitlement sale to OMERS.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Revenues are summarized in the following table:</w:t>
      </w:r>
    </w:p>
    <w:tbl>
      <w:tblPr>
        <w:tblW w:w="6173" w:type="dxa"/>
        <w:jc w:val="left"/>
        <w:tblInd w:w="0" w:type="dxa"/>
        <w:tblLayout w:type="fixed"/>
        <w:tblCellMar>
          <w:top w:w="28" w:type="dxa"/>
          <w:left w:w="28" w:type="dxa"/>
          <w:bottom w:w="28" w:type="dxa"/>
          <w:right w:w="28" w:type="dxa"/>
        </w:tblCellMar>
      </w:tblPr>
      <w:tblGrid>
        <w:gridCol w:w="934"/>
        <w:gridCol w:w="821"/>
        <w:gridCol w:w="825"/>
        <w:gridCol w:w="272"/>
        <w:gridCol w:w="795"/>
        <w:gridCol w:w="140"/>
        <w:gridCol w:w="140"/>
        <w:gridCol w:w="140"/>
        <w:gridCol w:w="140"/>
        <w:gridCol w:w="272"/>
        <w:gridCol w:w="795"/>
        <w:gridCol w:w="140"/>
        <w:gridCol w:w="129"/>
        <w:gridCol w:w="129"/>
        <w:gridCol w:w="129"/>
        <w:gridCol w:w="109"/>
        <w:gridCol w:w="109"/>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801"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 from collaborations and licenses</w:t>
            </w:r>
          </w:p>
        </w:tc>
        <w:tc>
          <w:tcPr>
            <w:tcW w:w="372" w:type="dxa"/>
            <w:gridSpan w:val="3"/>
            <w:tcBorders/>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Acuitas Therapeutics, Inc.</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Qilu Pharmaceutical Co., Ltd.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royalty revenue</w:t>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Alnylam Pharmaceuticals, Inc.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Shareholders’ equity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Authorized share capital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authorized share capital consists of an unlimited number of common shares and preferred shares, without par value, and 1,164,000 Series A participating convertible preferred shares, without par value.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Open Market Sale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Company has an Open Market Sale Agreement</w:t>
      </w:r>
      <w:r>
        <w:rPr>
          <w:rFonts w:ascii="Times New Roman;sans-serif" w:hAnsi="Times New Roman;sans-serif"/>
          <w:b w:val="false"/>
          <w:color w:val="000000"/>
          <w:sz w:val="13"/>
        </w:rPr>
        <w:t>SM</w:t>
      </w:r>
      <w:r>
        <w:rPr>
          <w:color w:val="000000"/>
        </w:rPr>
        <w:t xml:space="preserve"> </w:t>
      </w:r>
      <w:r>
        <w:rPr>
          <w:rFonts w:ascii="Times New Roman;sans-serif" w:hAnsi="Times New Roman;sans-serif"/>
          <w:b w:val="false"/>
          <w:color w:val="000000"/>
          <w:sz w:val="20"/>
        </w:rPr>
        <w:t>with Jefferies LLC (Jefferies) dated December 20, 2018, as amended by Amendment No. 1, dated December 20, 2019, Amendment No. 2, dated August 7, 2020 and Amendment No. 3, dated March 4, 2021 (as amended, the Sale Agreement), under which the Company may issue and sell common shares, from time to time.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23, 2019, the Company filed a shelf registration statement on Form S-3 with the Securities and Exchange Commission (the SEC) (File No. 333-235674) and accompanying base prospectus, which was declared effective by the SEC on January 10, 2020 (the January 2020 Registration Statement), for the offer and sale of up to $150.0 million of the Company’s securities. The January 2020 Registration Statement also contained a prospectus supplement for an offering of up to $50.0 million of the Company’s common shares pursuant to the Sale Agreement. This prospectus supplement was fully utilized during 2020. On August 7, 2020, the Company filed a prospectus supplement with the SEC (the August 2020 Prospectus Supplement) for an offering of up to an additional $75.0 million of its common shares pursuant to the Sale Agreement under the January 2020 Registration Statement. The August 2020 Prospectus Supplement was fully utilized during 2020. The January 2020 Registration Statement expired in January 2023.</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28, 2020, the Company filed a shelf registration statement on Form S-3 with the SEC (File No. 333-248467) and accompanying base prospectus, which was declared effective by the SEC on October 22, 2020 (the October 2020 Registration Statement), for the offer and sale of up to $200.0 million of the Company’s securities. On March 4, 2021, the Company filed a prospectus supplement with the SEC (the March 2021 Prospectus Supplement) for an offering of up to an additional $75.0 million of its common shares pursuant to the Sale Agreement under the October 2020 Registration Statement. The March 2021 Prospectus Supplement was fully utilized during 2021. On October 8, 2021, the Company filed a prospectus supplement with the SEC (the October 2021 Prospectus Supplement) for an offering of up to an additional $75.0 million of its common shares pursuant to the Sale Agreement under the October 2020 Registration Statement. The October 2020 Registration Statement expired in October 2023 with $29.3 million that was not utilized under the October 2021 Prospectus Supplement.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4, 2021, the Company filed a shelf registration statement on Form S-3 with the SEC (File No. 333-260782) and accompanying base prospectus, which was declared effective by the SEC on November 18, 2021 (the November 2021 Registration Statement), for the offer and sale of up to $250.0 million of the Company’s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3, 2022, the Company filed a prospectus supplement with the SEC (the March 2022 Prospectus Supplement) for an offering of up to an additional $100.0 million of its common shares pursuant to the Sale Agreement under: (i) the January 2020 Registration Statement; (ii) the October 2020 Registration Statement; and (iii) the November 2021 Registration Statement, of which only the November 2021 Registration Statement remains active.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Company issued 8,666,077 common shares pursuant to the Sale Agreement resulting in net proceeds of approximately $21.8 million. During the three months ended March 31, 2023, the Company issued 7,423,622 common shares pursuant to the Sale Agreement, resulting in net proceeds of $19.9 million. During April 2024, the Company issued an additional 7,833,922 common shares pursuant to the Sale Agreement resulting in net proceeds of approximately $22.4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30, 2024, there was approximately $25.4 million of common shares remaining available in aggregate under the March 2022 Prospectus Supplement, pursuant to the November 2021 Registration Statement.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summarizes information about the Company’s stock-based compensation for the three months ended March 31, 2024 and 2023 and the expense recognized in the condensed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120" w:after="283"/>
        <w:jc w:val="left"/>
        <w:rPr/>
      </w:pPr>
      <w:r>
        <w:rPr/>
      </w:r>
    </w:p>
    <w:tbl>
      <w:tblPr>
        <w:tblW w:w="7691" w:type="dxa"/>
        <w:jc w:val="center"/>
        <w:tblInd w:w="0" w:type="dxa"/>
        <w:tblLayout w:type="fixed"/>
        <w:tblCellMar>
          <w:top w:w="28" w:type="dxa"/>
          <w:left w:w="28" w:type="dxa"/>
          <w:bottom w:w="28" w:type="dxa"/>
          <w:right w:w="28" w:type="dxa"/>
        </w:tblCellMar>
      </w:tblPr>
      <w:tblGrid>
        <w:gridCol w:w="1335"/>
        <w:gridCol w:w="1175"/>
        <w:gridCol w:w="1180"/>
        <w:gridCol w:w="338"/>
        <w:gridCol w:w="987"/>
        <w:gridCol w:w="174"/>
        <w:gridCol w:w="174"/>
        <w:gridCol w:w="174"/>
        <w:gridCol w:w="174"/>
        <w:gridCol w:w="338"/>
        <w:gridCol w:w="987"/>
        <w:gridCol w:w="174"/>
        <w:gridCol w:w="109"/>
        <w:gridCol w:w="109"/>
        <w:gridCol w:w="109"/>
        <w:gridCol w:w="154"/>
      </w:tblGrid>
      <w:tr>
        <w:trPr/>
        <w:tc>
          <w:tcPr>
            <w:tcW w:w="133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 options</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 during period</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3,738,800 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3,750,800 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exercise price</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Restricted stock units (RSUs)</w:t>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granted during period</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1,316,200 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1,344,550 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date fair value</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 compensation expense</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 compensation expense</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2023 and our unaudited condensed consolidated financial statements for the three months ended March 31, 2024. Our consolidated financial statements have been prepared in accordance with United States generally accepted accounting principles and are presented in U.S.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REFERENCES TO ARBUTUS BIOPHARMA CORPORATION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Throughout this Quarterly Report on Form 10-Q (Form 10-Q), the “Company,” “Arbutus,” “we,” “us,” and “our,” except where the context requires otherwise, refer to Arbutus Biopharma Corporation and its consolidated subsidiaries, and “our board of directors” refers to the board of directors of Arbutus Biopharma Corporation.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Form 10-Q contains “forward-looking statements” or “forward-looking information” within the meaning of applicable United States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10-Q, including the documents incorporated by reference, include statements about, among other things:</w:t>
      </w:r>
    </w:p>
    <w:p>
      <w:pPr>
        <w:pStyle w:val="TextBody"/>
        <w:bidi w:val="0"/>
        <w:spacing w:before="0" w:after="0"/>
        <w:jc w:val="both"/>
        <w:rPr/>
      </w:pPr>
      <w:r>
        <w:rPr/>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strategy, future operations, preclinical research, preclinical studies, clinical trials, prospects and the plans of management;</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potential for our product candidates to achieve their desired or anticipated outcomes;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expected cost, timing and results of our clinical development plans and clinical trials, including our clinical collaborations with third parties;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discovery, development and commercialization of a curative combination regimen for chronic hepatitis B infection, a disease of the liver caused by the hepatitis B virus;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potential of our product candidates to improve upon the standard of care and contribute to a functional curative combination treatment regimen;</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obtaining necessary regulatory approvals;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obtaining adequate financing through a combination of financing activities and operations;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the expected returns and benefits from strategic alliances, licensing agreements, and research collaborations with third parties, and the timing thereof;</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expectations regarding our technology licensed to third parties, and the timing thereof;</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anticipated revenue and expense fluctuation and guidance;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expectations regarding the timing of announcing data from our ongoing clinical trials;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expectations regarding current patent disputes and litigation;</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expectation of a net cash burn between $63 million and $67 million in 2024, excluding any proceeds from our Open Market Sale Agreement</w:t>
      </w:r>
      <w:r>
        <w:rPr>
          <w:rFonts w:ascii="Times New Roman;sans-serif" w:hAnsi="Times New Roman;sans-serif"/>
          <w:b w:val="false"/>
          <w:color w:val="000000"/>
          <w:sz w:val="13"/>
        </w:rPr>
        <w:t>SM</w:t>
      </w:r>
      <w:r>
        <w:rPr>
          <w:color w:val="000000"/>
        </w:rPr>
        <w:t xml:space="preserve"> </w:t>
      </w:r>
      <w:r>
        <w:rPr>
          <w:rFonts w:ascii="Times New Roman;sans-serif" w:hAnsi="Times New Roman;sans-serif"/>
          <w:b w:val="false"/>
          <w:color w:val="000000"/>
          <w:sz w:val="20"/>
        </w:rPr>
        <w:t>with Jefferies LLC dated December 20, 2018, as amended; and</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our belief that we have sufficient cash resources to fund our operations through the second quarter of 2026,</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well as other statements relating to our future operations, financial performance or financial condition, prospects or other future events. Forward-looking statements appear primarily in the sections of this Form 10-Q entitled “Part I, Item 1-Financial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Statements (Unaudited),” and “Part I, Item 2-Management’s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10-Q and our Annual Report on Form 10-K for the year ended December 31, 2023 (the Form 10-K), and in particular the risks and uncertainties discussed under “Item 1A-Risk Factors” of this Form 10-Q and the Form 10-K. As a result, you should not place undue reliance on forward-looking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forward-looking statements contained in this Form 10-Q represent our views only as of the date of this Form 10-Q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cautionary statements are intended to qualify all forward-looking statements wherever they may appear in this Form 10-Q. For all forward-looking statements, we claim protection of the safe harbor contained in the Private Securities Litigation Reform Act of 1995.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Form 10-Q also contains estimates, projections and other information concerning our industry, our business,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83260"/>
                <wp:effectExtent l="0" t="0" r="0" b="0"/>
                <wp:wrapNone/>
                <wp:docPr id="21" name="Frame21"/>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120" w:after="283"/>
                        <w:jc w:val="center"/>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Arbutus Biopharma Corporation (“Arbutus”, the “Company”, “we”, “us”, and “our”) is a clinical-stage biopharmaceutical company leveraging its extensive virology expertise to identify and develop novel therapeutics with distinct mechanisms of action, which can potentially be combined to provide a functional cure for patients with chronic hepatitis B virus (cHBV) infection. We believe the key to success in developing a functional cure involves suppressing hepatitis B virus deoxyribonucleic acid (HBV DNA), reducing hepatitis B surface antigen (HBsAg) and boosting HBV-specific immune responses. Our pipeline of internally developed, proprietary compounds includes an RNAi therapeutic, imdusiran (AB-729), and an oral PD-L1 inhibitor, AB-101. Imdusiran has generated meaningful clinical data demonstrating an impact on both surface antigen reduction and reawakening of the HBV-specific immune response. Imdusiran is currently in three Phase 2a combination clinical trials. AB-101 is currently being evaluated in a Phase 1a/1b clinical trial.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protect and defend our intellectual property, which is the subject of our on-going lawsuits against Moderna and Pfizer/BioNTech for their use of our patented LNP technology in their COVID-19 vaccines. With respect to the Moderna lawsuit, the claim construction hearing occurred on February 8, 2024. On April 3, 2024, the Court provided its claim construction ruling, in which it construed the disputed claim terms and agreed with Arbutus’ position on most of the disputed claim terms. Fact discovery is on-going and next steps include expert reports and depositions. A trial date has been set for April 21, 2025, and is subject to change. The lawsuit against Pfizer/BioNTech is ongoing and a date for a claim construction hearing has not been set.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Strategy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two core elements of our strategy are: 1) developing a portfolio of compounds that target HBV; and 2) combining therapeutic product candidates with complementary mechanisms of action to develop a functional cure for people with cHBV infection.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 combination of compounds that can suppress HBV DNA replication and HBsAg expression as well as boost patients’ HBV-specific immune response could address the most important elements to achieving a functional cure. Functional cure is defined as undetectable HBV DNA and HBsAg levels six months after discontinuation of all treatment. We are developing imdusiran as a cornerstone in a combination therapy that also includes antivirals and immunologics. We believe that a combination therapy delivered over a finite treatment period that results in a significant increase in the functional cure rate (i.e., a cure rate of at least 20%) would be a meaningful advancement for patients with cHBV infection.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HBV product pipeline includes the following: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Imdusiran is our proprietary, conjugated GalNAc, subcutaneously-delivered RNAi therapeutic product candidate that suppresses all HBV antigens, including HBsAg expression, which is thought to be a key prerequisite to enable reawakening of a patient’s immune system to respond to HBV. Over 170 patients with cHBV infection have been dosed with imdusiran in our Phase 1 and ongoing Phase 2a clinical trials. Clinical data generated thus far has shown imdusiran to be generally safe and well-tolerated, while also providing meaningful reductions in HBsAg and HBV DNA.</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AB-101 is our oral PD-L1 inhibitor that has the potential to reawaken patients’ HBV-specific immune response by inhibiting PD-L1. AB-101 is currently in a Phase 1a/1b clinical trial (AB-101-001) evaluating the safety, tolerability, pharmacokinetics (PK), and pharmacodynamics (PD) of single- and multiple-ascending oral doses in healthy subjects and patients with cHBV infection. Part 1 of this clinical trial enrolled four sequential cohorts of eight healthy subjects each (6 active: 2 placebo) receiving a single dose of AB-101 at increasing dose levels up to 25 mg. The data showed that AB-101 was well-tolerated with evidence of dose-dependent receptor occupancy. In the 25mg cohort, all five evaluable subjects showed evidence of receptor occupancy between 50-100%. We have moved into Part 2 of this clinical trial which evaluates multiple-ascending doses of AB-101 in healthy subjects and we expect to report this preliminary data in the second half of 2024.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strategy is to position imdusiran as a potential cornerstone therapeutic in combination with AB-101 or other agents with potentially complementary mechanisms of action. We are currently conducting three Phase 2a clinical trials combining imdusiran with other agents. Upon successful completion of our AB-101-001 clinical trial, we intend to initiate a Phase 2 clinical trial combining imdusiran, AB-101 and nucleos(t)ide analogue (NA) therapy in patients with cHBV infection. The intent of these trials is to initially lower HBsAg levels with imdusiran and then administer a complementary agent, in this case an immune modulator or a therapeutic vaccine, to further lower HBsAg levels and promote anti-HBV immunity. We believe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that if we can lower HBsAg and promote immunity, we may achieve and sustain undetectable HBV DNA and HBsAg levels, potentially leading to a functional cure.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imdusiran development program includes the following Phase 2a clinical trials: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Imdusiran in combination with Peg-IFNα-2a and ongoing standard-of-care NA therapy in patients with cHBV infection (AB-729-201). Preliminary data reported from this clinical trial suggest that the addition of Peg-IFNα-2a to imdusiran treatment was generally well-tolerated and appears to result in continued HBsAg declines in some patients.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Imdusiran in combination with VTP-300, Barinthus Biotherapeutics plc’s (Barinthus and formerly Vaccitech plc), HBV antigen specific immunotherapy, and ongoing standard-of-care NA therapy in patients with cHBV infection (AB-729-202). Preliminary data reported from this clinical trial showed that dosing with imdusiran and then VTP-300 provided a meaningful reduction of HBsAg levels that are maintained well below baseline. We are also dosing patients in an additional cohort of this clinical trial that, in addition to imdusiran and VTP-300, includes up to two low doses of nivolumab (Opdivo®), an approved PD-1 monoclonal antibody inhibitor. Preliminary end-of-treatment data from this additional cohort are expected in the second half of 2024.</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Imdusiran in combination with durvalumab, an approved anti-PD-L1 monoclonal antibody, and ongoing standard-of-care NA therapy in patients with cHBV infection (AB-729-203). Screening has been initiated in this Phase 2a clinical trial. Insights gained from this clinical trial and the amended portion of the AB-729-202 clinical trial with nivolumab may inform dosing for a planned Phase 2 clinical trial combining imdusiran and AB-101.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Our Product Candidates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pipeline consists of two product candidates that are designed to suppress HBV DNA, reduce HBsAg and/or boost HBV-specific immune responses, as follows:</w:t>
      </w:r>
    </w:p>
    <w:p>
      <w:pPr>
        <w:pStyle w:val="TextBody"/>
        <w:bidi w:val="0"/>
        <w:spacing w:before="0" w:after="0"/>
        <w:jc w:val="both"/>
        <w:rPr/>
      </w:pPr>
      <w:r>
        <w:rPr/>
      </w:r>
    </w:p>
    <w:p>
      <w:pPr>
        <w:pStyle w:val="TextBody"/>
        <w:bidi w:val="0"/>
        <w:spacing w:before="0" w:after="0"/>
        <w:jc w:val="both"/>
        <w:rPr/>
      </w:pPr>
      <w:r>
        <w:rPr/>
        <w:drawing>
          <wp:inline distT="0" distB="0" distL="0" distR="0">
            <wp:extent cx="6515100" cy="2981325"/>
            <wp:effectExtent l="0" t="0" r="0" b="0"/>
            <wp:docPr id="2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 descr=""/>
                    <pic:cNvPicPr>
                      <a:picLocks noChangeAspect="1" noChangeArrowheads="1"/>
                    </pic:cNvPicPr>
                  </pic:nvPicPr>
                  <pic:blipFill>
                    <a:blip r:embed="rId2"/>
                    <a:stretch>
                      <a:fillRect/>
                    </a:stretch>
                  </pic:blipFill>
                  <pic:spPr bwMode="auto">
                    <a:xfrm>
                      <a:off x="0" y="0"/>
                      <a:ext cx="6515100" cy="2981325"/>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explore expansion opportunities for our pipeline through internal discovery and development activities and through potential strategic alliances.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RNAi therapeutic (imdusiran, AB-729)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RNAi therapeutics represent a significant advancement in drug development. RNAi therapeutics utilize a natural pathway within cells to silence genes by eliminating the disease-causing proteins that they code for. We are developing RNAi therapeutics that are designed to reduce HBsAg expression and other HBV antigens in people with cHBV infection. Reducing HBsAg is widely believed to be a key prerequisite to enable a patient’s immune system to reawaken and respond against the virus.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Imdusiran (AB-729) is a subcutaneously-delivered single-trigger RNAi therapeutic targeted to hepatocytes using our proprietary covalently conjugated GalNAc delivery technology. Imdusiran reduces all HBV antigens and inhibits viral replication.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Data from our Phase 1a/1b clinical trial evaluating single and multiple doses of imdusiran in healthy subjects and patients with cHBV (AB-729-001) showed that repeat dosing of 60mg and 90mg of imdusiran at different dosing intervals was well-tolerated and resulted in robust and comparable HBsAg declines and supported our view that 60mg every 8 weeks was an appropriate dose to move forward in our Phase 2a clinical trials.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Phase 2a proof-of-concept clinical trial to evaluate imdusiran in combination with Peg-IFNα-2a (AB-729-201)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completed enrollment in a randomized, open label, multicenter Phase 2a proof-of-concept clinical trial investigating the safety and antiviral activity of imdusiran in combination with short courses of Peg-IFNα-2a and ongoing NA therapy in 43 stably NA-suppressed, HBeAg negative, non-cirrhotic patients with cHBV infection. The primary objective of this trial is to initially lower HBsAg levels with imdusiran and then administer Peg-IFNα-2a as an immunomodulator to promote anti-HBV immune reawakening. We believe that if we can lower HBsAg and promote immune reawakening, we may achieve and sustain undetectable HBV DNA and HBsAg levels, potentially leading to a functional cure. After 24-weeks of dosing with imdusiran (60mg every 8 weeks), patients are randomized into one of four arms to receive ongoing Peg-IFNα-2a plus NA therapy for either 12 or 24 weeks, with or without additional doses of imdusiran. After completion of the assigned Peg-IFNα-2a treatment period, all patients will remain on NA therapy for the initial 24-week follow-up period, and will then discontinue NA treatment, provided they meet protocol-defined stopping criteria. Patients who stop NA therapy will enter an intensive follow-up period for 48 weeks.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European Association for the Study of the Liver (EASL) Congress in June 2023, we presented preliminary data from this clinical trial that suggests that the addition of Peg-IFNα-2a to imdusiran treatment was generally safe, well-tolerated and resulted in continued HBsAg declines in some patients. The mean HBsAg decline from baseline during the imdusiran lead-in phase was -1.6 log10 at week 24 of treatment which is comparable to what was previously seen in other clinical trials with imdusiran. Four patients reached HBsAg below the lower limit of quantitation (LLOQ) for at least one timepoint during Peg-IFNα-2a treatment.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provide end-of-treatment data for this clinical trial at the EASL Congress in June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Phase 2a proof-of-concept clinical trial to evaluate imdusiran in combination with Barinthus’ VTP-300 (AB-729-202)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a clinical collaboration agreement with Barinthus that we entered into in July 2021, we have completed enrollment in AB-729-202, a Phase 2a proof-of-concept clinical trial evaluating the safety, antiviral activity and immunogenicity of Barinthus’ VTP-300, an HBV antigen specific immunotherapy, administered after imdusiran in patients with cHBV infection. The initial trial design enrolled 40 NA-suppressed, HBeAg negative or positive, non-cirrhotic cHBV infected patients. The primary objective of this trial is to initially lower HBsAg levels with imdusiran and then administer VTP-300 as an immunomodulator to promote anti-HBV immune reawakening. We believe that if we can lower HBsAg and promote immune reawakening, we may achieve and sustain undetectable HBV DNA and HBsAg levels, potentially leading to a functional cure. All patients will receive imdusiran (60mg every 8 weeks, 4 doses) plus NA therapy for 24 weeks. After week 24, treatment with imdusiran will stop. Patients will continue only on NA therapy and will be randomized to receive VTP-300 or placebo at week 26 and week 30. At week 48, all patients will be evaluated for eligibility to discontinue NA therapy and will be followed for an additional 24 to 48 weeks.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Preliminary data from this clinical trial were presented at the AASLD Liver Meeting in November 2023 and included a subset of patients that received the two-dose VTP-300 regimen (28/40 patients) and available follow-up data to week 48 (12/40 patients) and showed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Robust reductions of HBsAg were seen during the imdusiran treatment period (-1.86 log</w:t>
      </w:r>
      <w:r>
        <w:rPr>
          <w:rFonts w:ascii="Times New Roman;sans-serif" w:hAnsi="Times New Roman;sans-serif"/>
          <w:b w:val="false"/>
          <w:color w:val="000000"/>
          <w:sz w:val="13"/>
        </w:rPr>
        <w:t>10</w:t>
      </w:r>
      <w:r>
        <w:rPr>
          <w:color w:val="000000"/>
        </w:rPr>
        <w:t xml:space="preserve"> </w:t>
      </w:r>
      <w:r>
        <w:rPr>
          <w:rFonts w:ascii="Times New Roman;sans-serif" w:hAnsi="Times New Roman;sans-serif"/>
          <w:b w:val="false"/>
          <w:color w:val="000000"/>
          <w:sz w:val="20"/>
        </w:rPr>
        <w:t>mean reduction from baseline after 24 weeks of treatment). This decline in HBsAg is comparable to the declines seen with imdusiran in other clinical trials conducted to date.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97% of the imdusiran treated patients (33/34) had HBsAg &lt;100 IU/mL at the time of the first VTP-300/placebo dose. One patient reached &lt;LLOQ with 24 weeks of imdusiran plus NA therapy alone.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VTP-300 treatment appears to contribute to the maintenance of low HBsAg levels in the early post-treatment period, as the mean HBsAg levels in the placebo group begin to increase starting ~12 weeks after the last dose of imdusiran.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All VTP-300 treated patients have maintained HBsAg &lt;100 IU/mL through week 48, 60% have maintained HBsAg &lt;10 IU/mL, and all have qualified to stop NA therapy.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preliminary safety data from this trial demonstrate that imdusiran and VTP-300 were both safe and well-tolerated. There were no serious adverse events, Grade 3 or 4 adverse events or treatment discontinuations.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End-of-treatment data from this portion of the clinical trial are expected to be reported at the EASL Congress in June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Additionally, we amended the AB-729-202 protocol to include another cohort that will receive imdusiran, VTP-300 and low dose nivolumab (Opdivo</w:t>
      </w:r>
      <w:r>
        <w:rPr>
          <w:rFonts w:ascii="Times New Roman;sans-serif" w:hAnsi="Times New Roman;sans-serif"/>
          <w:b w:val="false"/>
          <w:color w:val="000000"/>
          <w:sz w:val="13"/>
        </w:rPr>
        <w:t>®</w:t>
      </w:r>
      <w:r>
        <w:rPr>
          <w:rFonts w:ascii="Times New Roman;sans-serif" w:hAnsi="Times New Roman;sans-serif"/>
          <w:b w:val="false"/>
          <w:color w:val="000000"/>
          <w:sz w:val="20"/>
        </w:rPr>
        <w:t>), an approved PD-1 inhibitor. In this additional cohort, patients will receive imdusiran (60mg every 8 weeks, 4 doses) plus NA therapy for 24 weeks, followed by administration of VTP-300 plus up to two low doses of nivolumab while remaining on NA therapy. At week 48, all patients will be evaluated for eligibility to discontinue NA therapy, and will be followed for an additional 24 to 48 weeks. Preliminary end-of-treatment data from this additional cohort are expected in the second half of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clinical trial is being managed by us, subject to oversight by a joint development committee comprised of representatives from both companies. We and Barinthus retain full rights to our respective product candidates and will split all costs associated with the clinical trial. Pursuant to the agreement, the parties may undertake a larger Phase 2b clinical trial depending on the results of the initial Phase 2a clinical trial.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Phase 2a proof-of-concept clinical trial to evaluate imdusiran in combination with durvalumab (AB-729-203)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initiated a Phase 2a clinical trial evaluating the safety, tolerability and antiviral activity of intermittent low doses of durvalumab, an approved anti-PD-L1 monoclonal antibody, in combination with imdusiran and ongoing standard-of-care NA therapy in patients with cHBV infection (AB-729-203). We are currently screening patients for this clinical trial that will enroll 30 patients in three separate cohorts where all patients will receive 60mg of imdusiran every 8 weeks for 48 weeks and 2 doses of 1.5 mg/kg of durvalumab given via IV infusion at two pre-specified times during the imdusiran treatment period that will differ by cohort. After completion of treatment, all patients will be assessed for potential discontinuation of NA therapy and followed for at least 24 to 48 weeks. Insights gained from this clinical trial and the amended portion of the AB-729-202 clinical trial with nivolumab may inform dosing for a planned Phase 2 clinical trial combining imdusiran and AB-101.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Oral PD-L1 Inhibitor (AB-101)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PD-L1 inhibitors complement our pipeline of agents and could potentially be an important part of a combination therapy for the treatment of HBV by reawakening the immune system. Highly functional HBV-specific T-cells within our immune system are believed to be required for long-term HBV viral resolution. However, HBV-specific T-cells become functionally defective, and greatly reduced in their frequency during cHBV infection. One approach to boost HBV-specific T-cells is to prevent PD-L1 proteins from binding to PD-1 and thus inhibiting the HBV-specific immune function of T-cells. Immune checkpoints such as PD-1/PD-L1 play an important role in the induction and maintenance of immune tolerance and in T-cell activation.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AB-101 is our proprietary oral small-molecule PD-L1 inhibitor candidate that we believe will allow for controlled checkpoint blockade while minimizing the systemic safety issues typically seen with checkpoint inhibitor antibody therapies. AB-101 is differentiated from monoclonal antibody checkpoint inhibitors such as durvalumab (anti-PD-L1) and nivolumab (anti-PD-1) because it is liver centric, has a much shorter duration of effect which may provide dosing and safety advantages, and has a novel mechanism of action as it binds to PD-L1 on the surface of cells causing dimerization and internalization of the PD-L1 protein followed by degradation within hours.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Preclinical data generated thus far indicates that AB-101 mediates activation and reinvigoration of HBV-specific T-cells from cHBV infected patients. In June 2022, we presented a poster at the 2022 EASL ILC highlighting data from a study that was designed to assess the preclinical activity of AB-101 and the compound’s ability to reinvigorate patient HBV-specific T-cells. Studies were conducted using a transgenic MC38 tumor mouse model and peripheral blood mononuclear cells (PBMCs) from cHBV infected patients. The data presented showed that once daily oral administration of AB-101 resulted in profound tumor reduction that was associated with T-cell activation. In addition, AB-101 activates and reinvigorates HBV-specific T-cells in vitro. Additionally, preclinical data in an HBV mouse model were presented at the 2022 AASLD Liver Meeting showing that monotherapy with AB-101 reduced PD-L1 in liver immune cells, confirming liver target engagement of the compound. Combination treatment with AB-101 and an HBV-targeting GalNAc-siRNA agent resulted in activation and increased frequency of HBV-specific T-cells and greater anti-HBsAg antibody production. This favorable preclinical profile supports further development of AB-101 as a therapeutic modality for cHBV infection treatment. We believe AB-101, when used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combination with imdusiran or other approved and investigational agents, could potentially lead to a functional cure in HBV chronically infected patients.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2023, we received verbal communication from the FDA that the AB-101 IND application had been placed on clinical hold. For purposes of clarity, the Phase 1 clinical trial had not been initiated and we had not dosed any patients with AB-101. In May 2023, we received the clinical hold letter from the FDA, which raised questions about certain preclinical data and aspects of the clinical trial design. We thus decided to pursue other regulatory pathways outside of the US while evaluating our path forward with the FDA. In July 2023, the New Zealand Medicine Safety Authority (Medsafe) approved our clinical trial application (CTA) for a Phase 1 clinical trial in New Zealand for AB-101, and we believe the protocol approved by Medsafe adequately addresses the clinical trial design and safety monitoring issues raised by the FDA. We included the clinical hold letter from the FDA as part of our CTA application with Medsafe.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Phase 1a/1b clinical trial to evaluate safety, tolerability and PK/PD of AB-101 (AB-101-001)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currently dosing healthy subjects in our Phase 1a/1b clinical trial for AB-101 (AB-101-001). The AB-101-001 clinical trial is designed to investigate the safety, tolerability and PK/PD of single and multiple-ascending oral doses of AB-101 for up to 28 days in healthy subjects and patients with cHBV infection. The trial will be conducted in three parts starting with single ascending doses in healthy subjects, followed by multiple ascending doses in healthy subjects and culminating with multiple doses in patients with cHBV infection. Safety and PK/PD assessments will be performed prior to dose escalation in all parts of the clinical trial. Part 1 of this clinical trial enrolled four sequential cohorts of eight healthy subjects each (6 active: 2 placebo) receiving a single dose of AB-101 at increasing dose levels up to 25 mg. The data showed that AB-101 was well-tolerated with evidence of dose-dependent receptor occupancy. In the 25mg cohort, all five evaluable subjects showed evidence of receptor occupancy between 50-100%. We have moved into Part 2 of this clinical trial which evaluates multiple-ascending doses of AB-101 in healthy subjects and we expect to report this preliminary data in the second half of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Collaborations, Royalty Entitlements and Intellectual Property Litigation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Collaboration with Qilu Pharmaceutical Co., Ltd. (Qilu)</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we entered into a technology transfer and license agreement (the License Agreement) with Qilu, pursuant to which we granted Qilu a sublicensable, royalty-bearing license, under certain intellectual property owned by us, which is non-exclusive as to development and manufacturing and exclusive with respect to commercialization of imdusiran, including pharmaceutical products that include imdusiran, for the treatment or prevention of hepatitis B in China, Hong Kong, Macau and Taiwan (the Territory).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partial consideration for the rights granted by us, Qilu paid us a one-time upfront cash payment of $40 million on January 5, 2022 and agreed to pay us milestone payments totaling up to $245 million, net of withholding taxes, upon the achievement of certain technology transfer, development, regulatory and commercialization milestones. Qilu also agreed to pay us double-digit royalties into the low twenties percent based upon annual net sales of imdusiran in the Territory. The royalties are payable on a product-by-product and region-by-region basis, subject to certain limitations.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Qilu is responsible for all costs related to developing, obtaining regulatory approval for, and commercializing imdusiran for the treatment or prevention of hepatitis B in the Territory. Qilu is required to use commercially reasonable efforts to develop, seek regulatory approval for, and commercialize at least one imdusiran product candidate in the Territory. A joint development committee has been established between us and Qilu to coordinate and review the development, manufacturing and commercialization plans. Both parties also have entered into a supply agreement and related quality agreement pursuant to which we will manufacture or have manufactured and supply Qilu with all quantities of imdusiran necessary for Qilu to develop and commercialize in the Territory until we have completed manufacturing technology transfer to Qilu and Qilu has received all approvals required for it or its designated contract manufacturing organization to manufacture imdusiran in the Territory.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Concurrent with the execution of the License Agreement, we entered into a Share Purchase Agreement (the Share Purchase Agreement) with Anchor Life Limited, a company established pursuant to the applicable laws and regulations of Hong Kong and an affiliate of Qilu (the Investor), pursuant to which the Investor purchased 3,579,952 of our common shares at a purchase price of USD $4.19 per share, which was a 15% premium on the thirty-day average closing price of our common shares as of the close of trading on December 10, 2021 (the Share Transaction). We received $15.0 million of gross proceeds from the Share Transaction on January 6, 2022. The common shares sold to the Investor in the Share Transaction represented approximately 2.5% of our common shares outstanding immediately prior to the execution of the Share Purchase Agreement.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Alnylam Pharmaceuticals, Inc. (Alnylam) and Acuitas Therapeutics, Inc. (Acuitas)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two royalty entitlements to Alnylam’s global net sales of ONPATTRO.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2012, we entered into a license agreement with Alnylam that entitles Alnylam to develop and commercialize products with our lipid nanoparticle (LNP) delivery technology. Alnylam’s ONPATTRO, which represents the first approved application of our LNP technology, was approved by the FDA and the European Medicines Agency (EMA) during the third quarter of 2018 and was launched by Alnylam immediately upon approval in the United States. Under the terms of this license agreement, we are entitled to tiered royalty payments on global net sales of ONPATTRO ranging from 1.00% - 2.33% after offsets, with the highest tier applicable to annual net sales above $500 million. This royalty interest was sold to the Ontario Municipal Employees Retirement System (OMERS), effective as of January 1, 2019, for $20 million in gross proceeds before advisory fees. OMERS will retain this entitlement until it has received $30 million in royalties, at which point 100% of this royalty entitlement on future global net sales of ONPATTRO will revert to us. OMERS has assumed the risk of collecting up to $30 million of future royalty payments from Alnylam and we are not obligated to reimburse OMERS if they fail to collect any such future royalties. If this royalty entitlement reverts to us, it has the potential to provide an active royalty stream or to be otherwise monetized again in full or in part. From the inception of the royalty sale through March 31, 2024, an aggregate of $23.3 million of royalties have been earned by OMERS.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rights to a second royalty interest ranging from 0.75% to 1.125% on global net sales of ONPATTRO, with 0.75% applying to sales greater than $500 million, originating from a settlement agreement and subsequent license agreement with Acuitas. This royalty entitlement from Acuitas has been retained by us and was not part of the royalty entitlement sale to 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Genevant Sciences, Ltd.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2018, we entered into an agreement with Roivant Sciences Ltd. (Roivant), our largest shareholder, to launch Genevant Sciences Ltd. (Genevant), a company focused on a broad range of RNA-based therapeutics enabled by our LNP and ligand conjugate delivery technologies. We licensed rights to our LNP and ligand conjugate delivery platforms to Genevant for RNA-based applications outside of HBV, except to the extent certain rights had already been licensed to other third parties (the Genevant License). We retained all rights to our LNP and conjugate delivery platforms for HBV.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Genevant License, as amended, if a third party sublicensee of intellectual property licensed by Genevant from us commercializes a sublicensed product, we become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if Genevant receives proceeds from an action for infringement by any third parties of our intellectual property licensed to Genevant, we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2020, Roivant recapitalized Genevant through an equity investment and conversion of previously issued convertible debt securities held by Roivant. We participated in the recapitalization of Genevant with an equity investment of $2.5 million. In connection with the recapitalization, the three parties entered into an Amended and Restated Shareholders Agreement that provides Roivant with substantial control of Genevant. We have a non-voting observer seat on Genevant’s Board of Directors.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we owned approximately 16% of the common equity of Genevant and the carrying value of our investment in Genevant was zero. Our entitlement to receive future royalties or sublicensing revenue from Genevant was not impacted by the recapitalization.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Moderna Inter Partes Review Petition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2018, Moderna Therapeutics, Inc. (Moderna) filed a petition requesting the United States Patent and Trademark Office to institute an Inter Partes Review of Arbutus United States Patent 9,404,127 (the ’127 Patent). In its petition, Moderna sought to invalidate all claims of the patent based on Moderna’s allegation that the claims are anticipated and/or obvious. We filed a response to Moderna’s petition on June 14, 2018. On September 12, 2018, the Patent Trial and Appeal Board (the PTAB) rendered its decision to institute Inter Partes Review of the ‘127 Patent. The ‘127 Patent represents only a fraction of our extensive LNP patent portfolio.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the ‘127 Patent, the PTAB held all claims as invalid on September 10, 2019, by reason of anticipatory prior art. However this decision was vacated and sent back (remanded) to the PTAB for a rehearing, pending the U.S. Supreme Court’s (Supreme Court) decision whether to grant certiorari in a different case, United States v. Athrex, Inc. (US v. Athrex), the holding of which could impact the findings in the ‘127 Patent matter. The Supreme Court granted certiorari in US v. Athrex on October 13, 2020 (i.e., agreed to review the decision appealed from a lower court). Until the Supreme Court rendered its opinion in US v. Athrex, the ‘127 Patent hearing remained in abeyance, with no decision reached as to the validity of its claims. The Supreme Court decided on the US v. Athrex case on June 21, 2021, following which the Federal Circuit reinstated the appeal sua sponte, requiring the parties to brief how the case should proceed in light of the Supreme Court’s opinion or for the Appellant to waive the challenge. We elected to waive the challenge and proceed with the appeal at the Federal Circuit. The opening brief was filed on October 25, 2021. Moderna’s responsive brief was filed on February 24, 2022 and our reply brief was filed on April 26, 2022. An oral hearing for this matter was held on November 4, 2022. On April 11, 2023, the Federal Circuit rendered its opinion, affirming the PTAB’s finding that all claims of the ‘127 Patent are invalid by reason of anticipation.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Moderna and Merck European Opposition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5, 2018, Moderna and Merck, Sharp &amp; Dohme Corporation (Merck) filed Notices of Opposition to Arbutus’ European patent EP 2279254 (the ’254 Patent) with the European Patent Office (EPO), requesting that the ‘254 Patent be revoked in its entirety for all contracting states. We filed a response to Moderna and Merck’s oppositions on September 3, 2018. A hearing was conducted before the Opposition Division of the EPO on October 10, 2019. At the conclusion of the hearing, the EPO upheld an auxiliary request adopting the amendment, as put forth by us, of certain claims of the ‘254 Patent. In February 2020 Moderna and Merck filed Notices of Appeal challenging the EPO’s grant of the auxiliary request. Merck filed its notice of appeal on February 24, 2020 and Moderna on February 27, 2020. Both Merck and Moderna perfected their appeals by filing Grounds of Appeal on April 30, 2020. We filed our responses to the appeals on September 18, 2020. On March 22, 2022, Moderna filed further written submissions to which we and Genevant responded in August 2022. On April 18, 2023, we and Genevant withdrew our auxiliary request, however, the original (main) request remains in the action. We and Moderna informed the Board of Appeals that we would not object to a remittance of the matter without a hearing to the Opposition Division of the EPO. The hearing in this matter before the Board of Appeals was subsequently cancelled and resubmitted to the Opposition Division (i.e., lower board) of the EPO. On October 31, 2023, the Opposition Division issued a summons for oral proceedings and provided its preliminary and non-binding opinion on the subject matter to be discussed at the hearing. On November 3, 2023, we responded to the summons and on January 15, 2024, Moderna and Merck filed their reply to the written opinion of the Opposition Division, as well as to our written submission of November 3, 2023. We responded to Moderna and Merck’s reply on April 5, 2024. Oral proceedings are presently scheduled to be held on June 6,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we are the patent holder, the ‘127 Patent, the ‘254 Patent, the other patents in our LNP portfolio have been licensed to Genevant and are included in the rights licensed by us to Genevant under the Genevant License.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Patent Infringement Litigation vs. Moderna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2022, we and Genevant filed a lawsuit in the U.S. District Court for the District of Delaware against Moderna, Inc. and a Moderna affiliate (collectively, Moderna)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The lawsuit does not seek an injunction or otherwise seek to impede the sale, manufacture or distribution of MRNA-1273. However, we seek fair compensation for Moderna’s use of our patented technology that was developed with great effort and at great expense, without which Moderna’s COVID-19 vaccine would not have been successful. On May 6, 2022, Moderna filed a partial motion to dismiss the claims “relating to Moderna’s sale and provision of COVID-19 vaccine doses to the U.S. Government.” On November 2, 2022, the Court issued an Order denying Moderna’s motion. On November 30, 2022, Moderna filed its Answer to the Complaint and Counterclaims. We and Genevant filed our Answer to Moderna’s Counterclaims on December 21, 2022. On February 14, 2023, the U.S. Department of Justice filed a Statement of Interest in the action. On February 16, 2023, the Court held an Initial Pretrial Conference after which it issued an Order, dated February 16, 2023, ordering that within 14 days of the issuance of the Order, the parties and the U.S. Government were to submit letters regarding the impact of the Governments’ Statement of Interest on the scheduling of the matter. On March 10, 2023, the Court reaffirmed its denial of Moderna’s motion to dismiss. On March 16, 2023, the Court held a Rule 16 scheduling conference, and on March 21, 2023, the Court issued a scheduling order in the matter without setting a trial date. On June 9, 2023, the Court granted the parties’ request to extend the time for claim construction briefing. The claim construction hearing was held on February 8, 2024. On April 3, 2024, the Court issued its opinion regarding the claims construction. The Court agreed with both of our positions regarding the Composition of Total Lipid (‘069) Patent that: (i) the claimed molar percentage (mol. %) ranges can be met by any particle and is not limited to “finished” particles that are not subjected to further process steps; and (ii) that the claimed mol. % ranges include standard variation based on the number of significant figures recited in the claim. The Court also agreed with our position regarding the Cationic Lipid with Protonatable Tertiary Amine (‘378) Patent that there is no limitation as to the mol. % of the claimed cationic lipid. Regarding the Encapsulation of mRNA (‘651) Patent, the Court held that “wherein at least 70% / at least 80% / about 90% of the mRNA in the formulation is fully encapsulated in the lipid vesicles” means “wherein at least 70% / at least 80% / about 90% of the mRNA is fully, as distinct from partially, contained inside the lipid vesicles”. Fact discovery is ongoing and next steps include expert reports and depositions. A trial date has been set for April 21, 2025 and is subject to change.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Patent Infringement Litigation vs. Pfizer and BioNTech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4, 2023, we and Genevant filed a lawsuit in the U.S. District Court for the District of New Jersey against Pfizer Inc. (Pfizer) and BioNTech SE (BioNTech) seeking damages for infringement of U.S. Patent Nos. 9,504,651; 8,492,359; 11,141,378; 11,298,320; and 11,318,098 in the manufacture and sale of any COVID-19 mRNA-LNP vaccines. The patents relate to nucleic acid-lipid particles and their composition, manufacture, delivery and methods of use. The lawsuit does not seek an injunction or otherwise seek to impede the sale, manufacture or distribution of any COVID-19 mRNA-LNP vaccines. However, we seek fair compensation for Pfizer’s and BioNTech’s use of our patented technology that was developed with great effort and at great expense, without which their COVID-19 mRNA-LNP vaccines would not have been successful. On July 10, 2023, Pfizer and BioNTech filed their answer to the complaint, affirmative defenses and counterclaims. We and Genevant filed our answer to these counterclaims on August 14, 2023. A scheduling conference was held on August 28, 2023 and the Court issued a Letter Order on September 7, 2023 setting dates up to but not including the date for a claim construction hearing. Scheduling of the claim construction hearing and subsequent case dates, including the date for trial, will be set at a later time that is yet to be determined. Document and written discovery in the action is ongoing.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Acuitas Declaratory Judgment Lawsuit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18, 2022, Acuitas filed a lawsuit against us and Genevant in the U.S. District Court for the Southern District of New York, asking the court to enter declaratory judgment that Arbutus patent Nos. 8,058,069, 8,492,359, 8,822,668, 9,006,417, 9,364,435, 9,404,127, 9,504,651, 9,518,272, and 11,141,378 do not infringe Pfizer and BioNTech’s COVID-19 vaccine, COMIRNATY, which uses an mRNA lipid provided, under license, by Acuitas. Acuitas also seeks a declaration that each of the listed patents is invalid. On June 24, 2022, we and Genevant sought a pre-motion conference concerning our anticipated motion to dismiss all of Acuitas’ claims due to lack of subject matter jurisdiction. The request for a pre-motion conference was granted, but the case was subsequently re-assigned to a new judge who entered an order directing: (i) Acuitas to inform the court whether it intended to file an amended complaint; (ii) that Acuitas must file any amended complaint by a certain date; and (iii) that if Acuitas did not file an amended complaint, we and Genevant must file our motion to dismiss by a certain date. Acuitas filed its amended complaint on September 6, 2022. On October 4, 2022, we and Genevant filed our motion to dismiss the Acuitas action for lack of subject matter jurisdiction based on the lack of a case or controversy. Acuitas filed its opposition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motion to dismiss on November 1, 2022, and we and Genevant filed our reply brief on November 16, 2022 at which point the motion was fully briefed. A status conference for the action was set for August 9, 2023, however on August 4, 2023, Acuitas voluntarily dismissed its complaint in the Southern District of New York and refiled a virtually identical complaint in the District Court of New Jersey (D. N.J.) where the Pfizer/BioNTech matter is currently pending, except that the 9,404,127 patent is not at issue in the New Jersey action, and Acuitas also added two additional patents to its New Jersey declaratory judgment action ((U.S. Patent Nos. 11,298,320 and 11,318,098) that were not at issue in its New York action. On September 15, 2023, we and Genevant filed a letter with the Court seeking a premotion conference for a motion to dismiss and subsequently filed our and Genevant’s motion to dismiss on October 13, 2023. Acuitas filed its opposition on November 1, 2023 and we and Genevant filed our reply on November 16, 2023. Acuitas filed a request to commence discovery on November 18, 2023, to which we and Genevant responded on November 20, 2023. A ruling on the motion to dismiss, which is expected to be decided on the papers, has not yet issued. Discovery has not yet commenced in this action.</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SIGNIFICANT JUDGEMENTS AND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our financial condition and results of operations is based on our condensed consolidated financial statements, which have been prepared in accordance with United States generally accepted accounting principles. The preparation of these financial statements requires us to make estimates and assumptions that affect the reported amounts of assets, liabilities, revenues, and expenses.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there have been no significant changes in our critical accounting policies and estimates as discussed in “Item 7. Management’s Discussion and Analysis of Financial Condition and Results of Operations” of our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new accounting pronouncements are issued by the Financial Accounting Standards Board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Please refer to Note 2 to our condensed consolidated financial statements included in “Part I, Item 1-Financial Statements (Unaudited)” of this Quarterly Report on Form 10-Q for a description of recent accounting pronouncements applicable to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results of our operations for the periods shown:</w:t>
      </w:r>
    </w:p>
    <w:tbl>
      <w:tblPr>
        <w:tblW w:w="4855" w:type="dxa"/>
        <w:jc w:val="center"/>
        <w:tblInd w:w="0" w:type="dxa"/>
        <w:tblLayout w:type="fixed"/>
        <w:tblCellMar>
          <w:top w:w="28" w:type="dxa"/>
          <w:left w:w="28" w:type="dxa"/>
          <w:bottom w:w="28" w:type="dxa"/>
          <w:right w:w="28" w:type="dxa"/>
        </w:tblCellMar>
      </w:tblPr>
      <w:tblGrid>
        <w:gridCol w:w="656"/>
        <w:gridCol w:w="578"/>
        <w:gridCol w:w="581"/>
        <w:gridCol w:w="211"/>
        <w:gridCol w:w="796"/>
        <w:gridCol w:w="109"/>
        <w:gridCol w:w="109"/>
        <w:gridCol w:w="109"/>
        <w:gridCol w:w="109"/>
        <w:gridCol w:w="211"/>
        <w:gridCol w:w="796"/>
        <w:gridCol w:w="109"/>
        <w:gridCol w:w="109"/>
        <w:gridCol w:w="109"/>
        <w:gridCol w:w="109"/>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pPr>
      <w:r>
        <w:rPr>
          <w:rFonts w:ascii="Times New Roman;sans-serif" w:hAnsi="Times New Roman;sans-serif"/>
          <w:b/>
          <w:color w:val="000000"/>
          <w:sz w:val="20"/>
        </w:rPr>
        <w:t>Revenue</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are summarized in the following table: </w:t>
      </w:r>
    </w:p>
    <w:tbl>
      <w:tblPr>
        <w:tblW w:w="8477" w:type="dxa"/>
        <w:jc w:val="left"/>
        <w:tblInd w:w="0" w:type="dxa"/>
        <w:tblLayout w:type="fixed"/>
        <w:tblCellMar>
          <w:top w:w="28" w:type="dxa"/>
          <w:left w:w="28" w:type="dxa"/>
          <w:bottom w:w="28" w:type="dxa"/>
          <w:right w:w="28" w:type="dxa"/>
        </w:tblCellMar>
      </w:tblPr>
      <w:tblGrid>
        <w:gridCol w:w="1314"/>
        <w:gridCol w:w="1155"/>
        <w:gridCol w:w="1161"/>
        <w:gridCol w:w="211"/>
        <w:gridCol w:w="616"/>
        <w:gridCol w:w="109"/>
        <w:gridCol w:w="109"/>
        <w:gridCol w:w="109"/>
        <w:gridCol w:w="109"/>
        <w:gridCol w:w="256"/>
        <w:gridCol w:w="210"/>
        <w:gridCol w:w="501"/>
        <w:gridCol w:w="109"/>
        <w:gridCol w:w="109"/>
        <w:gridCol w:w="109"/>
        <w:gridCol w:w="211"/>
        <w:gridCol w:w="616"/>
        <w:gridCol w:w="109"/>
        <w:gridCol w:w="109"/>
        <w:gridCol w:w="109"/>
        <w:gridCol w:w="109"/>
        <w:gridCol w:w="247"/>
        <w:gridCol w:w="219"/>
        <w:gridCol w:w="561"/>
      </w:tblGrid>
      <w:tr>
        <w:trPr/>
        <w:tc>
          <w:tcPr>
            <w:tcW w:w="13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 from collaborations and licenses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 from sales of ONPATTRO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Qilu Pharmaceutical Co., Ltd.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royalty revenue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 from sales of ONPATTRO</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decreased $5.2 million for the three months ended March 31, 2024 compared to the same period in 2023, due primarily to: i) a decrease in license revenue recognized related to our progress towards the satisfaction of our performance obligations with respect to the technology transfer and licensing agreement with Qilu; and ii) a decrease in license royalty revenue from Alnylam and Acuitas due to lower sales of ONPATTRO in 2024 compared to 2023. </w:t>
      </w:r>
    </w:p>
    <w:p>
      <w:pPr>
        <w:pStyle w:val="TextBody"/>
        <w:bidi w:val="0"/>
        <w:spacing w:lineRule="auto" w:line="288" w:before="0" w:after="0"/>
        <w:jc w:val="both"/>
        <w:rPr/>
      </w:pPr>
      <w:r>
        <w:rPr>
          <w:rFonts w:ascii="Times New Roman;sans-serif" w:hAnsi="Times New Roman;sans-serif"/>
          <w:b/>
          <w:color w:val="000000"/>
          <w:sz w:val="20"/>
        </w:rPr>
        <w:t>Operating expenses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are summarized in the following table:</w:t>
      </w:r>
    </w:p>
    <w:tbl>
      <w:tblPr>
        <w:tblW w:w="9121" w:type="dxa"/>
        <w:jc w:val="left"/>
        <w:tblInd w:w="0" w:type="dxa"/>
        <w:tblLayout w:type="fixed"/>
        <w:tblCellMar>
          <w:top w:w="28" w:type="dxa"/>
          <w:left w:w="28" w:type="dxa"/>
          <w:bottom w:w="28" w:type="dxa"/>
          <w:right w:w="28" w:type="dxa"/>
        </w:tblCellMar>
      </w:tblPr>
      <w:tblGrid>
        <w:gridCol w:w="1473"/>
        <w:gridCol w:w="1292"/>
        <w:gridCol w:w="1299"/>
        <w:gridCol w:w="211"/>
        <w:gridCol w:w="721"/>
        <w:gridCol w:w="109"/>
        <w:gridCol w:w="109"/>
        <w:gridCol w:w="109"/>
        <w:gridCol w:w="109"/>
        <w:gridCol w:w="256"/>
        <w:gridCol w:w="210"/>
        <w:gridCol w:w="501"/>
        <w:gridCol w:w="109"/>
        <w:gridCol w:w="109"/>
        <w:gridCol w:w="109"/>
        <w:gridCol w:w="211"/>
        <w:gridCol w:w="721"/>
        <w:gridCol w:w="109"/>
        <w:gridCol w:w="109"/>
        <w:gridCol w:w="109"/>
        <w:gridCol w:w="109"/>
        <w:gridCol w:w="247"/>
        <w:gridCol w:w="219"/>
        <w:gridCol w:w="561"/>
      </w:tblGrid>
      <w:tr>
        <w:trPr/>
        <w:tc>
          <w:tcPr>
            <w:tcW w:w="147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Research and development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consist primarily of personnel expenses, fees paid to clinical research organizations and contract manufacturers, consumables and materials, consulting, and other third party expenses to support our clinical and preclinical activities, as well as a portion of stock-based compensation and general overhead costs.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decreased $2.9 million for the three months ended March 31, 2024 compared to the same period in 2023. The decrease was due primarily to the discontinuation of our AB-161 and coronavirus programs in September 2023 as part of our efforts to focus our pipeline on our lead HBV product candidates, partially offset by an increase in clinical expenses for our AB-101 Phase 1a/1b clinical trial and our multiple imdusiran Phase 2a clinical trials.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research and development expenses are not tracked by project as they benefit multiple projects or our technology platform and because our most-advanced programs are not yet in late-stage clinical development.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decreased $0.2 million for the three months ended March 31, 2024 as compared to the same period in 2023, due primarily to a decrease in stock-based compensation expense.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120" w:after="283"/>
        <w:jc w:val="left"/>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contingent consideration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Contingent consideration is a liability related to our acquisition of Enantigen Therapeutics, Inc. in October 2014. In general, as time passes and assuming no changes to the assumptions related to the contingency, the fair value of the contingent consideration increases as the progress of our programs get closer to triggering contingent payments based on certain sales milestones of our first commercial product for cHBV. As imdusiran continues to progress through Phase 2a proof-of-concept clinical trials, we will adjust our assumptions regarding probability of success commensurate with the progression of the program, which will increase the fair value of the liability.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income (loss)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our other income (loss) are summarized in the following table:</w:t>
      </w:r>
    </w:p>
    <w:tbl>
      <w:tblPr>
        <w:tblW w:w="4859" w:type="dxa"/>
        <w:jc w:val="left"/>
        <w:tblInd w:w="0" w:type="dxa"/>
        <w:tblLayout w:type="fixed"/>
        <w:tblCellMar>
          <w:top w:w="28" w:type="dxa"/>
          <w:left w:w="28" w:type="dxa"/>
          <w:bottom w:w="28" w:type="dxa"/>
          <w:right w:w="28" w:type="dxa"/>
        </w:tblCellMar>
      </w:tblPr>
      <w:tblGrid>
        <w:gridCol w:w="717"/>
        <w:gridCol w:w="628"/>
        <w:gridCol w:w="634"/>
        <w:gridCol w:w="230"/>
        <w:gridCol w:w="672"/>
        <w:gridCol w:w="119"/>
        <w:gridCol w:w="119"/>
        <w:gridCol w:w="119"/>
        <w:gridCol w:w="119"/>
        <w:gridCol w:w="230"/>
        <w:gridCol w:w="672"/>
        <w:gridCol w:w="119"/>
        <w:gridCol w:w="109"/>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income</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interest income for the three months ended March 31, 2024 compared to the same period in 2023 was due primarily to higher interest earned on our cash and investment balances due to a general increase in market interest rates.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for the three months ended March 31, 2024 and 2023 consisted primarily of non-cash amortization of discount and issuance costs related to the sale of a portion of our ONPATTRO royalty interest to OMERS in July 2019. The decrease is related to the declining balance of the unamortized discount and issuance costs.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 activities for the periods indicated:</w:t>
      </w:r>
    </w:p>
    <w:tbl>
      <w:tblPr>
        <w:tblW w:w="8603" w:type="dxa"/>
        <w:jc w:val="left"/>
        <w:tblInd w:w="0" w:type="dxa"/>
        <w:tblLayout w:type="fixed"/>
        <w:tblCellMar>
          <w:top w:w="28" w:type="dxa"/>
          <w:left w:w="28" w:type="dxa"/>
          <w:bottom w:w="28" w:type="dxa"/>
          <w:right w:w="28" w:type="dxa"/>
        </w:tblCellMar>
      </w:tblPr>
      <w:tblGrid>
        <w:gridCol w:w="2174"/>
        <w:gridCol w:w="1894"/>
        <w:gridCol w:w="1931"/>
        <w:gridCol w:w="211"/>
        <w:gridCol w:w="796"/>
        <w:gridCol w:w="109"/>
        <w:gridCol w:w="109"/>
        <w:gridCol w:w="109"/>
        <w:gridCol w:w="109"/>
        <w:gridCol w:w="211"/>
        <w:gridCol w:w="796"/>
        <w:gridCol w:w="154"/>
      </w:tblGrid>
      <w:tr>
        <w:trPr/>
        <w:tc>
          <w:tcPr>
            <w:tcW w:w="2174"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items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deferred license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operating items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shares pursuant to the Open Market Sale Agreement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provided by other 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rate changes on cash and cash equivalents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Increase in cash and cash equivalents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incorporation, we have financed our operations through sales of equity, debt, revenues from research and development collaborations and licenses with corporate partners, royalty monetization, interest income on funds available for investment, and government contracts, grants and tax credits.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$19.3 million of cash was used in operating activities compared to $27.3 million used in operating activities for the three months ended March 31, 2023, a change of $8.0 million. The change was due primarily to a decrease in research and development expenses.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net cash provided by investing activities was $11.7 million, resulting primarily from maturities of investments in marketable securities of $37.2 million, partially offset by additional investments in marketable securities of $25.4 million. For the three months ended March 31, 2023, net cash used in investing activities was $16.7 million, which consisted primarily of additional investments in marketable securities of $20.2 million, partially offset by maturities of investments in marketable securities of $37.0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net cash provided by financing activities was $24.4 million, which was primarily related to $21.8 million in proceeds from sales of common shares under the Sale Agreement. For the three months ended March 31, 2023, net cash provided by financing activities was $20.4 million, which included $19.9 million in proceeds from sales of common shares under the Sale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Sources of Liquidity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we had cash, cash equivalents and investments in marketable securities of $137.9 million. We had no outstanding debt as of March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Open Market Sale Agreement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have an Open Market Sale Agreement</w:t>
      </w:r>
      <w:r>
        <w:rPr>
          <w:rFonts w:ascii="Times New Roman;sans-serif" w:hAnsi="Times New Roman;sans-serif"/>
          <w:b w:val="false"/>
          <w:color w:val="000000"/>
          <w:sz w:val="13"/>
        </w:rPr>
        <w:t>SM</w:t>
      </w:r>
      <w:r>
        <w:rPr>
          <w:color w:val="000000"/>
        </w:rPr>
        <w:t xml:space="preserve"> </w:t>
      </w:r>
      <w:r>
        <w:rPr>
          <w:rFonts w:ascii="Times New Roman;sans-serif" w:hAnsi="Times New Roman;sans-serif"/>
          <w:b w:val="false"/>
          <w:color w:val="000000"/>
          <w:sz w:val="20"/>
        </w:rPr>
        <w:t>with Jefferies dated December 20, 2018, as amended by Amendment No. 1, dated December 20, 2019, Amendment No. 2, dated August 7, 2020 and Amendment No. 3, dated March 4, 2021 (as amended, the Sale Agreement), under which we may offer and sell common shares, from time to time.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23, 2019, we filed a shelf registration statement on Form S-3 with the SEC (File No. 333-235674) and accompanying base prospectus, declared effective by the SEC on January 10, 2020 (the January 2020 Registration Statement), for the offer and sale of up to $150 million of our securities. The January 2020 Registration Statement also contained a prospectus supplement for an offering of up to $50.0 million of our common shares pursuant to the Sale Agreement.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prospectus supplement was fully utilized during 2020. On August 7, 2020, we filed a prospectus supplement with the SEC (the August 2020 Prospectus Supplement) for an offering of up to an additional $75.0 million of our common shares pursuant to the Sale Agreement under the January 2020 Registration Statement. The August 2020 Prospectus Supplement was fully utilized during 2020. The January 2020 Registration Statement expired in January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28, 2020, we filed a shelf registration statement on Form S-3 with the SEC (File No. 333-248467) and accompanying base prospectus, declared effective by the SEC on October 22, 2020 (the October 2020 Registration Statement), for the offer and sale of up to $200 million of our securities. On March 4, 2021, we filed a prospectus supplement with the SEC in connection with the offering of up to an additional $75.0 million of our common shares pursuant to the Sale Agreement under the October 2020 Registration Statement, which we fully utilized during 2021. On October 8, 2021, we filed a prospectus supplement with the SEC for the offer and sale of up to an additional $75.0 million of our common shares pursuant to the Sale Agreement under the October 2020 Registration Statement.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4, 2021, we filed a shelf registration statement on Form S-3 with the SEC (File No. 333-260782) and accompanying base prospectus, declared effective by the SEC on November 18, 2021 (the November 2021 Registration Statement), for the offer and sale of up to $250 million of our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3, 2022, we filed a prospectus supplement with the SEC (the March 2022 Prospectus Supplement) for the offer and sale of up to an additional $100.0 million of our common shares pursuant to the Sale Agreement under: (i) the January 2020 Registration Statement; (ii) the October 2020 Registration Statement; and (iii) the November 2021 Registration Statement, of which only the November 2021 Registration Statement remains active.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2023, the October 2020 Registration Statement expired with $29.3 million that was not utilized under the October 2021 Prospectus Supplement, leaving $75.0 million remaining available under the March 2022 Prospectus Supplement pursuant to the November 2021 Registration Statement.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we issued 8,666,077 common shares pursuant to the Sale Agreement resulting in net proceeds of approximately $21.8 million. For the three months ended March 31, 2023, we issued 3,901,765 common shares pursuant to the Sale Agreement, resulting in net proceeds of approximately $9.2 million. During April 2024, we issued an additional 7,833,922 common shares pursuant to the Sale Agreement resulting in net proceeds of approximately $22.4 million. As of April 30, 2024, there was approximately $25.4 million available under the March 2022 Prospectus Supplement.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Royalty Entitlements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 royalty entitlement on ONPATTRO, a drug developed by Alnylam that incorporates our LNP technology and was approved by the FDA and the EMA during the third quarter of 2018 and was launched by Alnylam immediately upon approval in the United States. In July 2019, we sold a portion of this royalty interest to OMERS, effective as of January 1, 2019, for $20 million in gross proceeds before advisory fees. OMERS will retain this entitlement until it has received $30 million in royalties, at which point 100% of such royalty interest on future global net sales of ONPATTRO will revert to us. OMERS has assumed the risk of collecting up to $30 million of future royalty payments from Alnylam and we are not obligated to reimburse OMERS if they fail to collect any such future royalties. From the inception of the royalty sale through March 31, 2024, we have recorded an aggregate of $23.3 million of non-cash royalty revenue for royalties earned by OMERS. If this royalty entitlement reverts to us, it has the potential to provide an active royalty stream or to be otherwise monetized again in full or in part. In addition to the royalty from the Alnylam LNP license agreement, we are also receiving a second, lower royalty interest on global net sales of ONPATTRO originating from a settlement agreement and subsequent license agreement with Acuitas. The royalty from Acuitas has been retained by us and was not part of the royalty sale to 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we entered into a technology transfer and exclusive licensing agreement with Qilu pursuant to which we granted Qilu an exclusive (with certain exceptions), sublicensable, royalty-bearing license, under certain intellectual property owned by us, to develop, manufacture and commercialize imdusiran for the treatment or prevention of cHBV in the Territory. In partial consideration for the rights granted by us, Qilu paid us a one-time upfront cash payment of $40 million and made an equity investment in us of $15.0 million, both received in January 2022, and agreed to pay us milestone payments totaling up to $245 million, net of withholding taxes, upon the achievement of certain technology transfer, development, regulatory and commercialization milestones. Qilu also agreed to pay us double-digit royalties into the low twenties percent based upon annual net sales of imdusiran in the Territory.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Cash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$137.9 million of cash, cash equivalents and investments in marketable securities as of March 31, 2024 plus the additional $22.4 million of proceeds received under our Sale Agreement during April 2024 will be sufficient to fund our operations for at least the next twelve months and through the second quarter of 2026. We expect a net cash burn between $63 million and $67 million in 2024, excluding any proceeds from our Sale Agreement. In the future, substantial additional funds will be required to continue with the active development of our pipeline products and technologies. In particular, our funding needs may vary depending on a number of factors including:</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revenue earned from our legacy collaborative partnerships and licensing agreements, including potential royalty payments from Alnylam’s ONPATTRO;</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revenue earned from ongoing collaborative partnerships, including milestone and royalty payments;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potential requirement to make milestone payments related to our legacy agreements;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extent to which we continue the development of our product candidates, add new product candidates to our pipeline, or form collaborative relationships or licensing arrangements to advance our product candidates;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delays in the development of our product candidates due to preclinical and clinical findings;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decisions to in-license or acquire additional products, product candidates or technology for development;</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ability to attract and retain development or commercialization partners, and their effectiveness in carrying out the development and ultimate commercialization of one or more of our product candidates;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whether batches of product candidates that we manufacture fail to meet specifications resulting in clinical trial delays and investigational and remanufacturing costs;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decisions, and the timing of decisions, made by health regulatory agencies regarding our technology and product candidates;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competing products, product candidates and technological and market developments; and</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costs associated with prosecuting and enforcing our patent claims and other intellectual property rights, including litigation and arbitration arising in the course of our business activities.</w:t>
      </w:r>
    </w:p>
    <w:p>
      <w:pPr>
        <w:pStyle w:val="TextBody"/>
        <w:bidi w:val="0"/>
        <w:spacing w:before="120" w:after="283"/>
        <w:ind w:left="0" w:right="0" w:hanging="18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seek funding to maintain and advance our business from a variety of sources including public or private equity or debt financing, potential monetization transactions, collaborative or licensing arrangements with pharmaceutical companies and government grants and contracts. There can be no assurance that funding will be available at all or on acceptable terms to permit further development of our research and development programs.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adequate funding is not available, we may be required to delay, reduce or eliminate one or more of our research or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ITEM 3.</w:t>
      </w:r>
      <w:r>
        <w:rPr>
          <w:color w:val="000000"/>
        </w:rPr>
        <w:t xml:space="preserve">      </w:t>
      </w:r>
      <w:r>
        <w:rPr>
          <w:rFonts w:ascii="Times New Roman;sans-serif" w:hAnsi="Times New Roman;sans-serif"/>
          <w:b/>
          <w:color w:val="000000"/>
          <w:sz w:val="20"/>
        </w:rPr>
        <w:t>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under this item is not required to be provided by smaller reporting companies.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ITEM 4.    </w:t>
      </w:r>
      <w:r>
        <w:rPr>
          <w:color w:val="000000"/>
        </w:rPr>
        <w:t xml:space="preserve">  </w:t>
      </w:r>
      <w:r>
        <w:rPr>
          <w:rFonts w:ascii="Times New Roman;sans-serif" w:hAnsi="Times New Roman;sans-serif"/>
          <w:b/>
          <w:color w:val="000000"/>
          <w:sz w:val="20"/>
        </w:rPr>
        <w:t>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principal executive officer and principal financial officer, evaluated the effectiveness of our disclosure controls and procedures as of March 31, 2024. The term “disclosure controls and procedures”, as defined in Rules 13a-15(e) and 15d-15(e) under the Securities Exchange Act of 1934, as amended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particularly during the period in which this Quarterly Report on Form 10-Q was being prepared. Management recognizes that any controls and procedures, no matter how well designed and operated, can provide only reasonable assurance of achieving their desired objectives, and our management necessarily applies its judgment in evaluating the cost-benefit relationship of possible controls and procedures. Based on the evaluation of our disclosure controls and procedures as of March 31, 2024, our principal executive officer and principal financial officer concluded that, as of such date, our disclosure controls and procedures were effective at the reasonable assurance level.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(as defined in Rules 13a–15(f) and 15d–15(f) under the Exchange Act) during the three months ended March 31, 2024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Patent Infringement Litigation vs. Pfizer and BioNTech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4, 2023, we and Genevant filed a lawsuit in the U.S. District Court for the District of New Jersey against Pfizer Inc. (Pfizer) and BioNTech SE (BioNTech) seeking damages for infringement of U.S. Patent Nos. 9,504,651; 8,492,359; 11,141,378; 11,298,320; and 11,318,098 in the manufacture and sale of any COVID-19 mRNA-LNP vaccines. The patents relate to nucleic acid-lipid particles and their composition, manufacture, delivery and methods of use. The lawsuit does not seek an injunction or otherwise seek to impede the sale, manufacture or distribution of any COVID-19 mRNA-LNP vaccines. However, we seek fair compensation for Pfizer’s and BioNTech’s use of our patented technology that was developed with great effort and at great expense, without which their COVID-19 mRNA-LNP vaccines would not have been successful. On July 10, 2023, Pfizer and BioNTech filed their answer to the complaint, affirmative defenses and counterclaims. We and Genevant filed our answer to these counterclaims on August 14, 2023. A scheduling conference was held on August 28, 2023 and the Court issued a Letter Order on September 7, 2023 setting dates up to but not including the date for a claim construction hearing. Scheduling of the claim construction hearing and subsequent case dates, including the date for trial, will be set at a later time that is yet to be determined. Document and written discovery in the action is ongoing.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Patent Infringement Litigation vs. Moderna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28, 2022, we and Genevant filed a lawsuit in the U.S. District Court for the District of Delaware against Moderna, Inc. and a Moderna affiliate (collectively, Moderna)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The lawsuit does not seek an injunction or otherwise seek to impede the sale, manufacture or distribution of MRNA-1273. However, we seek fair compensation for Moderna’s use of our patented technology that was developed with great effort and at great expense, without which Moderna’s COVID-19 vaccine would not have been successful. On May 6, 2022, Moderna filed a partial motion to dismiss the claims “relating to Moderna’s sale and provision of COVID-19 vaccine doses to the U.S. Government.” On November 2, 2022, the Court issued an Order denying Moderna’s motion. On November 30, 2022, Moderna filed its Answer to the Complaint and Counterclaims. We and Genevant filed our Answer to Moderna’s Counterclaims on December 21, 2022. On February 14, 2023, the U.S. Department of Justice filed a Statement of Interest in the action. On February 16, 2023, the Court held an Initial Pretrial Conference after which it issued an Order, dated February 16, 2023, ordering that within 14 days of the issuance of the Order, the parties and the U.S. Government were to submit letters regarding the impact of the Governments’ Statement of Interest on the scheduling of the matter. On March 10, 2023, the Court reaffirmed its denial of Moderna’s motion to dismiss. On March 16, 2023, the Court held a Rule 16 scheduling conference, and on March 21, 2023, the Court issued a scheduling order in the matter without setting a trial date. On June 9, 2023, the Court granted the parties’ request to extend the time for claim construction briefing. The claim construction hearing was held on February 8, 2024. On April 3, 2024, the Court issued its opinion regarding the claims construction. The Court agreed with both of our positions regarding the Composition of Total Lipid (‘069) Patent that: (i) the claimed molar percentage (mol. %) ranges can be met by any particle and is not limited to “finished” particles that are not subjected to further process steps; and (ii) that the claimed mol. % ranges include standard variation based on the number of significant figures recited in the claim. The Court also agreed with our position regarding the Cationic Lipid with Protonatable Tertiary Amine (‘378) Patent that there is no limitation as to the mol. % of the claimed cationic lipid. Regarding the Encapsulation of mRNA (‘651) Patent, the Court held that “wherein at least 70% / at least 80% / about 90% of the mRNA in the formulation is fully encapsulated in the lipid vesicles” means “wherein at least 70% / at least 80% / about 90% of the mRNA is fully, as distinct from partially, contained inside the lipid vesicles”. Fact discovery is ongoing and next steps include expert reports and depositions. A trial date has been set for April 21, 2025 and is subject to change.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Acuitas Declaratory Judgment Lawsuit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On March 18, 2022, Acuitas Therapeutics Inc. (Acuitas) filed a lawsuit against us and Genevant in the U.S. District Court for </w:t>
      </w:r>
      <w:r>
        <w:rPr>
          <w:rFonts w:ascii="Times New Roman;sans-serif" w:hAnsi="Times New Roman;sans-serif"/>
          <w:b w:val="false"/>
          <w:color w:val="000000"/>
          <w:sz w:val="20"/>
        </w:rPr>
        <w:t xml:space="preserve">the Southern District of New York, asking the court to enter declaratory judgment that Arbutus patent Nos. 8,058,069, 8,492,359, 8,822,668, 9,006,417, 9,364,435, 9,404,127, 9,504,651, 9,518,272, and 11,141,378 do not infringe Pfizer and BioNTech’s COVID-19 vaccine, COMIRNATY, which uses an mRNA lipid provided, under license, by Acuitas. Acuitas also seeks a declaration that each of the listed patents is invalid. On June 24, 2022, we and Genevant sought a pre-motion conference concerning our anticipated motion to dismiss all of Acuitas’ claims due to lack of subject matter jurisdiction. The request for a pre-motion conference was granted, but the case was subsequently re-assigned to a new judge who entered an order directing: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Acuitas to inform the court whether it intended to file an amended complaint; (ii) that Acuitas must file any amended complaint by a certain date; and (iii) that if Acuitas did not file an amended complaint, we and Genevant must file our motion to dismiss by a certain date. Acuitas filed its amended complaint on September 6, 2022. On October 4, 2022, we and Genevant filed our motion to dismiss the Acuitas action for lack of subject matter jurisdiction based on the lack of a case or controversy. Acuitas filed its opposition to the motion to dismiss on November 1, 2022, and we and Genevant filed our reply brief on November 16, 2022 at which point the motion was fully briefed. A status conference for the action was set for August 9, 2023, however on August 4, 2023, Acuitas voluntarily dismissed its complaint in the Southern District of New York and refiled a virtually identical complaint in the District Court of New Jersey (D. N.J.) where the Pfizer/BioNTech matter is currently pending, except that the 9,404,127 patent is not at issue in the New Jersey action, and Acuitas also added two additional patents to its New Jersey declaratory judgment action (U.S. Patent Nos. 11,298,320 and 11,318,098) that were not at issue in its New York action. On September 15, 2023, we and Genevant filed a letter with the Court seeking a premotion conference for a motion to dismiss and subsequently filed our and Genevant’s motion to dismiss on October 13, 2023. Acuitas filed its opposition on November 1, 2023 and we and Genevant filed our reply on November 16. Acuitas filed a request to commence discovery on November 18, 2023, to which we and Genevant responded on November 20, 2023. A ruling on the motion to dismiss, which is expected to be decided on the papers, has not yet issued. Discovery has not yet commenced in this action.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Moderna Inter Partes Review Petition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2018, Moderna Therapeutics, Inc. (Moderna) filed a petition requesting the United States Patent and Trademark Office to institute an Inter Partes Review of Arbutus United States Patent 9,404,127 (the ’127 Patent). In its petition, Moderna sought to invalidate all claims of the patent based on Moderna’s allegation that the claims are anticipated and/or obvious. We filed a response to Moderna’s petition on June 14, 2018. On September 12, 2018, the Patent Trial and Appeal Board (the PTAB) rendered its decision to institute Inter Partes Review of the ‘127 Patent. The ‘127 Patent represents only a fraction of our extensive LNP patent portfolio.</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the ‘127 Patent, the PTAB held all claims as invalid on September 10, 2019, by reason of anticipatory prior art. However this decision was vacated and sent back (remanded) to the PTAB for a rehearing, pending the U.S. Supreme Court’s (Supreme Court) decision whether to grant certiorari in a different case, United States v. Athrex, Inc. (US v. Athrex), the holding of which could impact the findings in the ‘127 Patent matter. The Supreme Court granted certiorari in US v. Athrex on October 13, 2020 (i.e., agreed to review the decision appealed from a lower court). Until the Supreme Court rendered its opinion in US v. Athrex, the ‘127 Patent hearing remained in abeyance, with no decision reached as to the validity of its claims. The Supreme Court decided on the US v. Athrex case on June 21, 2021, following which the Federal Circuit reinstated the appeal sua sponte, requiring the parties to brief how the case should proceed in light of the Supreme Court’s opinion or for the Appellant to waive the challenge. We elected to waive the challenge and proceed with the appeal at the Federal Circuit. The opening brief was filed on October 25, 2021. Moderna’s responsive brief was filed on February 24, 2022 and our reply brief was filed on April 26, 2022. An oral hearing for this matter was held on November 4, 2022. On April 11, 2023, the Federal Circuit rendered its opinion, affirming the PTAB’s finding that all claims of the ‘127 Patent are invalid by reason of anticipation.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Moderna and Merck European Opposition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5, 2018, Moderna and Merck, Sharp &amp; Dohme Corporation (Merck) filed Notices of Opposition to Arbutus’ European patent EP 2279254 (the ’254 Patent) with the European Patent Office (EPO), requesting that the ‘254 Patent be revoked in its entirety for all contracting states. We filed a response to Moderna and Merck’s oppositions on September 3, 2018. A hearing was conducted before the Opposition Division of the EPO on October 10, 2019. At the conclusion of the hearing, the EPO upheld an auxiliary request adopting the amendment, as put forth by us, of certain claims of the ‘254 Patent. In February 2020 Moderna and Merck filed Notices of Appeal challenging the EPO’s grant of the auxiliary request. Merck filed its notice of appeal on February 24, 2020 and Moderna on February 27, 2020. Both Merck and Moderna perfected their appeals by filing Grounds of Appeal on April 30, 2020. We filed our responses to the appeals on September 18, 2020. On March 22, 2022, Moderna filed further written submissions to which we and Genevant responded in August 2022. On April 18, 2023, we and Genevant withdrew our auxiliary request, however, the original (main) request remains in the action. We and Moderna informed the Board of Appeals that we would not object to a remittance of the matter without a hearing to the Opposition Division of the EPO. The hearing in this matter before the Board of Appeals was subsequently cancelled and resubmitted to the Opposition Division (i.e., lower board) of the EPO. On October 31, 2023, the Opposition Division issued a summons for oral proceedings and provided its preliminary and non-binding opinion on the subject matter to be discussed at the hearing. On November 3, 2023, we responded to the summons and on January 15, 2024, Moderna and Merck filed their reply to the written opinion of the Opposition Division, as well as to our written submission of November 3, 2023. We responded to Moderna and Merck’s reply on April 5, 2024. Oral proceedings are presently scheduled to be held on June 6,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83260"/>
                <wp:effectExtent l="0" t="0" r="0" b="0"/>
                <wp:wrapNone/>
                <wp:docPr id="40" name="Frame39"/>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we are the patent holder, the ‘127 Patent, the ‘254 Patent, the other patents in our LNP portfolio have been licensed to Genevant and are included in the rights licensed by us to Genevant under the Genevant License.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in our risk factors from those disclosed in our Annual Report on Form 10-K for the fiscal year-ended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none of our directors or officers adopted, modified or terminated a “Rule 10b5-1 trading arrangement” or a “non-Rule 10b5-1 trading arrangement” as such terms are defined under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83260"/>
                <wp:effectExtent l="0" t="0" r="0" b="0"/>
                <wp:wrapNone/>
                <wp:docPr id="41" name="Frame40"/>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both"/>
        <w:rPr/>
      </w:pPr>
      <w:r>
        <w:rPr/>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757"/>
        <w:gridCol w:w="2603"/>
        <w:gridCol w:w="370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70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Notice of Articles and Articles of the Company, as amended (incorporated herein by reference to Exhibit 3.1 to the Registrant’s Annual Report on Form 10-K for the year ended December 31, 2017, filed with the SEC on March 16, 2018).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Amendment to Articles of the Company (incorporated herein by reference to Exhibit 3.1 to the Registrant’s Quarterly Report on Form 10-Q for the quarter ended September 30, 2018, filed with the SEC on November 7, 2018).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80"/>
                  <w:sz w:val="20"/>
                  <w:u w:val="single"/>
                </w:rPr>
                <w:t>Executive Employ</w:t>
              </w:r>
            </w:hyperlink>
            <w:hyperlink r:id="rId6">
              <w:r>
                <w:rPr>
                  <w:rStyle w:val="InternetLink"/>
                  <w:rFonts w:ascii="Times New Roman;sans-serif" w:hAnsi="Times New Roman;sans-serif"/>
                  <w:b w:val="false"/>
                  <w:color w:val="000080"/>
                  <w:sz w:val="20"/>
                  <w:u w:val="single"/>
                </w:rPr>
                <w:t>ment Agreement, dated July 10, 2015, by and between the Company and Michael McElhaugh</w:t>
              </w:r>
            </w:hyperlink>
            <w:hyperlink r:id="rId7">
              <w:r>
                <w:rPr>
                  <w:rStyle w:val="InternetLink"/>
                  <w:rFonts w:ascii="Times New Roman;sans-serif" w:hAnsi="Times New Roman;sans-serif"/>
                  <w:b w:val="false"/>
                  <w:color w:val="000080"/>
                  <w:sz w:val="20"/>
                  <w:u w:val="single"/>
                </w:rPr>
                <w:t>, as amended by</w:t>
              </w:r>
            </w:hyperlink>
            <w:hyperlink r:id="rId8">
              <w:r>
                <w:rPr>
                  <w:rStyle w:val="InternetLink"/>
                  <w:rFonts w:ascii="Times New Roman;sans-serif" w:hAnsi="Times New Roman;sans-serif"/>
                  <w:b w:val="false"/>
                  <w:color w:val="000080"/>
                  <w:sz w:val="20"/>
                  <w:u w:val="single"/>
                </w:rPr>
                <w:t xml:space="preserve"> the First Amendment to Executive Employment Agreement, dated April 20, 2016, the Second Amended to Executive Employment Agreement dated December 11, 20</w:t>
              </w:r>
            </w:hyperlink>
            <w:hyperlink r:id="rId9">
              <w:r>
                <w:rPr>
                  <w:rStyle w:val="InternetLink"/>
                  <w:rFonts w:ascii="Times New Roman;sans-serif" w:hAnsi="Times New Roman;sans-serif"/>
                  <w:b w:val="false"/>
                  <w:color w:val="000080"/>
                  <w:sz w:val="20"/>
                  <w:u w:val="single"/>
                </w:rPr>
                <w:t>18, the Third Amendment to Executive Employment Agreement dated November 1, 2022 and the Fourth Amendment to the Executive Employment Agreement, dated January 1, 2024 (incorporated her</w:t>
              </w:r>
            </w:hyperlink>
            <w:hyperlink r:id="rId10">
              <w:r>
                <w:rPr>
                  <w:rStyle w:val="InternetLink"/>
                  <w:rFonts w:ascii="Times New Roman;sans-serif" w:hAnsi="Times New Roman;sans-serif"/>
                  <w:b w:val="false"/>
                  <w:color w:val="000080"/>
                  <w:sz w:val="20"/>
                  <w:u w:val="single"/>
                </w:rPr>
                <w:t>ein by reference to Exhibit 10.23 of the Registrant</w:t>
              </w:r>
            </w:hyperlink>
            <w:hyperlink r:id="rId11">
              <w:r>
                <w:rPr>
                  <w:rStyle w:val="InternetLink"/>
                  <w:rFonts w:ascii="Times New Roman;sans-serif" w:hAnsi="Times New Roman;sans-serif"/>
                  <w:b w:val="false"/>
                  <w:color w:val="000080"/>
                  <w:sz w:val="20"/>
                  <w:u w:val="single"/>
                </w:rPr>
                <w:t>’</w:t>
              </w:r>
            </w:hyperlink>
            <w:hyperlink r:id="rId12">
              <w:r>
                <w:rPr>
                  <w:rStyle w:val="InternetLink"/>
                  <w:rFonts w:ascii="Times New Roman;sans-serif" w:hAnsi="Times New Roman;sans-serif"/>
                  <w:b w:val="false"/>
                  <w:color w:val="000080"/>
                  <w:sz w:val="20"/>
                  <w:u w:val="single"/>
                </w:rPr>
                <w:t xml:space="preserve">s Annual </w:t>
              </w:r>
            </w:hyperlink>
            <w:hyperlink r:id="rId13">
              <w:r>
                <w:rPr>
                  <w:rStyle w:val="InternetLink"/>
                  <w:rFonts w:ascii="Times New Roman;sans-serif" w:hAnsi="Times New Roman;sans-serif"/>
                  <w:b w:val="false"/>
                  <w:color w:val="000080"/>
                  <w:sz w:val="20"/>
                  <w:u w:val="single"/>
                </w:rPr>
                <w:t>Report on Form 10-K for the year ended December 31, 2023, filed with the SEC on March 5, 2024).</w:t>
              </w:r>
            </w:hyperlink>
            <w:hyperlink r:id="rId14">
              <w:r>
                <w:rPr>
                  <w:rStyle w:val="InternetLink"/>
                  <w:rFonts w:ascii="Times New Roman;sans-serif" w:hAnsi="Times New Roman;sans-serif"/>
                  <w:b w:val="false"/>
                  <w:color w:val="000080"/>
                  <w:sz w:val="20"/>
                  <w:u w:val="single"/>
                </w:rPr>
                <w:t xml:space="preserve"> </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4-q110xqex311.htm">
              <w:r>
                <w:rPr>
                  <w:rStyle w:val="InternetLink"/>
                  <w:rFonts w:ascii="Times New Roman;sans-serif" w:hAnsi="Times New Roman;sans-serif"/>
                  <w:b w:val="false"/>
                  <w:color w:val="0000FF"/>
                  <w:sz w:val="20"/>
                  <w:u w:val="single"/>
                </w:rPr>
                <w:t>Certification of Principal Executive Officer pursuant to Rule 13a-14(a) or 15d-14(a) of the Securities Exchange Act of 1934,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4-q110xqex312.htm">
              <w:r>
                <w:rPr>
                  <w:rStyle w:val="InternetLink"/>
                  <w:rFonts w:ascii="Times New Roman;sans-serif" w:hAnsi="Times New Roman;sans-serif"/>
                  <w:b w:val="false"/>
                  <w:color w:val="0000FF"/>
                  <w:sz w:val="20"/>
                  <w:u w:val="single"/>
                </w:rPr>
                <w:t>Certification of Principal Financial Officer pursuant to Rule 13a-14(a) or 15d-14(a) of the Securities Exchange Act of 1934,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4-q110xqe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4-q110xqe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materials from Arbutus Biopharma Corporation’s Quarterly Report on Form 10-Q for the quarter ended March 31, 2024, formatted in inline XBRL (eXtensible Business Reporting Language): (i) Condensed Consolidated Balance Sheets; (ii) Condensed Consolidated Statements of Operations; (iii) Condensed Consolidated Statements of Comprehensive Loss; (iv) Condensed Consolidated Statements of Stockholders’ Equity; (v) Condensed Consolidated Statements of Cash Flows; and (vi) Notes to Condensed Consolidated Financial Statements. </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and included in Exhibit 101).</w:t>
            </w:r>
          </w:p>
        </w:tc>
      </w:tr>
    </w:tbl>
    <w:p>
      <w:pPr>
        <w:pStyle w:val="TextBody"/>
        <w:bidi w:val="0"/>
        <w:spacing w:before="60" w:after="283"/>
        <w:jc w:val="both"/>
        <w:rPr/>
      </w:pPr>
      <w:r>
        <w:rPr/>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Management contract or compensatory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27355"/>
                <wp:effectExtent l="0" t="0" r="0" b="0"/>
                <wp:wrapNone/>
                <wp:docPr id="42" name="Frame41"/>
                <a:graphic xmlns:a="http://schemas.openxmlformats.org/drawingml/2006/main">
                  <a:graphicData uri="http://schemas.microsoft.com/office/word/2010/wordprocessingShape">
                    <wps:wsp>
                      <wps:cNvSpPr txBox="1"/>
                      <wps:spPr>
                        <a:xfrm>
                          <a:off x="0" y="0"/>
                          <a:ext cx="6480175" cy="4273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120" w:after="283"/>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before="160" w:after="283"/>
        <w:jc w:val="center"/>
        <w:rPr/>
      </w:pPr>
      <w:r>
        <w:rPr/>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60" w:after="283"/>
        <w:ind w:left="0" w:right="0" w:firstLine="495"/>
        <w:jc w:val="both"/>
        <w:rPr>
          <w:color w:val="000000"/>
        </w:rPr>
      </w:pPr>
      <w:r>
        <w:rPr>
          <w:color w:val="000000"/>
        </w:rPr>
        <w:t>   </w:t>
      </w: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 on May 2, 2024.</w:t>
      </w:r>
    </w:p>
    <w:p>
      <w:pPr>
        <w:pStyle w:val="TextBody"/>
        <w:bidi w:val="0"/>
        <w:spacing w:before="160" w:after="283"/>
        <w:ind w:left="0" w:right="0" w:firstLine="495"/>
        <w:jc w:val="both"/>
        <w:rPr/>
      </w:pPr>
      <w:r>
        <w:rPr/>
      </w:r>
    </w:p>
    <w:tbl>
      <w:tblPr>
        <w:tblW w:w="7437" w:type="dxa"/>
        <w:jc w:val="left"/>
        <w:tblInd w:w="0" w:type="dxa"/>
        <w:tblLayout w:type="fixed"/>
        <w:tblCellMar>
          <w:top w:w="28" w:type="dxa"/>
          <w:left w:w="28" w:type="dxa"/>
          <w:bottom w:w="28" w:type="dxa"/>
          <w:right w:w="28" w:type="dxa"/>
        </w:tblCellMar>
      </w:tblPr>
      <w:tblGrid>
        <w:gridCol w:w="124"/>
        <w:gridCol w:w="109"/>
        <w:gridCol w:w="109"/>
        <w:gridCol w:w="595"/>
        <w:gridCol w:w="595"/>
        <w:gridCol w:w="595"/>
        <w:gridCol w:w="1550"/>
        <w:gridCol w:w="1550"/>
        <w:gridCol w:w="22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ARBUTUS BIOPHARMA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J. McElhaugh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J. McElhaugh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C. Hastings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C. Hastings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83260"/>
                <wp:effectExtent l="0" t="0" r="0" b="0"/>
                <wp:wrapNone/>
                <wp:docPr id="43" name="Frame42"/>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120" w:after="283"/>
                        <w:jc w:val="center"/>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100" w:after="100"/>
        <w:jc w:val="right"/>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RULE 13a-14(a) OR 15d-14(a) OF THE SECURITIES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EXCHANGE ACT OF 1934, AS ADOPTED PURSUANT TO SECTION 302 OF THE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SARBANES-OXLEY ACT OF 2002 </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Michael J. McElhaugh, certify that: </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Arbutus Biopharma Corporation;</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2, 2024 </w:t>
      </w:r>
    </w:p>
    <w:tbl>
      <w:tblPr>
        <w:tblW w:w="4722" w:type="dxa"/>
        <w:jc w:val="center"/>
        <w:tblInd w:w="0" w:type="dxa"/>
        <w:tblLayout w:type="fixed"/>
        <w:tblCellMar>
          <w:top w:w="28" w:type="dxa"/>
          <w:left w:w="28" w:type="dxa"/>
          <w:bottom w:w="28" w:type="dxa"/>
          <w:right w:w="28" w:type="dxa"/>
        </w:tblCellMar>
      </w:tblPr>
      <w:tblGrid>
        <w:gridCol w:w="124"/>
        <w:gridCol w:w="109"/>
        <w:gridCol w:w="109"/>
        <w:gridCol w:w="1281"/>
        <w:gridCol w:w="1281"/>
        <w:gridCol w:w="18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J. McElhaugh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Michael J. McElhaugh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Interim President and Chief Executive Officer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RULE 13a-14(a) OR 15d-14(a) OF THE SECURITIES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EXCHANGE ACT OF 1934, AS ADOPTED PURSUANT TO SECTION 302 OF THE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SARBANES-OXLEY ACT OF 2002 </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David Hastings, certify that: </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Arbutus Biopharma Corporation;</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2, 2024 </w:t>
      </w:r>
    </w:p>
    <w:tbl>
      <w:tblPr>
        <w:tblW w:w="2847" w:type="dxa"/>
        <w:jc w:val="center"/>
        <w:tblInd w:w="0" w:type="dxa"/>
        <w:tblLayout w:type="fixed"/>
        <w:tblCellMar>
          <w:top w:w="28" w:type="dxa"/>
          <w:left w:w="28" w:type="dxa"/>
          <w:bottom w:w="28" w:type="dxa"/>
          <w:right w:w="28" w:type="dxa"/>
        </w:tblCellMar>
      </w:tblPr>
      <w:tblGrid>
        <w:gridCol w:w="124"/>
        <w:gridCol w:w="109"/>
        <w:gridCol w:w="109"/>
        <w:gridCol w:w="731"/>
        <w:gridCol w:w="731"/>
        <w:gridCol w:w="10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Hastings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David Hastings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before="100" w:after="100"/>
        <w:jc w:val="right"/>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100" w:after="100"/>
        <w:jc w:val="center"/>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Arbutus Biopharma Corporation (the “Company”) for the quarter ended March 31, 2024, as filed with the Securities and Exchange Commission on the date hereof (the “Report”), I, Michael J. McElhaugh, Interim President and Chief Executive Officer of the Company, certify, pursuant to 18 U.S.C. Section 1350, as adopted pursuant to Section 906 of the Sarbanes-Oxley Act of 2002, that to the best of my knowledge: </w:t>
      </w:r>
    </w:p>
    <w:p>
      <w:pPr>
        <w:pStyle w:val="TextBody"/>
        <w:bidi w:val="0"/>
        <w:spacing w:lineRule="auto" w:line="288" w:before="3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represents, in all material respects, the financial condition and results of the operations of the Company.</w:t>
      </w:r>
    </w:p>
    <w:p>
      <w:pPr>
        <w:pStyle w:val="TextBody"/>
        <w:bidi w:val="0"/>
        <w:spacing w:before="0" w:after="0"/>
        <w:jc w:val="center"/>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2, 2024 </w:t>
      </w:r>
    </w:p>
    <w:tbl>
      <w:tblPr>
        <w:tblW w:w="4722" w:type="dxa"/>
        <w:jc w:val="center"/>
        <w:tblInd w:w="0" w:type="dxa"/>
        <w:tblLayout w:type="fixed"/>
        <w:tblCellMar>
          <w:top w:w="28" w:type="dxa"/>
          <w:left w:w="28" w:type="dxa"/>
          <w:bottom w:w="28" w:type="dxa"/>
          <w:right w:w="28" w:type="dxa"/>
        </w:tblCellMar>
      </w:tblPr>
      <w:tblGrid>
        <w:gridCol w:w="124"/>
        <w:gridCol w:w="109"/>
        <w:gridCol w:w="109"/>
        <w:gridCol w:w="1281"/>
        <w:gridCol w:w="1281"/>
        <w:gridCol w:w="18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J. McElhaugh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Michael J. McElhaugh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Interim President and Chief Executive Officer </w:t>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100" w:after="100"/>
        <w:jc w:val="center"/>
        <w:rPr/>
      </w:pPr>
      <w:r>
        <w:rPr/>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100" w:after="100"/>
        <w:jc w:val="center"/>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Arbutus Biopharma Corporation (the “Company”) for the quarter ended March 31, 2024, as filed with the Securities and Exchange Commission on the date hereof (the “Report”), I, David Hastings, Chief Financial Officer of the Company, certify, pursuant to 18 U.S.C. Section 1350, as adopted pursuant to Section 906 of the Sarbanes-Oxley Act of 2002, that to the best of my knowledge: </w:t>
      </w:r>
    </w:p>
    <w:p>
      <w:pPr>
        <w:pStyle w:val="TextBody"/>
        <w:bidi w:val="0"/>
        <w:spacing w:lineRule="auto" w:line="288" w:before="3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00" w:after="10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represents, in all material respects, the financial condition and results of the operations of the Company.</w:t>
      </w:r>
    </w:p>
    <w:p>
      <w:pPr>
        <w:pStyle w:val="TextBody"/>
        <w:bidi w:val="0"/>
        <w:spacing w:before="0" w:after="0"/>
        <w:jc w:val="center"/>
        <w:rPr/>
      </w:pPr>
      <w:r>
        <w:rPr/>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2, 2024 </w:t>
      </w:r>
    </w:p>
    <w:tbl>
      <w:tblPr>
        <w:tblW w:w="2892" w:type="dxa"/>
        <w:jc w:val="center"/>
        <w:tblInd w:w="0" w:type="dxa"/>
        <w:tblLayout w:type="fixed"/>
        <w:tblCellMar>
          <w:top w:w="28" w:type="dxa"/>
          <w:left w:w="28" w:type="dxa"/>
          <w:bottom w:w="28" w:type="dxa"/>
          <w:right w:w="28" w:type="dxa"/>
        </w:tblCellMar>
      </w:tblPr>
      <w:tblGrid>
        <w:gridCol w:w="124"/>
        <w:gridCol w:w="109"/>
        <w:gridCol w:w="109"/>
        <w:gridCol w:w="744"/>
        <w:gridCol w:w="744"/>
        <w:gridCol w:w="10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Hastings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David Hastings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Chief Financial Officer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47028/000162828018003276/exhibit31_articlesandartic.htm" TargetMode="External"/><Relationship Id="rId4" Type="http://schemas.openxmlformats.org/officeDocument/2006/relationships/hyperlink" Target="https://www.sec.gov/Archives/edgar/data/1447028/000162828018013909/exhibit31amendmenttoarticl.htm" TargetMode="External"/><Relationship Id="rId5" Type="http://schemas.openxmlformats.org/officeDocument/2006/relationships/hyperlink" Target="https://www.sec.gov/Archives/edgar/data/1447028/000144702824000035/exhibit1023mmcelhaughexe.htm" TargetMode="External"/><Relationship Id="rId6" Type="http://schemas.openxmlformats.org/officeDocument/2006/relationships/hyperlink" Target="https://www.sec.gov/Archives/edgar/data/1447028/000144702824000035/exhibit1023mmcelhaughexe.htm" TargetMode="External"/><Relationship Id="rId7" Type="http://schemas.openxmlformats.org/officeDocument/2006/relationships/hyperlink" Target="https://www.sec.gov/Archives/edgar/data/1447028/000144702824000035/exhibit1023mmcelhaughexe.htm" TargetMode="External"/><Relationship Id="rId8" Type="http://schemas.openxmlformats.org/officeDocument/2006/relationships/hyperlink" Target="https://www.sec.gov/Archives/edgar/data/1447028/000144702824000035/exhibit1023mmcelhaughexe.htm" TargetMode="External"/><Relationship Id="rId9" Type="http://schemas.openxmlformats.org/officeDocument/2006/relationships/hyperlink" Target="https://www.sec.gov/Archives/edgar/data/1447028/000144702824000035/exhibit1023mmcelhaughexe.htm" TargetMode="External"/><Relationship Id="rId10" Type="http://schemas.openxmlformats.org/officeDocument/2006/relationships/hyperlink" Target="https://www.sec.gov/Archives/edgar/data/1447028/000144702824000035/exhibit1023mmcelhaughexe.htm" TargetMode="External"/><Relationship Id="rId11" Type="http://schemas.openxmlformats.org/officeDocument/2006/relationships/hyperlink" Target="https://www.sec.gov/Archives/edgar/data/1447028/000144702824000035/exhibit1023mmcelhaughexe.htm" TargetMode="External"/><Relationship Id="rId12" Type="http://schemas.openxmlformats.org/officeDocument/2006/relationships/hyperlink" Target="https://www.sec.gov/Archives/edgar/data/1447028/000144702824000035/exhibit1023mmcelhaughexe.htm" TargetMode="External"/><Relationship Id="rId13" Type="http://schemas.openxmlformats.org/officeDocument/2006/relationships/hyperlink" Target="https://www.sec.gov/Archives/edgar/data/1447028/000144702824000035/exhibit1023mmcelhaughexe.htm" TargetMode="External"/><Relationship Id="rId14" Type="http://schemas.openxmlformats.org/officeDocument/2006/relationships/hyperlink" Target="https://www.sec.gov/Archives/edgar/data/1447028/000144702824000035/exhibit1023mmcelhaughexe.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22361</Words>
  <Characters>122992</Characters>
  <CharactersWithSpaces>144731</CharactersWithSpaces>
  <Paragraphs>1546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